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B9F39" w14:textId="4EFB1F07" w:rsidR="00AD0F68" w:rsidRDefault="002D4FD0" w:rsidP="0099530A">
      <w:pPr>
        <w:jc w:val="center"/>
        <w:rPr>
          <w:rFonts w:ascii="Times New Roman" w:hAnsi="Times New Roman" w:cs="Times New Roman"/>
          <w:b/>
          <w:sz w:val="32"/>
          <w:szCs w:val="32"/>
        </w:rPr>
      </w:pPr>
      <w:r w:rsidRPr="00454BB2">
        <w:rPr>
          <w:rFonts w:ascii="Times New Roman" w:hAnsi="Times New Roman" w:cs="Times New Roman"/>
          <w:b/>
          <w:sz w:val="32"/>
          <w:szCs w:val="32"/>
        </w:rPr>
        <w:t>Economic Uncertainty</w:t>
      </w:r>
      <w:r w:rsidR="0083088E" w:rsidRPr="00454BB2">
        <w:rPr>
          <w:rFonts w:ascii="Times New Roman" w:hAnsi="Times New Roman" w:cs="Times New Roman"/>
          <w:b/>
          <w:sz w:val="32"/>
          <w:szCs w:val="32"/>
        </w:rPr>
        <w:t xml:space="preserve"> and Bank Lending</w:t>
      </w:r>
    </w:p>
    <w:p w14:paraId="12E23154" w14:textId="4F1D9A5A" w:rsidR="00434A8F" w:rsidRDefault="00434A8F" w:rsidP="0099530A">
      <w:pPr>
        <w:jc w:val="center"/>
        <w:rPr>
          <w:rFonts w:ascii="Times New Roman" w:hAnsi="Times New Roman" w:cs="Times New Roman"/>
          <w:b/>
          <w:sz w:val="32"/>
          <w:szCs w:val="32"/>
        </w:rPr>
      </w:pPr>
    </w:p>
    <w:p w14:paraId="3DB74E3B" w14:textId="77777777" w:rsidR="00434A8F" w:rsidRDefault="00434A8F" w:rsidP="0099530A">
      <w:pPr>
        <w:jc w:val="center"/>
        <w:rPr>
          <w:rFonts w:ascii="Times New Roman" w:hAnsi="Times New Roman" w:cs="Times New Roman"/>
          <w:b/>
          <w:sz w:val="32"/>
          <w:szCs w:val="32"/>
        </w:rPr>
      </w:pPr>
    </w:p>
    <w:p w14:paraId="7DC78249" w14:textId="1894CB70" w:rsidR="009877FE" w:rsidRDefault="003C6723" w:rsidP="0084183C">
      <w:pPr>
        <w:spacing w:line="480" w:lineRule="auto"/>
        <w:contextualSpacing/>
        <w:jc w:val="center"/>
        <w:rPr>
          <w:rFonts w:ascii="Times New Roman" w:hAnsi="Times New Roman" w:cs="Times New Roman"/>
          <w:sz w:val="28"/>
          <w:szCs w:val="28"/>
        </w:rPr>
      </w:pPr>
      <w:r w:rsidRPr="00454BB2">
        <w:rPr>
          <w:rFonts w:ascii="Times New Roman" w:hAnsi="Times New Roman" w:cs="Times New Roman"/>
          <w:sz w:val="28"/>
          <w:szCs w:val="28"/>
        </w:rPr>
        <w:t>WEI-SHAO WU</w:t>
      </w:r>
      <w:r w:rsidR="009877FE" w:rsidRPr="00454BB2">
        <w:rPr>
          <w:rStyle w:val="a5"/>
          <w:rFonts w:ascii="Times New Roman" w:hAnsi="Times New Roman" w:cs="Times New Roman"/>
          <w:sz w:val="28"/>
          <w:szCs w:val="28"/>
        </w:rPr>
        <w:footnoteReference w:id="1"/>
      </w:r>
    </w:p>
    <w:p w14:paraId="777CACF8" w14:textId="4736F7B8" w:rsidR="009877FE" w:rsidRDefault="009877FE" w:rsidP="0084183C">
      <w:pPr>
        <w:spacing w:line="480" w:lineRule="auto"/>
        <w:contextualSpacing/>
        <w:jc w:val="center"/>
        <w:rPr>
          <w:rFonts w:ascii="Times New Roman" w:hAnsi="Times New Roman" w:cs="Times New Roman"/>
          <w:sz w:val="28"/>
          <w:szCs w:val="28"/>
        </w:rPr>
      </w:pPr>
      <w:r>
        <w:rPr>
          <w:rFonts w:ascii="Times New Roman" w:hAnsi="Times New Roman" w:cs="Times New Roman"/>
          <w:sz w:val="28"/>
          <w:szCs w:val="28"/>
        </w:rPr>
        <w:t>and</w:t>
      </w:r>
    </w:p>
    <w:p w14:paraId="5B99F070" w14:textId="2CCA8BC1" w:rsidR="009877FE" w:rsidRPr="00454BB2" w:rsidRDefault="003C6723" w:rsidP="0084183C">
      <w:pPr>
        <w:spacing w:line="480" w:lineRule="auto"/>
        <w:contextualSpacing/>
        <w:jc w:val="center"/>
        <w:rPr>
          <w:rFonts w:ascii="Times New Roman" w:hAnsi="Times New Roman" w:cs="Times New Roman"/>
          <w:sz w:val="28"/>
          <w:szCs w:val="28"/>
        </w:rPr>
      </w:pPr>
      <w:r w:rsidRPr="00454BB2">
        <w:rPr>
          <w:rFonts w:ascii="Times New Roman" w:hAnsi="Times New Roman" w:cs="Times New Roman"/>
          <w:sz w:val="28"/>
          <w:szCs w:val="28"/>
        </w:rPr>
        <w:t>SANDY SUARDI</w:t>
      </w:r>
      <w:r w:rsidR="009877FE" w:rsidRPr="00454BB2">
        <w:rPr>
          <w:rStyle w:val="a5"/>
          <w:rFonts w:ascii="Times New Roman" w:hAnsi="Times New Roman" w:cs="Times New Roman"/>
          <w:sz w:val="28"/>
          <w:szCs w:val="28"/>
        </w:rPr>
        <w:footnoteReference w:id="2"/>
      </w:r>
    </w:p>
    <w:p w14:paraId="3091EC97" w14:textId="77777777" w:rsidR="009877FE" w:rsidRDefault="009877FE" w:rsidP="0084183C">
      <w:pPr>
        <w:autoSpaceDE w:val="0"/>
        <w:autoSpaceDN w:val="0"/>
        <w:adjustRightInd w:val="0"/>
        <w:spacing w:after="0" w:line="480" w:lineRule="auto"/>
        <w:jc w:val="center"/>
        <w:rPr>
          <w:rFonts w:ascii="Times-Roman" w:hAnsi="Times-Roman" w:cs="Times-Roman"/>
          <w:b/>
          <w:color w:val="231F20"/>
          <w:sz w:val="24"/>
          <w:szCs w:val="24"/>
        </w:rPr>
      </w:pPr>
    </w:p>
    <w:p w14:paraId="5B753A46" w14:textId="77777777" w:rsidR="00434A8F" w:rsidRDefault="00434A8F" w:rsidP="0084183C">
      <w:pPr>
        <w:autoSpaceDE w:val="0"/>
        <w:autoSpaceDN w:val="0"/>
        <w:adjustRightInd w:val="0"/>
        <w:spacing w:after="0" w:line="480" w:lineRule="auto"/>
        <w:jc w:val="center"/>
        <w:rPr>
          <w:rFonts w:ascii="Times-Roman" w:hAnsi="Times-Roman" w:cs="Times-Roman"/>
          <w:b/>
          <w:color w:val="231F20"/>
          <w:sz w:val="24"/>
          <w:szCs w:val="24"/>
        </w:rPr>
      </w:pPr>
    </w:p>
    <w:p w14:paraId="53EDFF02" w14:textId="77777777" w:rsidR="009877FE" w:rsidRPr="00721E9B" w:rsidRDefault="009877FE" w:rsidP="0071191B">
      <w:pPr>
        <w:spacing w:after="0" w:line="480" w:lineRule="auto"/>
        <w:jc w:val="both"/>
        <w:rPr>
          <w:rFonts w:ascii="Times New Roman" w:hAnsi="Times New Roman" w:cs="Times New Roman"/>
          <w:color w:val="231F20"/>
          <w:sz w:val="24"/>
          <w:szCs w:val="24"/>
          <w:lang w:val="it-IT"/>
        </w:rPr>
      </w:pPr>
      <w:r w:rsidRPr="00721E9B">
        <w:rPr>
          <w:rFonts w:ascii="Times New Roman" w:hAnsi="Times New Roman" w:cs="Times New Roman"/>
          <w:color w:val="231F20"/>
          <w:sz w:val="24"/>
          <w:szCs w:val="24"/>
          <w:lang w:val="it-IT"/>
        </w:rPr>
        <w:t>JEL classifications: E44, E51, G01, G21</w:t>
      </w:r>
    </w:p>
    <w:p w14:paraId="6C5CE450" w14:textId="6F301A95" w:rsidR="009877FE" w:rsidRDefault="009877FE" w:rsidP="0071191B">
      <w:pPr>
        <w:spacing w:after="0" w:line="480" w:lineRule="auto"/>
        <w:jc w:val="both"/>
        <w:rPr>
          <w:rFonts w:ascii="Times New Roman" w:hAnsi="Times New Roman" w:cs="Times New Roman"/>
          <w:color w:val="231F20"/>
          <w:sz w:val="24"/>
          <w:szCs w:val="24"/>
        </w:rPr>
      </w:pPr>
      <w:r w:rsidRPr="00F276C8">
        <w:rPr>
          <w:rFonts w:ascii="Times New Roman" w:hAnsi="Times New Roman" w:cs="Times New Roman"/>
          <w:color w:val="231F20"/>
          <w:sz w:val="24"/>
          <w:szCs w:val="24"/>
        </w:rPr>
        <w:t xml:space="preserve">Keywords: </w:t>
      </w:r>
      <w:r>
        <w:rPr>
          <w:rFonts w:ascii="Times New Roman" w:hAnsi="Times New Roman" w:cs="Times New Roman"/>
          <w:color w:val="231F20"/>
          <w:sz w:val="24"/>
          <w:szCs w:val="24"/>
        </w:rPr>
        <w:t>credit</w:t>
      </w:r>
      <w:r w:rsidRPr="00F276C8">
        <w:rPr>
          <w:rFonts w:ascii="Times New Roman" w:hAnsi="Times New Roman" w:cs="Times New Roman"/>
          <w:color w:val="231F20"/>
          <w:sz w:val="24"/>
          <w:szCs w:val="24"/>
        </w:rPr>
        <w:t xml:space="preserve"> standards; bank lending</w:t>
      </w:r>
      <w:r>
        <w:rPr>
          <w:rFonts w:ascii="Times New Roman" w:hAnsi="Times New Roman" w:cs="Times New Roman"/>
          <w:color w:val="231F20"/>
          <w:sz w:val="24"/>
          <w:szCs w:val="24"/>
        </w:rPr>
        <w:t xml:space="preserve">; </w:t>
      </w:r>
      <w:r>
        <w:rPr>
          <w:rFonts w:ascii="Times New Roman" w:hAnsi="Times New Roman" w:cs="Times New Roman"/>
          <w:color w:val="231F20"/>
          <w:sz w:val="24"/>
          <w:szCs w:val="24"/>
          <w:lang w:eastAsia="zh-TW"/>
        </w:rPr>
        <w:t>economic</w:t>
      </w:r>
      <w:r>
        <w:rPr>
          <w:rFonts w:ascii="Times New Roman" w:hAnsi="Times New Roman" w:cs="Times New Roman"/>
          <w:color w:val="231F20"/>
          <w:sz w:val="24"/>
          <w:szCs w:val="24"/>
        </w:rPr>
        <w:t xml:space="preserve"> uncertainty</w:t>
      </w:r>
      <w:r w:rsidRPr="00F276C8">
        <w:rPr>
          <w:rFonts w:ascii="Times New Roman" w:hAnsi="Times New Roman" w:cs="Times New Roman"/>
          <w:color w:val="231F20"/>
          <w:sz w:val="24"/>
          <w:szCs w:val="24"/>
        </w:rPr>
        <w:t>;</w:t>
      </w:r>
      <w:r w:rsidRPr="00415DE7">
        <w:rPr>
          <w:rFonts w:ascii="Times New Roman" w:hAnsi="Times New Roman" w:cs="Times New Roman"/>
          <w:color w:val="231F20"/>
          <w:sz w:val="24"/>
          <w:szCs w:val="24"/>
        </w:rPr>
        <w:t xml:space="preserve"> </w:t>
      </w:r>
      <w:r w:rsidRPr="00F276C8">
        <w:rPr>
          <w:rFonts w:ascii="Times New Roman" w:hAnsi="Times New Roman" w:cs="Times New Roman"/>
          <w:color w:val="231F20"/>
          <w:sz w:val="24"/>
          <w:szCs w:val="24"/>
        </w:rPr>
        <w:t>variance risk premium</w:t>
      </w:r>
    </w:p>
    <w:p w14:paraId="2378BE51" w14:textId="4F1FDCD5" w:rsidR="00434A8F" w:rsidRDefault="00434A8F" w:rsidP="0071191B">
      <w:pPr>
        <w:spacing w:after="0" w:line="480" w:lineRule="auto"/>
        <w:jc w:val="both"/>
        <w:rPr>
          <w:rFonts w:ascii="Times New Roman" w:hAnsi="Times New Roman" w:cs="Times New Roman"/>
          <w:color w:val="231F20"/>
          <w:sz w:val="24"/>
          <w:szCs w:val="24"/>
        </w:rPr>
      </w:pPr>
    </w:p>
    <w:p w14:paraId="2D8C4CAB" w14:textId="7B3FDB61" w:rsidR="0084183C" w:rsidRDefault="0084183C" w:rsidP="0071191B">
      <w:pPr>
        <w:spacing w:after="0" w:line="480" w:lineRule="auto"/>
        <w:jc w:val="both"/>
        <w:rPr>
          <w:rFonts w:ascii="Times New Roman" w:hAnsi="Times New Roman" w:cs="Times New Roman"/>
          <w:color w:val="231F20"/>
          <w:sz w:val="24"/>
          <w:szCs w:val="24"/>
          <w:lang w:eastAsia="zh-TW"/>
        </w:rPr>
      </w:pPr>
    </w:p>
    <w:p w14:paraId="5BD00CC0" w14:textId="77777777" w:rsidR="00565151" w:rsidRDefault="00565151" w:rsidP="0071191B">
      <w:pPr>
        <w:spacing w:after="0" w:line="480" w:lineRule="auto"/>
        <w:jc w:val="both"/>
        <w:rPr>
          <w:rFonts w:ascii="Times New Roman" w:hAnsi="Times New Roman" w:cs="Times New Roman"/>
          <w:color w:val="231F20"/>
          <w:sz w:val="24"/>
          <w:szCs w:val="24"/>
          <w:lang w:eastAsia="zh-TW"/>
        </w:rPr>
      </w:pPr>
    </w:p>
    <w:p w14:paraId="320B8622" w14:textId="6013C073" w:rsidR="00434A8F" w:rsidRPr="006D261A" w:rsidRDefault="00434A8F" w:rsidP="0084183C">
      <w:pPr>
        <w:spacing w:after="0" w:line="480" w:lineRule="auto"/>
        <w:jc w:val="both"/>
        <w:rPr>
          <w:rFonts w:ascii="Times New Roman" w:hAnsi="Times New Roman" w:cs="Times New Roman"/>
          <w:color w:val="231F20"/>
          <w:sz w:val="20"/>
          <w:szCs w:val="20"/>
          <w:lang w:eastAsia="zh-TW"/>
        </w:rPr>
      </w:pPr>
      <w:r w:rsidRPr="006D261A">
        <w:rPr>
          <w:rFonts w:ascii="Times New Roman" w:hAnsi="Times New Roman" w:cs="Times New Roman"/>
          <w:sz w:val="20"/>
          <w:szCs w:val="20"/>
        </w:rPr>
        <w:t>We acknowledge the useful comments provided by two referees and the editor Pok-sang Lam, which improve the quality of the paper. Any remaining errors are our own. The first author acknowledges MOST (103-2410-H-033-044, 104-2410-H-033-007, and 105-2410-H-033-011-MY2) and UESTC (A03018023601011) for financial support. The second author acknowledges the hospitality granted by the Stockholm Business School during his sabbatical in Stockholm university where the first draft of the manuscript was completed. We are appreciative of the comments given by seminar participants at the Stockholm Business School and LEMNA Université de Nantes.</w:t>
      </w:r>
    </w:p>
    <w:p w14:paraId="49526025" w14:textId="77777777" w:rsidR="00442206" w:rsidRPr="006D261A" w:rsidRDefault="00442206" w:rsidP="0084183C">
      <w:pPr>
        <w:spacing w:after="0" w:line="480" w:lineRule="auto"/>
        <w:jc w:val="both"/>
        <w:rPr>
          <w:rFonts w:ascii="Times New Roman" w:hAnsi="Times New Roman" w:cs="Times New Roman"/>
          <w:color w:val="231F20"/>
          <w:sz w:val="20"/>
          <w:szCs w:val="20"/>
        </w:rPr>
        <w:sectPr w:rsidR="00442206" w:rsidRPr="006D261A" w:rsidSect="00BA1786">
          <w:footerReference w:type="default" r:id="rId8"/>
          <w:footnotePr>
            <w:numFmt w:val="lowerLetter"/>
          </w:footnotePr>
          <w:pgSz w:w="11907" w:h="16840" w:code="9"/>
          <w:pgMar w:top="1440" w:right="1797" w:bottom="1440" w:left="1797" w:header="720" w:footer="720" w:gutter="0"/>
          <w:cols w:space="720"/>
          <w:titlePg/>
          <w:docGrid w:linePitch="360"/>
        </w:sectPr>
      </w:pPr>
    </w:p>
    <w:p w14:paraId="74C370C9" w14:textId="6F3C191E" w:rsidR="00442206" w:rsidRDefault="00442206" w:rsidP="00442206">
      <w:pPr>
        <w:jc w:val="center"/>
        <w:rPr>
          <w:rFonts w:ascii="Times New Roman" w:hAnsi="Times New Roman" w:cs="Times New Roman"/>
          <w:b/>
          <w:sz w:val="32"/>
          <w:szCs w:val="32"/>
        </w:rPr>
      </w:pPr>
      <w:r w:rsidRPr="00454BB2">
        <w:rPr>
          <w:rFonts w:ascii="Times New Roman" w:hAnsi="Times New Roman" w:cs="Times New Roman"/>
          <w:b/>
          <w:sz w:val="32"/>
          <w:szCs w:val="32"/>
        </w:rPr>
        <w:lastRenderedPageBreak/>
        <w:t>Economic Uncertainty and Bank Lending</w:t>
      </w:r>
    </w:p>
    <w:p w14:paraId="35A507BA" w14:textId="0740EA49" w:rsidR="00442206" w:rsidRDefault="00442206" w:rsidP="00442206">
      <w:pPr>
        <w:jc w:val="center"/>
        <w:rPr>
          <w:rFonts w:ascii="Times New Roman" w:hAnsi="Times New Roman" w:cs="Times New Roman"/>
          <w:b/>
          <w:sz w:val="32"/>
          <w:szCs w:val="32"/>
        </w:rPr>
      </w:pPr>
    </w:p>
    <w:p w14:paraId="6068A731" w14:textId="77777777" w:rsidR="00442206" w:rsidRDefault="00442206" w:rsidP="00442206">
      <w:pPr>
        <w:jc w:val="center"/>
        <w:rPr>
          <w:rFonts w:ascii="Times New Roman" w:hAnsi="Times New Roman" w:cs="Times New Roman"/>
          <w:b/>
          <w:sz w:val="32"/>
          <w:szCs w:val="32"/>
        </w:rPr>
      </w:pPr>
    </w:p>
    <w:p w14:paraId="5B62A848" w14:textId="715291BF" w:rsidR="00442206" w:rsidRDefault="00581EA1" w:rsidP="00581EA1">
      <w:pPr>
        <w:autoSpaceDE w:val="0"/>
        <w:autoSpaceDN w:val="0"/>
        <w:adjustRightInd w:val="0"/>
        <w:spacing w:after="0" w:line="480" w:lineRule="auto"/>
        <w:rPr>
          <w:rFonts w:ascii="Times-Roman" w:hAnsi="Times-Roman" w:cs="Times-Roman"/>
          <w:b/>
          <w:color w:val="231F20"/>
          <w:sz w:val="24"/>
          <w:szCs w:val="24"/>
        </w:rPr>
      </w:pPr>
      <w:r w:rsidRPr="00BC3113">
        <w:rPr>
          <w:rFonts w:ascii="Times-Roman" w:hAnsi="Times-Roman" w:cs="Times-Roman"/>
          <w:b/>
          <w:color w:val="231F20"/>
          <w:sz w:val="24"/>
          <w:szCs w:val="24"/>
        </w:rPr>
        <w:t>ABSTRACT</w:t>
      </w:r>
    </w:p>
    <w:p w14:paraId="07AE3ECE" w14:textId="77777777" w:rsidR="00F4606E" w:rsidRPr="00BC3113" w:rsidRDefault="00F4606E" w:rsidP="00581EA1">
      <w:pPr>
        <w:autoSpaceDE w:val="0"/>
        <w:autoSpaceDN w:val="0"/>
        <w:adjustRightInd w:val="0"/>
        <w:spacing w:after="0" w:line="480" w:lineRule="auto"/>
        <w:rPr>
          <w:rFonts w:ascii="Times-Roman" w:hAnsi="Times-Roman" w:cs="Times-Roman"/>
          <w:b/>
          <w:color w:val="231F20"/>
          <w:sz w:val="24"/>
          <w:szCs w:val="24"/>
        </w:rPr>
      </w:pPr>
    </w:p>
    <w:p w14:paraId="72DEA759" w14:textId="77777777" w:rsidR="00442206" w:rsidRDefault="00442206" w:rsidP="00442206">
      <w:pPr>
        <w:spacing w:after="0" w:line="480" w:lineRule="auto"/>
        <w:jc w:val="both"/>
        <w:rPr>
          <w:rFonts w:ascii="Times New Roman" w:hAnsi="Times New Roman" w:cs="Times New Roman"/>
          <w:color w:val="231F20"/>
          <w:sz w:val="24"/>
          <w:szCs w:val="24"/>
        </w:rPr>
      </w:pPr>
      <w:r w:rsidRPr="00151BFC">
        <w:rPr>
          <w:rFonts w:ascii="Times New Roman" w:hAnsi="Times New Roman" w:cs="Times New Roman"/>
          <w:color w:val="231F20"/>
          <w:sz w:val="24"/>
          <w:szCs w:val="24"/>
        </w:rPr>
        <w:t>This paper shows that</w:t>
      </w:r>
      <w:r>
        <w:rPr>
          <w:rFonts w:ascii="Times New Roman" w:hAnsi="Times New Roman" w:cs="Times New Roman"/>
          <w:color w:val="231F20"/>
          <w:sz w:val="24"/>
          <w:szCs w:val="24"/>
        </w:rPr>
        <w:t xml:space="preserve"> economi</w:t>
      </w:r>
      <w:bookmarkStart w:id="0" w:name="_GoBack"/>
      <w:bookmarkEnd w:id="0"/>
      <w:r>
        <w:rPr>
          <w:rFonts w:ascii="Times New Roman" w:hAnsi="Times New Roman" w:cs="Times New Roman"/>
          <w:color w:val="231F20"/>
          <w:sz w:val="24"/>
          <w:szCs w:val="24"/>
        </w:rPr>
        <w:t>c uncertainty proxied by</w:t>
      </w:r>
      <w:r w:rsidRPr="00151BFC">
        <w:rPr>
          <w:rFonts w:ascii="Times New Roman" w:hAnsi="Times New Roman" w:cs="Times New Roman"/>
          <w:color w:val="231F20"/>
          <w:sz w:val="24"/>
          <w:szCs w:val="24"/>
        </w:rPr>
        <w:t xml:space="preserve"> the variance risk premium</w:t>
      </w:r>
      <w:r>
        <w:rPr>
          <w:rFonts w:ascii="Times New Roman" w:hAnsi="Times New Roman" w:cs="Times New Roman"/>
          <w:color w:val="231F20"/>
          <w:sz w:val="24"/>
          <w:szCs w:val="24"/>
        </w:rPr>
        <w:t xml:space="preserve"> (VRP)</w:t>
      </w:r>
      <w:r w:rsidRPr="00151BFC">
        <w:rPr>
          <w:rFonts w:ascii="Times New Roman" w:hAnsi="Times New Roman" w:cs="Times New Roman"/>
          <w:color w:val="231F20"/>
          <w:sz w:val="24"/>
          <w:szCs w:val="24"/>
        </w:rPr>
        <w:t xml:space="preserve"> has an important explanatory power for bank</w:t>
      </w:r>
      <w:r>
        <w:rPr>
          <w:rFonts w:ascii="Times New Roman" w:hAnsi="Times New Roman" w:cs="Times New Roman"/>
          <w:color w:val="231F20"/>
          <w:sz w:val="24"/>
          <w:szCs w:val="24"/>
        </w:rPr>
        <w:t xml:space="preserve"> </w:t>
      </w:r>
      <w:r w:rsidRPr="00151BFC">
        <w:rPr>
          <w:rFonts w:ascii="Times New Roman" w:hAnsi="Times New Roman" w:cs="Times New Roman"/>
          <w:color w:val="231F20"/>
          <w:sz w:val="24"/>
          <w:szCs w:val="24"/>
        </w:rPr>
        <w:t>credit supply and demand.</w:t>
      </w:r>
      <w:r>
        <w:rPr>
          <w:rFonts w:ascii="Times New Roman" w:hAnsi="Times New Roman" w:cs="Times New Roman"/>
          <w:color w:val="231F20"/>
          <w:sz w:val="24"/>
          <w:szCs w:val="24"/>
        </w:rPr>
        <w:t xml:space="preserve"> Higher VRP exerts a negative influence on both loan demand and supply, increases loan spreads, reduces loan size and maturity, and increases the proportion of collateralized loan. These effects are substantive in the syndicated loan market and are worse off during economic recessions. Upon isolating the effect of uncertainty on bank credit supply from loan demand, we find that VRP dominates credit supply, which suggests that bank credit shortages can potentially aggravate economic downturn during recessions.</w:t>
      </w:r>
    </w:p>
    <w:p w14:paraId="0FA851B6" w14:textId="77777777" w:rsidR="00442206" w:rsidRPr="00454BB2" w:rsidRDefault="00442206" w:rsidP="00442206">
      <w:pPr>
        <w:jc w:val="center"/>
        <w:rPr>
          <w:rFonts w:ascii="Times New Roman" w:hAnsi="Times New Roman" w:cs="Times New Roman"/>
          <w:b/>
          <w:sz w:val="32"/>
          <w:szCs w:val="32"/>
        </w:rPr>
      </w:pPr>
    </w:p>
    <w:p w14:paraId="42AFC32E" w14:textId="7A87DDBC" w:rsidR="009877FE" w:rsidRDefault="009877FE" w:rsidP="0071191B">
      <w:pPr>
        <w:spacing w:after="0" w:line="480" w:lineRule="auto"/>
        <w:jc w:val="both"/>
        <w:rPr>
          <w:rFonts w:ascii="Times New Roman" w:hAnsi="Times New Roman" w:cs="Times New Roman"/>
          <w:color w:val="231F20"/>
          <w:sz w:val="24"/>
          <w:szCs w:val="24"/>
        </w:rPr>
        <w:sectPr w:rsidR="009877FE" w:rsidSect="00BA1786">
          <w:footnotePr>
            <w:numFmt w:val="lowerLetter"/>
          </w:footnotePr>
          <w:pgSz w:w="11907" w:h="16840" w:code="9"/>
          <w:pgMar w:top="1440" w:right="1797" w:bottom="1440" w:left="1797" w:header="720" w:footer="720" w:gutter="0"/>
          <w:cols w:space="720"/>
          <w:titlePg/>
          <w:docGrid w:linePitch="360"/>
        </w:sectPr>
      </w:pPr>
    </w:p>
    <w:p w14:paraId="6BDF87C3" w14:textId="19DA2EF4" w:rsidR="009877FE" w:rsidRDefault="00C93A04" w:rsidP="00D44BAE">
      <w:pPr>
        <w:spacing w:after="0" w:line="480" w:lineRule="auto"/>
        <w:rPr>
          <w:rFonts w:ascii="Times New Roman" w:hAnsi="Times New Roman" w:cs="Times New Roman"/>
          <w:b/>
          <w:color w:val="231F20"/>
          <w:sz w:val="24"/>
          <w:szCs w:val="24"/>
        </w:rPr>
      </w:pPr>
      <w:r w:rsidRPr="00B05724">
        <w:rPr>
          <w:rFonts w:ascii="Times New Roman" w:hAnsi="Times New Roman" w:cs="Times New Roman"/>
          <w:b/>
          <w:color w:val="231F20"/>
          <w:sz w:val="24"/>
          <w:szCs w:val="24"/>
        </w:rPr>
        <w:lastRenderedPageBreak/>
        <w:t>1. INTRODUCTION</w:t>
      </w:r>
    </w:p>
    <w:p w14:paraId="6247FB2A" w14:textId="77777777" w:rsidR="005C263A" w:rsidRPr="00B05724" w:rsidRDefault="005C263A" w:rsidP="00D44BAE">
      <w:pPr>
        <w:spacing w:after="0" w:line="480" w:lineRule="auto"/>
        <w:rPr>
          <w:rFonts w:ascii="Times New Roman" w:hAnsi="Times New Roman" w:cs="Times New Roman"/>
          <w:b/>
          <w:color w:val="231F20"/>
          <w:sz w:val="24"/>
          <w:szCs w:val="24"/>
        </w:rPr>
      </w:pPr>
    </w:p>
    <w:p w14:paraId="79682BB0" w14:textId="058993AC" w:rsidR="001A71F3" w:rsidRDefault="009877FE" w:rsidP="00D44BA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Economic uncertainty is time-varying and can deeply influence </w:t>
      </w:r>
      <w:r w:rsidRPr="00F80FC6">
        <w:rPr>
          <w:rFonts w:ascii="Times New Roman" w:hAnsi="Times New Roman" w:cs="Times New Roman"/>
          <w:sz w:val="24"/>
          <w:szCs w:val="24"/>
        </w:rPr>
        <w:t xml:space="preserve">financial </w:t>
      </w:r>
      <w:r>
        <w:rPr>
          <w:rFonts w:ascii="Times New Roman" w:hAnsi="Times New Roman" w:cs="Times New Roman"/>
          <w:sz w:val="24"/>
          <w:szCs w:val="24"/>
        </w:rPr>
        <w:t>decisions (</w:t>
      </w:r>
      <w:r w:rsidRPr="004F4290">
        <w:rPr>
          <w:rFonts w:ascii="Times New Roman" w:hAnsi="Times New Roman" w:cs="Times New Roman"/>
          <w:sz w:val="24"/>
          <w:szCs w:val="24"/>
        </w:rPr>
        <w:t xml:space="preserve">Jurado, Ludvigson, </w:t>
      </w:r>
      <w:r>
        <w:rPr>
          <w:rFonts w:ascii="Times New Roman" w:hAnsi="Times New Roman" w:cs="Times New Roman"/>
          <w:sz w:val="24"/>
          <w:szCs w:val="24"/>
        </w:rPr>
        <w:t xml:space="preserve">and </w:t>
      </w:r>
      <w:r w:rsidRPr="004F4290">
        <w:rPr>
          <w:rFonts w:ascii="Times New Roman" w:hAnsi="Times New Roman" w:cs="Times New Roman"/>
          <w:sz w:val="24"/>
          <w:szCs w:val="24"/>
        </w:rPr>
        <w:t>Ng</w:t>
      </w:r>
      <w:r>
        <w:rPr>
          <w:rFonts w:ascii="Times New Roman" w:hAnsi="Times New Roman" w:cs="Times New Roman"/>
          <w:sz w:val="24"/>
          <w:szCs w:val="24"/>
        </w:rPr>
        <w:t xml:space="preserve"> 2015). U</w:t>
      </w:r>
      <w:r w:rsidRPr="00C9728E">
        <w:rPr>
          <w:rFonts w:ascii="Times New Roman" w:hAnsi="Times New Roman" w:cs="Times New Roman"/>
          <w:sz w:val="24"/>
          <w:szCs w:val="24"/>
        </w:rPr>
        <w:t>ncertainty</w:t>
      </w:r>
      <w:r>
        <w:rPr>
          <w:rFonts w:ascii="Times New Roman" w:hAnsi="Times New Roman" w:cs="Times New Roman"/>
          <w:sz w:val="24"/>
          <w:szCs w:val="24"/>
        </w:rPr>
        <w:t xml:space="preserve"> measures,</w:t>
      </w:r>
      <w:r w:rsidRPr="00C9728E">
        <w:rPr>
          <w:rFonts w:ascii="Times New Roman" w:hAnsi="Times New Roman" w:cs="Times New Roman"/>
          <w:sz w:val="24"/>
          <w:szCs w:val="24"/>
        </w:rPr>
        <w:t xml:space="preserve"> </w:t>
      </w:r>
      <w:r>
        <w:rPr>
          <w:rFonts w:ascii="Times New Roman" w:hAnsi="Times New Roman" w:cs="Times New Roman"/>
          <w:sz w:val="24"/>
          <w:szCs w:val="24"/>
        </w:rPr>
        <w:t>which partly reflect</w:t>
      </w:r>
      <w:r w:rsidRPr="00035611">
        <w:rPr>
          <w:rFonts w:ascii="Times New Roman" w:hAnsi="Times New Roman" w:cs="Times New Roman"/>
          <w:sz w:val="24"/>
          <w:szCs w:val="24"/>
        </w:rPr>
        <w:t xml:space="preserve"> market participants</w:t>
      </w:r>
      <w:r>
        <w:rPr>
          <w:rFonts w:ascii="Times New Roman" w:hAnsi="Times New Roman" w:cs="Times New Roman"/>
          <w:sz w:val="24"/>
          <w:szCs w:val="24"/>
        </w:rPr>
        <w:t>’ risk aversion surged during</w:t>
      </w:r>
      <w:r w:rsidRPr="00C9728E">
        <w:rPr>
          <w:rFonts w:ascii="Times New Roman" w:hAnsi="Times New Roman" w:cs="Times New Roman"/>
          <w:sz w:val="24"/>
          <w:szCs w:val="24"/>
        </w:rPr>
        <w:t xml:space="preserve"> the </w:t>
      </w:r>
      <w:r>
        <w:rPr>
          <w:rFonts w:ascii="Times New Roman" w:hAnsi="Times New Roman" w:cs="Times New Roman"/>
          <w:sz w:val="24"/>
          <w:szCs w:val="24"/>
        </w:rPr>
        <w:t>Global Financial Crisis of 2008-2009</w:t>
      </w:r>
      <w:r w:rsidRPr="00C9728E">
        <w:rPr>
          <w:rFonts w:ascii="Times New Roman" w:hAnsi="Times New Roman" w:cs="Times New Roman"/>
          <w:sz w:val="24"/>
          <w:szCs w:val="24"/>
        </w:rPr>
        <w:t>.</w:t>
      </w:r>
      <w:r w:rsidR="001A71F3">
        <w:rPr>
          <w:rStyle w:val="af7"/>
          <w:rFonts w:ascii="Times New Roman" w:hAnsi="Times New Roman" w:cs="Times New Roman"/>
          <w:sz w:val="24"/>
          <w:szCs w:val="24"/>
        </w:rPr>
        <w:endnoteReference w:id="1"/>
      </w:r>
      <w:r w:rsidR="001A71F3" w:rsidRPr="00C9728E">
        <w:rPr>
          <w:rFonts w:ascii="Times New Roman" w:hAnsi="Times New Roman" w:cs="Times New Roman"/>
          <w:sz w:val="24"/>
          <w:szCs w:val="24"/>
        </w:rPr>
        <w:t xml:space="preserve"> </w:t>
      </w:r>
      <w:r w:rsidR="007C3344">
        <w:rPr>
          <w:rFonts w:ascii="Times New Roman" w:hAnsi="Times New Roman" w:cs="Times New Roman"/>
          <w:sz w:val="24"/>
          <w:szCs w:val="24"/>
        </w:rPr>
        <w:t>The variance risk premium (VRP) is a</w:t>
      </w:r>
      <w:r w:rsidR="007C3344" w:rsidRPr="00BE3394">
        <w:rPr>
          <w:rFonts w:ascii="Times New Roman" w:hAnsi="Times New Roman" w:cs="Times New Roman"/>
          <w:sz w:val="24"/>
          <w:szCs w:val="24"/>
        </w:rPr>
        <w:t xml:space="preserve"> new measure of uncertainty</w:t>
      </w:r>
      <w:r w:rsidR="007C3344">
        <w:rPr>
          <w:rFonts w:ascii="Times New Roman" w:hAnsi="Times New Roman" w:cs="Times New Roman"/>
          <w:sz w:val="24"/>
          <w:szCs w:val="24"/>
        </w:rPr>
        <w:t xml:space="preserve">, which </w:t>
      </w:r>
      <w:r w:rsidR="007C3344" w:rsidRPr="00BE3394">
        <w:rPr>
          <w:rFonts w:ascii="Times New Roman" w:hAnsi="Times New Roman" w:cs="Times New Roman"/>
          <w:sz w:val="24"/>
          <w:szCs w:val="24"/>
        </w:rPr>
        <w:t xml:space="preserve">has attracted a </w:t>
      </w:r>
      <w:r w:rsidR="007C3344">
        <w:rPr>
          <w:rFonts w:ascii="Times New Roman" w:hAnsi="Times New Roman" w:cs="Times New Roman"/>
          <w:sz w:val="24"/>
          <w:szCs w:val="24"/>
        </w:rPr>
        <w:t>great</w:t>
      </w:r>
      <w:r w:rsidR="007C3344" w:rsidRPr="00BE3394">
        <w:rPr>
          <w:rFonts w:ascii="Times New Roman" w:hAnsi="Times New Roman" w:cs="Times New Roman"/>
          <w:sz w:val="24"/>
          <w:szCs w:val="24"/>
        </w:rPr>
        <w:t xml:space="preserve"> deal of attention among</w:t>
      </w:r>
      <w:r w:rsidR="007C3344">
        <w:rPr>
          <w:rFonts w:ascii="Times New Roman" w:hAnsi="Times New Roman" w:cs="Times New Roman"/>
          <w:sz w:val="24"/>
          <w:szCs w:val="24"/>
        </w:rPr>
        <w:t>st</w:t>
      </w:r>
      <w:r w:rsidR="007C3344" w:rsidRPr="00BE3394">
        <w:rPr>
          <w:rFonts w:ascii="Times New Roman" w:hAnsi="Times New Roman" w:cs="Times New Roman"/>
          <w:sz w:val="24"/>
          <w:szCs w:val="24"/>
        </w:rPr>
        <w:t xml:space="preserve"> academic researchers.</w:t>
      </w:r>
      <w:r w:rsidR="007C3344">
        <w:rPr>
          <w:rFonts w:ascii="Times New Roman" w:hAnsi="Times New Roman" w:cs="Times New Roman"/>
          <w:sz w:val="24"/>
          <w:szCs w:val="24"/>
        </w:rPr>
        <w:t xml:space="preserve"> It is obtained by decomposing the CBOE VIX into stock market volatility (the “physical” expected volatility) and a variance risk premium, which is the premium investors pay to hedge uncertainty in the volatility. This paper studies the effect of VRP on bank lending. To what extent does </w:t>
      </w:r>
      <w:r w:rsidR="007C3344" w:rsidRPr="00035611">
        <w:rPr>
          <w:rFonts w:ascii="Times New Roman" w:hAnsi="Times New Roman" w:cs="Times New Roman"/>
          <w:sz w:val="24"/>
          <w:szCs w:val="24"/>
        </w:rPr>
        <w:t xml:space="preserve">the </w:t>
      </w:r>
      <w:r w:rsidR="007C3344">
        <w:rPr>
          <w:rFonts w:ascii="Times New Roman" w:hAnsi="Times New Roman" w:cs="Times New Roman"/>
          <w:sz w:val="24"/>
          <w:szCs w:val="24"/>
        </w:rPr>
        <w:t>variance</w:t>
      </w:r>
      <w:r w:rsidR="007C3344" w:rsidRPr="00035611">
        <w:rPr>
          <w:rFonts w:ascii="Times New Roman" w:hAnsi="Times New Roman" w:cs="Times New Roman"/>
          <w:sz w:val="24"/>
          <w:szCs w:val="24"/>
        </w:rPr>
        <w:t xml:space="preserve"> risk premium </w:t>
      </w:r>
      <w:r w:rsidR="007C3344">
        <w:rPr>
          <w:rFonts w:ascii="Times New Roman" w:hAnsi="Times New Roman" w:cs="Times New Roman"/>
          <w:sz w:val="24"/>
          <w:szCs w:val="24"/>
        </w:rPr>
        <w:t>predict and influence bank lending? Specifically, how do investors’ and banks’ perceptions of a higher VRP affect loan demand and supply, the loan volume, its price and non-price terms? These are important considerations not previously documented in the bank lending literature.</w:t>
      </w:r>
      <w:r w:rsidR="001A71F3">
        <w:rPr>
          <w:rStyle w:val="af7"/>
          <w:rFonts w:ascii="Times New Roman" w:hAnsi="Times New Roman" w:cs="Times New Roman"/>
          <w:sz w:val="24"/>
          <w:szCs w:val="24"/>
        </w:rPr>
        <w:endnoteReference w:id="2"/>
      </w:r>
    </w:p>
    <w:p w14:paraId="2C60F5DA" w14:textId="719C84F4" w:rsidR="007C3344" w:rsidRDefault="007C3344" w:rsidP="00D44BA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color w:val="231F20"/>
          <w:sz w:val="24"/>
          <w:szCs w:val="24"/>
        </w:rPr>
        <w:t>There are at least three main economic interpretations of the VRP. It is viewed as a time-varying risk aversion (</w:t>
      </w:r>
      <w:r w:rsidRPr="00861636">
        <w:rPr>
          <w:rFonts w:ascii="Times New Roman" w:hAnsi="Times New Roman" w:cs="Times New Roman"/>
          <w:color w:val="231F20"/>
          <w:sz w:val="24"/>
          <w:szCs w:val="24"/>
        </w:rPr>
        <w:t>Rosenberg and Engle</w:t>
      </w:r>
      <w:r>
        <w:rPr>
          <w:rFonts w:ascii="Times New Roman" w:hAnsi="Times New Roman" w:cs="Times New Roman"/>
          <w:color w:val="231F20"/>
          <w:sz w:val="24"/>
          <w:szCs w:val="24"/>
        </w:rPr>
        <w:t xml:space="preserve"> 2002, Bollerslev, Gibson, and Zhou 2011, Bekaert, Hoerova, and Lo Duca 2013), it is associated with economic uncertainty (Bollerslev, Taichen, and Zhou 2009, Dreschler and Yaron 2011, Bali and Zhou 2016), and it is also referred to as ambiguity aversion (Dreschler 2013, Miao, Wei, and Zhou 201</w:t>
      </w:r>
      <w:r w:rsidR="003B6067">
        <w:rPr>
          <w:rFonts w:ascii="Times New Roman" w:hAnsi="Times New Roman" w:cs="Times New Roman"/>
          <w:color w:val="231F20"/>
          <w:sz w:val="24"/>
          <w:szCs w:val="24"/>
        </w:rPr>
        <w:t>9</w:t>
      </w:r>
      <w:r>
        <w:rPr>
          <w:rFonts w:ascii="Times New Roman" w:hAnsi="Times New Roman" w:cs="Times New Roman"/>
          <w:color w:val="231F20"/>
          <w:sz w:val="24"/>
          <w:szCs w:val="24"/>
        </w:rPr>
        <w:t>, Neamtiu et al. 2014). Regardless of how VRP is defined, the model-free VRP is a leading contender of economic uncertainty, and in our analysis we show that it negatively affects</w:t>
      </w:r>
      <w:r w:rsidRPr="000B359B">
        <w:rPr>
          <w:rFonts w:ascii="Times New Roman" w:hAnsi="Times New Roman" w:cs="Times New Roman"/>
          <w:color w:val="231F20"/>
          <w:sz w:val="24"/>
          <w:szCs w:val="24"/>
        </w:rPr>
        <w:t xml:space="preserve"> </w:t>
      </w:r>
      <w:r>
        <w:rPr>
          <w:rFonts w:ascii="Times New Roman" w:hAnsi="Times New Roman" w:cs="Times New Roman"/>
          <w:color w:val="231F20"/>
          <w:sz w:val="24"/>
          <w:szCs w:val="24"/>
        </w:rPr>
        <w:t>the credit market.</w:t>
      </w:r>
    </w:p>
    <w:p w14:paraId="1EC469DD" w14:textId="63E10A1B" w:rsidR="007C3344" w:rsidRPr="00F1350E"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sz w:val="24"/>
          <w:szCs w:val="24"/>
        </w:rPr>
        <w:t xml:space="preserve">During high VRP, firms do not have complete confidence in their perceived pay-off probability measures of their irreversible investment hence they postpone the pursuit of additional loans for investment purposes (Nishimura and Ozaki 2007). While </w:t>
      </w:r>
      <w:r>
        <w:rPr>
          <w:rFonts w:ascii="Times New Roman" w:hAnsi="Times New Roman" w:cs="Times New Roman"/>
          <w:sz w:val="24"/>
          <w:szCs w:val="24"/>
        </w:rPr>
        <w:lastRenderedPageBreak/>
        <w:t>past research has investigated the effect of uncertainty on firms’ investment rate (e.g., Ericsson and Lotfaliei 201</w:t>
      </w:r>
      <w:r w:rsidR="00470B9F">
        <w:rPr>
          <w:rFonts w:ascii="Times New Roman" w:hAnsi="Times New Roman" w:cs="Times New Roman"/>
          <w:sz w:val="24"/>
          <w:szCs w:val="24"/>
        </w:rPr>
        <w:t>7</w:t>
      </w:r>
      <w:r>
        <w:rPr>
          <w:rFonts w:ascii="Times New Roman" w:hAnsi="Times New Roman" w:cs="Times New Roman"/>
          <w:sz w:val="24"/>
          <w:szCs w:val="24"/>
        </w:rPr>
        <w:t>, Neamtiu et al. 2014), to the best of our knowledge no empirical research has yet examined the effect of VRP on loan demand.</w:t>
      </w:r>
      <w:r>
        <w:rPr>
          <w:rFonts w:ascii="Times New Roman" w:hAnsi="Times New Roman" w:cs="Times New Roman"/>
          <w:color w:val="231F20"/>
          <w:sz w:val="24"/>
          <w:szCs w:val="24"/>
        </w:rPr>
        <w:t xml:space="preserve"> Equally, the VRP has</w:t>
      </w:r>
      <w:r w:rsidRPr="000B359B">
        <w:rPr>
          <w:rFonts w:ascii="Times New Roman" w:hAnsi="Times New Roman" w:cs="Times New Roman"/>
          <w:color w:val="231F20"/>
          <w:sz w:val="24"/>
          <w:szCs w:val="24"/>
        </w:rPr>
        <w:t xml:space="preserve"> adverse effects on the allocation of banks</w:t>
      </w:r>
      <w:r>
        <w:rPr>
          <w:rFonts w:ascii="Times New Roman" w:hAnsi="Times New Roman" w:cs="Times New Roman"/>
          <w:sz w:val="24"/>
          <w:szCs w:val="24"/>
        </w:rPr>
        <w:t>’</w:t>
      </w:r>
      <w:r w:rsidRPr="000B359B">
        <w:rPr>
          <w:rFonts w:ascii="Times New Roman" w:hAnsi="Times New Roman" w:cs="Times New Roman"/>
          <w:color w:val="231F20"/>
          <w:sz w:val="24"/>
          <w:szCs w:val="24"/>
        </w:rPr>
        <w:t xml:space="preserve"> loanable</w:t>
      </w:r>
      <w:r>
        <w:rPr>
          <w:rFonts w:ascii="Times New Roman" w:hAnsi="Times New Roman" w:cs="Times New Roman"/>
          <w:color w:val="231F20"/>
          <w:sz w:val="24"/>
          <w:szCs w:val="24"/>
        </w:rPr>
        <w:t xml:space="preserve"> </w:t>
      </w:r>
      <w:r w:rsidRPr="000B359B">
        <w:rPr>
          <w:rFonts w:ascii="Times New Roman" w:hAnsi="Times New Roman" w:cs="Times New Roman"/>
          <w:color w:val="231F20"/>
          <w:sz w:val="24"/>
          <w:szCs w:val="24"/>
        </w:rPr>
        <w:t xml:space="preserve">funds. </w:t>
      </w:r>
      <w:r>
        <w:rPr>
          <w:rFonts w:ascii="Times New Roman" w:hAnsi="Times New Roman" w:cs="Times New Roman"/>
          <w:color w:val="231F20"/>
          <w:sz w:val="24"/>
          <w:szCs w:val="24"/>
        </w:rPr>
        <w:t xml:space="preserve">Since </w:t>
      </w:r>
      <w:r w:rsidRPr="000B359B">
        <w:rPr>
          <w:rFonts w:ascii="Times New Roman" w:hAnsi="Times New Roman" w:cs="Times New Roman"/>
          <w:color w:val="231F20"/>
          <w:sz w:val="24"/>
          <w:szCs w:val="24"/>
        </w:rPr>
        <w:t>banks must acquire costly information on borrowers before extending loans to new or existing customers,</w:t>
      </w:r>
      <w:r>
        <w:rPr>
          <w:rFonts w:ascii="Times New Roman" w:hAnsi="Times New Roman" w:cs="Times New Roman"/>
          <w:color w:val="231F20"/>
          <w:sz w:val="24"/>
          <w:szCs w:val="24"/>
        </w:rPr>
        <w:t xml:space="preserve"> uncertainty</w:t>
      </w:r>
      <w:r w:rsidRPr="000B359B">
        <w:rPr>
          <w:rFonts w:ascii="Times New Roman" w:hAnsi="Times New Roman" w:cs="Times New Roman"/>
          <w:color w:val="231F20"/>
          <w:sz w:val="24"/>
          <w:szCs w:val="24"/>
        </w:rPr>
        <w:t xml:space="preserve"> about economic conditions (and the likelihood of loan default) </w:t>
      </w:r>
      <w:r>
        <w:rPr>
          <w:rFonts w:ascii="Times New Roman" w:hAnsi="Times New Roman" w:cs="Times New Roman"/>
          <w:color w:val="231F20"/>
          <w:sz w:val="24"/>
          <w:szCs w:val="24"/>
        </w:rPr>
        <w:t>will affect</w:t>
      </w:r>
      <w:r w:rsidRPr="000B359B">
        <w:rPr>
          <w:rFonts w:ascii="Times New Roman" w:hAnsi="Times New Roman" w:cs="Times New Roman"/>
          <w:color w:val="231F20"/>
          <w:sz w:val="24"/>
          <w:szCs w:val="24"/>
        </w:rPr>
        <w:t xml:space="preserve"> their lending strategies.</w:t>
      </w:r>
      <w:r>
        <w:rPr>
          <w:rFonts w:ascii="Times New Roman" w:hAnsi="Times New Roman" w:cs="Times New Roman"/>
          <w:color w:val="231F20"/>
          <w:sz w:val="24"/>
          <w:szCs w:val="24"/>
        </w:rPr>
        <w:t xml:space="preserve"> W</w:t>
      </w:r>
      <w:r w:rsidRPr="00A30469">
        <w:rPr>
          <w:rFonts w:ascii="Times New Roman" w:hAnsi="Times New Roman" w:cs="Times New Roman"/>
          <w:color w:val="231F20"/>
          <w:sz w:val="24"/>
          <w:szCs w:val="24"/>
        </w:rPr>
        <w:t xml:space="preserve">hen </w:t>
      </w:r>
      <w:r>
        <w:rPr>
          <w:rFonts w:ascii="Times New Roman" w:hAnsi="Times New Roman" w:cs="Times New Roman"/>
          <w:color w:val="231F20"/>
          <w:sz w:val="24"/>
          <w:szCs w:val="24"/>
        </w:rPr>
        <w:t>the economic</w:t>
      </w:r>
      <w:r w:rsidRPr="00A30469">
        <w:rPr>
          <w:rFonts w:ascii="Times New Roman" w:hAnsi="Times New Roman" w:cs="Times New Roman"/>
          <w:color w:val="231F20"/>
          <w:sz w:val="24"/>
          <w:szCs w:val="24"/>
        </w:rPr>
        <w:t xml:space="preserve"> environment</w:t>
      </w:r>
      <w:r>
        <w:rPr>
          <w:rFonts w:ascii="Times New Roman" w:hAnsi="Times New Roman" w:cs="Times New Roman"/>
          <w:color w:val="231F20"/>
          <w:sz w:val="24"/>
          <w:szCs w:val="24"/>
        </w:rPr>
        <w:t xml:space="preserve"> and financial market</w:t>
      </w:r>
      <w:r w:rsidRPr="00A30469">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are </w:t>
      </w:r>
      <w:r w:rsidRPr="00A30469">
        <w:rPr>
          <w:rFonts w:ascii="Times New Roman" w:hAnsi="Times New Roman" w:cs="Times New Roman"/>
          <w:color w:val="231F20"/>
          <w:sz w:val="24"/>
          <w:szCs w:val="24"/>
        </w:rPr>
        <w:t xml:space="preserve">tranquil, bank managers </w:t>
      </w:r>
      <w:r>
        <w:rPr>
          <w:rFonts w:ascii="Times New Roman" w:hAnsi="Times New Roman" w:cs="Times New Roman"/>
          <w:color w:val="231F20"/>
          <w:sz w:val="24"/>
          <w:szCs w:val="24"/>
        </w:rPr>
        <w:t>are</w:t>
      </w:r>
      <w:r w:rsidRPr="00A30469">
        <w:rPr>
          <w:rFonts w:ascii="Times New Roman" w:hAnsi="Times New Roman" w:cs="Times New Roman"/>
          <w:color w:val="231F20"/>
          <w:sz w:val="24"/>
          <w:szCs w:val="24"/>
        </w:rPr>
        <w:t xml:space="preserve"> able to predict returns from each</w:t>
      </w:r>
      <w:r>
        <w:rPr>
          <w:rFonts w:ascii="Times New Roman" w:hAnsi="Times New Roman" w:cs="Times New Roman"/>
          <w:color w:val="231F20"/>
          <w:sz w:val="24"/>
          <w:szCs w:val="24"/>
        </w:rPr>
        <w:t xml:space="preserve"> </w:t>
      </w:r>
      <w:r w:rsidRPr="00A30469">
        <w:rPr>
          <w:rFonts w:ascii="Times New Roman" w:hAnsi="Times New Roman" w:cs="Times New Roman"/>
          <w:color w:val="231F20"/>
          <w:sz w:val="24"/>
          <w:szCs w:val="24"/>
        </w:rPr>
        <w:t>potential project more easily and channel funds towards projects with</w:t>
      </w:r>
      <w:r>
        <w:rPr>
          <w:rFonts w:ascii="Times New Roman" w:hAnsi="Times New Roman" w:cs="Times New Roman"/>
          <w:color w:val="231F20"/>
          <w:sz w:val="24"/>
          <w:szCs w:val="24"/>
        </w:rPr>
        <w:t xml:space="preserve"> </w:t>
      </w:r>
      <w:r w:rsidRPr="00A30469">
        <w:rPr>
          <w:rFonts w:ascii="Times New Roman" w:hAnsi="Times New Roman" w:cs="Times New Roman"/>
          <w:color w:val="231F20"/>
          <w:sz w:val="24"/>
          <w:szCs w:val="24"/>
        </w:rPr>
        <w:t>higher expected returns.</w:t>
      </w:r>
      <w:r>
        <w:rPr>
          <w:rFonts w:ascii="Times New Roman" w:hAnsi="Times New Roman" w:cs="Times New Roman"/>
          <w:color w:val="231F20"/>
          <w:sz w:val="24"/>
          <w:szCs w:val="24"/>
        </w:rPr>
        <w:t xml:space="preserve"> In contrast</w:t>
      </w:r>
      <w:r w:rsidRPr="00A30469">
        <w:rPr>
          <w:rFonts w:ascii="Times New Roman" w:hAnsi="Times New Roman" w:cs="Times New Roman"/>
          <w:color w:val="231F20"/>
          <w:sz w:val="24"/>
          <w:szCs w:val="24"/>
        </w:rPr>
        <w:t xml:space="preserve">, when the economic environment </w:t>
      </w:r>
      <w:r>
        <w:rPr>
          <w:rFonts w:ascii="Times New Roman" w:hAnsi="Times New Roman" w:cs="Times New Roman"/>
          <w:color w:val="231F20"/>
          <w:sz w:val="24"/>
          <w:szCs w:val="24"/>
        </w:rPr>
        <w:t>and financial market are</w:t>
      </w:r>
      <w:r w:rsidRPr="00A30469">
        <w:rPr>
          <w:rFonts w:ascii="Times New Roman" w:hAnsi="Times New Roman" w:cs="Times New Roman"/>
          <w:color w:val="231F20"/>
          <w:sz w:val="24"/>
          <w:szCs w:val="24"/>
        </w:rPr>
        <w:t xml:space="preserve"> in turmoil, bank</w:t>
      </w:r>
      <w:r>
        <w:rPr>
          <w:rFonts w:ascii="Times New Roman" w:hAnsi="Times New Roman" w:cs="Times New Roman"/>
          <w:color w:val="231F20"/>
          <w:sz w:val="24"/>
          <w:szCs w:val="24"/>
        </w:rPr>
        <w:t xml:space="preserve"> </w:t>
      </w:r>
      <w:r w:rsidRPr="00A30469">
        <w:rPr>
          <w:rFonts w:ascii="Times New Roman" w:hAnsi="Times New Roman" w:cs="Times New Roman"/>
          <w:color w:val="231F20"/>
          <w:sz w:val="24"/>
          <w:szCs w:val="24"/>
        </w:rPr>
        <w:t>managers</w:t>
      </w:r>
      <w:r>
        <w:rPr>
          <w:rFonts w:ascii="Times New Roman" w:hAnsi="Times New Roman" w:cs="Times New Roman"/>
          <w:sz w:val="24"/>
          <w:szCs w:val="24"/>
        </w:rPr>
        <w:t>’</w:t>
      </w:r>
      <w:r w:rsidRPr="00A30469">
        <w:rPr>
          <w:rFonts w:ascii="Times New Roman" w:hAnsi="Times New Roman" w:cs="Times New Roman"/>
          <w:color w:val="231F20"/>
          <w:sz w:val="24"/>
          <w:szCs w:val="24"/>
        </w:rPr>
        <w:t xml:space="preserve"> ability to predict returns accurately will be hindered</w:t>
      </w:r>
      <w:r>
        <w:rPr>
          <w:rFonts w:ascii="Times New Roman" w:hAnsi="Times New Roman" w:cs="Times New Roman"/>
          <w:color w:val="231F20"/>
          <w:sz w:val="24"/>
          <w:szCs w:val="24"/>
        </w:rPr>
        <w:t>, thus leading to</w:t>
      </w:r>
      <w:r w:rsidRPr="00A30469">
        <w:rPr>
          <w:rFonts w:ascii="Times New Roman" w:hAnsi="Times New Roman" w:cs="Times New Roman"/>
          <w:color w:val="231F20"/>
          <w:sz w:val="24"/>
          <w:szCs w:val="24"/>
        </w:rPr>
        <w:t xml:space="preserve"> more conservative lending behavior across all banks. </w:t>
      </w:r>
      <w:r>
        <w:rPr>
          <w:rFonts w:ascii="Times New Roman" w:hAnsi="Times New Roman" w:cs="Times New Roman"/>
          <w:sz w:val="24"/>
          <w:szCs w:val="24"/>
        </w:rPr>
        <w:t>Furthermore, as</w:t>
      </w:r>
      <w:r>
        <w:rPr>
          <w:rFonts w:ascii="Times New Roman" w:hAnsi="Times New Roman" w:cs="Times New Roman"/>
          <w:color w:val="231F20"/>
          <w:sz w:val="24"/>
          <w:szCs w:val="24"/>
        </w:rPr>
        <w:t xml:space="preserve"> shown by </w:t>
      </w:r>
      <w:r>
        <w:rPr>
          <w:rFonts w:ascii="Times New Roman" w:hAnsi="Times New Roman" w:cs="Times New Roman"/>
          <w:sz w:val="24"/>
          <w:szCs w:val="24"/>
        </w:rPr>
        <w:t>Van Tassel and Vogt (2016), the risk appetite of financial intermediaries is highly correlated with variance risk. In times of greater economic uncertainty, the difficulties in predicting the returns of irreversible investments would mean that banks as loans suppliers face uncertainty about borrowers’ ability to service loans, thus altering their risk-taking behavior and reducing bank credit supply.</w:t>
      </w:r>
    </w:p>
    <w:p w14:paraId="2E7DF510" w14:textId="4973EBCD" w:rsidR="001A71F3" w:rsidRDefault="007C3344" w:rsidP="00D44BAE">
      <w:pPr>
        <w:autoSpaceDE w:val="0"/>
        <w:autoSpaceDN w:val="0"/>
        <w:adjustRightInd w:val="0"/>
        <w:spacing w:after="0" w:line="480" w:lineRule="auto"/>
        <w:ind w:firstLine="720"/>
        <w:jc w:val="both"/>
        <w:rPr>
          <w:rFonts w:ascii="Times New Roman" w:hAnsi="Times New Roman" w:cs="Times New Roman"/>
          <w:sz w:val="24"/>
          <w:szCs w:val="24"/>
        </w:rPr>
      </w:pPr>
      <w:r w:rsidRPr="00DC7877">
        <w:rPr>
          <w:rFonts w:ascii="Times New Roman" w:hAnsi="Times New Roman" w:cs="Times New Roman"/>
          <w:sz w:val="24"/>
          <w:szCs w:val="24"/>
        </w:rPr>
        <w:t>To test the</w:t>
      </w:r>
      <w:r>
        <w:rPr>
          <w:rFonts w:ascii="Times New Roman" w:hAnsi="Times New Roman" w:cs="Times New Roman"/>
          <w:sz w:val="24"/>
          <w:szCs w:val="24"/>
        </w:rPr>
        <w:t>se</w:t>
      </w:r>
      <w:r w:rsidRPr="00DC7877">
        <w:rPr>
          <w:rFonts w:ascii="Times New Roman" w:hAnsi="Times New Roman" w:cs="Times New Roman"/>
          <w:sz w:val="24"/>
          <w:szCs w:val="24"/>
        </w:rPr>
        <w:t xml:space="preserve"> hypotheses</w:t>
      </w:r>
      <w:r>
        <w:rPr>
          <w:rFonts w:ascii="Times New Roman" w:hAnsi="Times New Roman" w:cs="Times New Roman"/>
          <w:sz w:val="24"/>
          <w:szCs w:val="24"/>
        </w:rPr>
        <w:t>,</w:t>
      </w:r>
      <w:r w:rsidRPr="00DC7877">
        <w:rPr>
          <w:rFonts w:ascii="Times New Roman" w:hAnsi="Times New Roman" w:cs="Times New Roman"/>
          <w:sz w:val="24"/>
          <w:szCs w:val="24"/>
        </w:rPr>
        <w:t xml:space="preserve"> we use quarterly U.S. aggregated bank-level data covering a quarter-century period taken from </w:t>
      </w:r>
      <w:r>
        <w:rPr>
          <w:rFonts w:ascii="Times New Roman" w:hAnsi="Times New Roman" w:cs="Times New Roman"/>
          <w:sz w:val="24"/>
          <w:szCs w:val="24"/>
        </w:rPr>
        <w:t xml:space="preserve">several </w:t>
      </w:r>
      <w:r w:rsidRPr="00DC7877">
        <w:rPr>
          <w:rFonts w:ascii="Times New Roman" w:hAnsi="Times New Roman" w:cs="Times New Roman"/>
          <w:sz w:val="24"/>
          <w:szCs w:val="24"/>
        </w:rPr>
        <w:t xml:space="preserve">databases. Using the Senior Loan </w:t>
      </w:r>
      <w:r w:rsidRPr="007B2266">
        <w:rPr>
          <w:rFonts w:ascii="Times New Roman" w:hAnsi="Times New Roman" w:cs="Times New Roman"/>
          <w:sz w:val="24"/>
          <w:szCs w:val="24"/>
        </w:rPr>
        <w:t xml:space="preserve">Officer Opinion Survey (SLOOS) on Bank Lending Practices dataset, we use changes in bank lending standard </w:t>
      </w:r>
      <w:r>
        <w:rPr>
          <w:rFonts w:ascii="Times New Roman" w:hAnsi="Times New Roman" w:cs="Times New Roman"/>
          <w:sz w:val="24"/>
          <w:szCs w:val="24"/>
        </w:rPr>
        <w:t xml:space="preserve">and </w:t>
      </w:r>
      <w:r w:rsidRPr="00284E3D">
        <w:rPr>
          <w:rFonts w:ascii="Times New Roman" w:hAnsi="Times New Roman" w:cs="Times New Roman"/>
          <w:sz w:val="24"/>
          <w:szCs w:val="24"/>
        </w:rPr>
        <w:t>banks’ perception</w:t>
      </w:r>
      <w:r>
        <w:rPr>
          <w:rFonts w:ascii="Times New Roman" w:hAnsi="Times New Roman" w:cs="Times New Roman"/>
          <w:sz w:val="24"/>
          <w:szCs w:val="24"/>
        </w:rPr>
        <w:t xml:space="preserve"> of demand for commercial and industrial (C&amp;I) loans for different categories of firms </w:t>
      </w:r>
      <w:r w:rsidRPr="007B2266">
        <w:rPr>
          <w:rFonts w:ascii="Times New Roman" w:hAnsi="Times New Roman" w:cs="Times New Roman"/>
          <w:sz w:val="24"/>
          <w:szCs w:val="24"/>
        </w:rPr>
        <w:t>over the last quarter</w:t>
      </w:r>
      <w:r>
        <w:rPr>
          <w:rFonts w:ascii="Times New Roman" w:hAnsi="Times New Roman" w:cs="Times New Roman"/>
          <w:sz w:val="24"/>
          <w:szCs w:val="24"/>
        </w:rPr>
        <w:t xml:space="preserve"> as</w:t>
      </w:r>
      <w:r w:rsidRPr="007B2266">
        <w:rPr>
          <w:rFonts w:ascii="Times New Roman" w:hAnsi="Times New Roman" w:cs="Times New Roman"/>
          <w:sz w:val="24"/>
          <w:szCs w:val="24"/>
        </w:rPr>
        <w:t xml:space="preserve"> prox</w:t>
      </w:r>
      <w:r>
        <w:rPr>
          <w:rFonts w:ascii="Times New Roman" w:hAnsi="Times New Roman" w:cs="Times New Roman"/>
          <w:sz w:val="24"/>
          <w:szCs w:val="24"/>
        </w:rPr>
        <w:t>ies</w:t>
      </w:r>
      <w:r w:rsidRPr="007B2266">
        <w:rPr>
          <w:rFonts w:ascii="Times New Roman" w:hAnsi="Times New Roman" w:cs="Times New Roman"/>
          <w:sz w:val="24"/>
          <w:szCs w:val="24"/>
        </w:rPr>
        <w:t xml:space="preserve"> for bank</w:t>
      </w:r>
      <w:r>
        <w:rPr>
          <w:rFonts w:ascii="Times New Roman" w:hAnsi="Times New Roman" w:cs="Times New Roman"/>
          <w:sz w:val="24"/>
          <w:szCs w:val="24"/>
        </w:rPr>
        <w:t xml:space="preserve"> </w:t>
      </w:r>
      <w:r w:rsidRPr="007B2266">
        <w:rPr>
          <w:rFonts w:ascii="Times New Roman" w:hAnsi="Times New Roman" w:cs="Times New Roman"/>
          <w:sz w:val="24"/>
          <w:szCs w:val="24"/>
        </w:rPr>
        <w:t>credit supply, loan price and non-price terms</w:t>
      </w:r>
      <w:r>
        <w:rPr>
          <w:rFonts w:ascii="Times New Roman" w:hAnsi="Times New Roman" w:cs="Times New Roman"/>
          <w:sz w:val="24"/>
          <w:szCs w:val="24"/>
        </w:rPr>
        <w:t>, and bank credit demand</w:t>
      </w:r>
      <w:r w:rsidRPr="007B2266">
        <w:rPr>
          <w:rFonts w:ascii="Times New Roman" w:hAnsi="Times New Roman" w:cs="Times New Roman"/>
          <w:sz w:val="24"/>
          <w:szCs w:val="24"/>
        </w:rPr>
        <w:t xml:space="preserve">. </w:t>
      </w:r>
      <w:r>
        <w:rPr>
          <w:rFonts w:ascii="Times New Roman" w:hAnsi="Times New Roman" w:cs="Times New Roman"/>
          <w:sz w:val="24"/>
          <w:szCs w:val="24"/>
        </w:rPr>
        <w:t>For completeness and robustness,</w:t>
      </w:r>
      <w:r w:rsidRPr="007B2266">
        <w:rPr>
          <w:rFonts w:ascii="Times New Roman" w:hAnsi="Times New Roman" w:cs="Times New Roman"/>
          <w:sz w:val="24"/>
          <w:szCs w:val="24"/>
        </w:rPr>
        <w:t xml:space="preserve"> we</w:t>
      </w:r>
      <w:r>
        <w:rPr>
          <w:rFonts w:ascii="Times New Roman" w:hAnsi="Times New Roman" w:cs="Times New Roman"/>
          <w:sz w:val="24"/>
          <w:szCs w:val="24"/>
        </w:rPr>
        <w:t xml:space="preserve"> also</w:t>
      </w:r>
      <w:r w:rsidRPr="007B2266">
        <w:rPr>
          <w:rFonts w:ascii="Times New Roman" w:hAnsi="Times New Roman" w:cs="Times New Roman"/>
          <w:sz w:val="24"/>
          <w:szCs w:val="24"/>
        </w:rPr>
        <w:t xml:space="preserve"> use the Survey</w:t>
      </w:r>
      <w:r>
        <w:rPr>
          <w:rFonts w:ascii="Times New Roman" w:hAnsi="Times New Roman" w:cs="Times New Roman"/>
          <w:sz w:val="24"/>
          <w:szCs w:val="24"/>
        </w:rPr>
        <w:t xml:space="preserve"> of Terms of Business Lending (STBL) dataset, which covers new business loans issued in a single week during the </w:t>
      </w:r>
      <w:r>
        <w:rPr>
          <w:rFonts w:ascii="Times New Roman" w:hAnsi="Times New Roman" w:cs="Times New Roman"/>
          <w:sz w:val="24"/>
          <w:szCs w:val="24"/>
        </w:rPr>
        <w:lastRenderedPageBreak/>
        <w:t xml:space="preserve">mid-month of the quarter and the </w:t>
      </w:r>
      <w:r w:rsidRPr="009B012E">
        <w:rPr>
          <w:rFonts w:ascii="Times New Roman" w:hAnsi="Times New Roman" w:cs="Times New Roman"/>
          <w:sz w:val="24"/>
          <w:szCs w:val="24"/>
        </w:rPr>
        <w:t>Loan Pricing Corporation</w:t>
      </w:r>
      <w:r>
        <w:rPr>
          <w:rFonts w:ascii="Times New Roman" w:hAnsi="Times New Roman" w:cs="Times New Roman"/>
          <w:sz w:val="24"/>
          <w:szCs w:val="24"/>
        </w:rPr>
        <w:t>’</w:t>
      </w:r>
      <w:r w:rsidRPr="009B012E">
        <w:rPr>
          <w:rFonts w:ascii="Times New Roman" w:hAnsi="Times New Roman" w:cs="Times New Roman"/>
          <w:sz w:val="24"/>
          <w:szCs w:val="24"/>
        </w:rPr>
        <w:t xml:space="preserve">s </w:t>
      </w:r>
      <w:r>
        <w:rPr>
          <w:rFonts w:ascii="Times New Roman" w:hAnsi="Times New Roman" w:cs="Times New Roman"/>
          <w:sz w:val="24"/>
          <w:szCs w:val="24"/>
        </w:rPr>
        <w:t xml:space="preserve">(LPC) LoanConnector </w:t>
      </w:r>
      <w:r w:rsidRPr="009B012E">
        <w:rPr>
          <w:rFonts w:ascii="Times New Roman" w:hAnsi="Times New Roman" w:cs="Times New Roman"/>
          <w:sz w:val="24"/>
          <w:szCs w:val="24"/>
        </w:rPr>
        <w:t>database</w:t>
      </w:r>
      <w:r>
        <w:rPr>
          <w:rFonts w:ascii="Times New Roman" w:hAnsi="Times New Roman" w:cs="Times New Roman"/>
          <w:sz w:val="24"/>
          <w:szCs w:val="24"/>
        </w:rPr>
        <w:t xml:space="preserve"> involving syndicated loans to test our hypotheses.</w:t>
      </w:r>
      <w:r w:rsidR="001A71F3">
        <w:rPr>
          <w:rStyle w:val="af7"/>
          <w:rFonts w:ascii="Times New Roman" w:hAnsi="Times New Roman" w:cs="Times New Roman"/>
          <w:sz w:val="24"/>
          <w:szCs w:val="24"/>
        </w:rPr>
        <w:endnoteReference w:id="3"/>
      </w:r>
    </w:p>
    <w:p w14:paraId="4B61E80D" w14:textId="5E6AEC5B" w:rsidR="007C3344" w:rsidRPr="004C42DC" w:rsidRDefault="007C3344" w:rsidP="00D44BA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Using a number of econometric modelling frameworks, which control for the endogeneity nature of uncertainty and lead-lag relationships between the variables of interest, o</w:t>
      </w:r>
      <w:r w:rsidRPr="00A367DF">
        <w:rPr>
          <w:rFonts w:ascii="Times New Roman" w:hAnsi="Times New Roman" w:cs="Times New Roman"/>
          <w:color w:val="231F20"/>
          <w:sz w:val="24"/>
          <w:szCs w:val="24"/>
        </w:rPr>
        <w:t xml:space="preserve">ur results provide </w:t>
      </w:r>
      <w:r>
        <w:rPr>
          <w:rFonts w:ascii="Times New Roman" w:hAnsi="Times New Roman" w:cs="Times New Roman"/>
          <w:color w:val="231F20"/>
          <w:sz w:val="24"/>
          <w:szCs w:val="24"/>
        </w:rPr>
        <w:t xml:space="preserve">unanimously strong support </w:t>
      </w:r>
      <w:r w:rsidRPr="00A367DF">
        <w:rPr>
          <w:rFonts w:ascii="Times New Roman" w:hAnsi="Times New Roman" w:cs="Times New Roman"/>
          <w:color w:val="231F20"/>
          <w:sz w:val="24"/>
          <w:szCs w:val="24"/>
        </w:rPr>
        <w:t xml:space="preserve">that </w:t>
      </w:r>
      <w:r>
        <w:rPr>
          <w:rFonts w:ascii="Times New Roman" w:hAnsi="Times New Roman" w:cs="Times New Roman"/>
          <w:color w:val="231F20"/>
          <w:sz w:val="24"/>
          <w:szCs w:val="24"/>
        </w:rPr>
        <w:t>economic uncertainty</w:t>
      </w:r>
      <w:r w:rsidRPr="00A367DF">
        <w:rPr>
          <w:rFonts w:ascii="Times New Roman" w:hAnsi="Times New Roman" w:cs="Times New Roman"/>
          <w:color w:val="231F20"/>
          <w:sz w:val="24"/>
          <w:szCs w:val="24"/>
        </w:rPr>
        <w:t xml:space="preserve"> </w:t>
      </w:r>
      <w:r>
        <w:rPr>
          <w:rFonts w:ascii="Times New Roman" w:hAnsi="Times New Roman" w:cs="Times New Roman"/>
          <w:color w:val="231F20"/>
          <w:sz w:val="24"/>
          <w:szCs w:val="24"/>
        </w:rPr>
        <w:t>affect</w:t>
      </w:r>
      <w:r w:rsidRPr="00A367DF">
        <w:rPr>
          <w:rFonts w:ascii="Times New Roman" w:hAnsi="Times New Roman" w:cs="Times New Roman"/>
          <w:color w:val="231F20"/>
          <w:sz w:val="24"/>
          <w:szCs w:val="24"/>
        </w:rPr>
        <w:t>s the allocation of banks</w:t>
      </w:r>
      <w:r>
        <w:rPr>
          <w:rFonts w:ascii="Times New Roman" w:hAnsi="Times New Roman" w:cs="Times New Roman"/>
          <w:sz w:val="24"/>
          <w:szCs w:val="24"/>
        </w:rPr>
        <w:t>’</w:t>
      </w:r>
      <w:r w:rsidRPr="00A367DF">
        <w:rPr>
          <w:rFonts w:ascii="Times New Roman" w:hAnsi="Times New Roman" w:cs="Times New Roman"/>
          <w:color w:val="231F20"/>
          <w:sz w:val="24"/>
          <w:szCs w:val="24"/>
        </w:rPr>
        <w:t xml:space="preserve"> loanable funds</w:t>
      </w:r>
      <w:r>
        <w:rPr>
          <w:rFonts w:ascii="Times New Roman" w:hAnsi="Times New Roman" w:cs="Times New Roman"/>
          <w:color w:val="231F20"/>
          <w:sz w:val="24"/>
          <w:szCs w:val="24"/>
        </w:rPr>
        <w:t xml:space="preserve"> and decreases loan demand</w:t>
      </w:r>
      <w:r w:rsidRPr="00A367DF">
        <w:rPr>
          <w:rFonts w:ascii="Times New Roman" w:hAnsi="Times New Roman" w:cs="Times New Roman"/>
          <w:color w:val="231F20"/>
          <w:sz w:val="24"/>
          <w:szCs w:val="24"/>
        </w:rPr>
        <w:t xml:space="preserve">. </w:t>
      </w:r>
      <w:r>
        <w:rPr>
          <w:rFonts w:ascii="Times New Roman" w:hAnsi="Times New Roman" w:cs="Times New Roman"/>
          <w:color w:val="231F20"/>
          <w:sz w:val="24"/>
          <w:szCs w:val="24"/>
        </w:rPr>
        <w:t>There is a</w:t>
      </w:r>
      <w:r w:rsidRPr="00A367DF">
        <w:rPr>
          <w:rFonts w:ascii="Times New Roman" w:hAnsi="Times New Roman" w:cs="Times New Roman"/>
          <w:color w:val="231F20"/>
          <w:sz w:val="24"/>
          <w:szCs w:val="24"/>
        </w:rPr>
        <w:t xml:space="preserve"> negative association between </w:t>
      </w:r>
      <w:r>
        <w:rPr>
          <w:rFonts w:ascii="Times New Roman" w:hAnsi="Times New Roman" w:cs="Times New Roman"/>
          <w:color w:val="231F20"/>
          <w:sz w:val="24"/>
          <w:szCs w:val="24"/>
        </w:rPr>
        <w:t xml:space="preserve">uncertainty (natural </w:t>
      </w:r>
      <w:r w:rsidRPr="00042659">
        <w:rPr>
          <w:rFonts w:ascii="Times New Roman" w:hAnsi="Times New Roman" w:cs="Times New Roman"/>
          <w:color w:val="231F20"/>
          <w:sz w:val="24"/>
          <w:szCs w:val="24"/>
        </w:rPr>
        <w:t>logarithm</w:t>
      </w:r>
      <w:r>
        <w:rPr>
          <w:rFonts w:ascii="Times New Roman" w:hAnsi="Times New Roman" w:cs="Times New Roman"/>
          <w:color w:val="231F20"/>
          <w:sz w:val="24"/>
          <w:szCs w:val="24"/>
        </w:rPr>
        <w:t xml:space="preserve"> of </w:t>
      </w:r>
      <w:r w:rsidRPr="00A367DF">
        <w:rPr>
          <w:rFonts w:ascii="Times New Roman" w:hAnsi="Times New Roman" w:cs="Times New Roman"/>
          <w:color w:val="231F20"/>
          <w:sz w:val="24"/>
          <w:szCs w:val="24"/>
        </w:rPr>
        <w:t>VRP</w:t>
      </w:r>
      <w:r>
        <w:rPr>
          <w:rFonts w:ascii="Times New Roman" w:hAnsi="Times New Roman" w:cs="Times New Roman"/>
          <w:color w:val="231F20"/>
          <w:sz w:val="24"/>
          <w:szCs w:val="24"/>
        </w:rPr>
        <w:t>)</w:t>
      </w:r>
      <w:r w:rsidRPr="00A367DF">
        <w:rPr>
          <w:rFonts w:ascii="Times New Roman" w:hAnsi="Times New Roman" w:cs="Times New Roman"/>
          <w:color w:val="231F20"/>
          <w:sz w:val="24"/>
          <w:szCs w:val="24"/>
        </w:rPr>
        <w:t xml:space="preserve"> and supply of bank</w:t>
      </w:r>
      <w:r>
        <w:rPr>
          <w:rFonts w:ascii="Times New Roman" w:hAnsi="Times New Roman" w:cs="Times New Roman"/>
          <w:color w:val="231F20"/>
          <w:sz w:val="24"/>
          <w:szCs w:val="24"/>
        </w:rPr>
        <w:t xml:space="preserve"> c</w:t>
      </w:r>
      <w:r w:rsidRPr="00A367DF">
        <w:rPr>
          <w:rFonts w:ascii="Times New Roman" w:hAnsi="Times New Roman" w:cs="Times New Roman"/>
          <w:color w:val="231F20"/>
          <w:sz w:val="24"/>
          <w:szCs w:val="24"/>
        </w:rPr>
        <w:t>redit</w:t>
      </w:r>
      <w:r>
        <w:rPr>
          <w:rFonts w:ascii="Times New Roman" w:hAnsi="Times New Roman" w:cs="Times New Roman"/>
          <w:color w:val="231F20"/>
          <w:sz w:val="24"/>
          <w:szCs w:val="24"/>
        </w:rPr>
        <w:t>;</w:t>
      </w:r>
      <w:r w:rsidRPr="00A367DF">
        <w:rPr>
          <w:rFonts w:ascii="Times New Roman" w:hAnsi="Times New Roman" w:cs="Times New Roman"/>
          <w:color w:val="231F20"/>
          <w:sz w:val="24"/>
          <w:szCs w:val="24"/>
        </w:rPr>
        <w:t xml:space="preserve"> </w:t>
      </w:r>
      <w:r w:rsidRPr="00A03722">
        <w:rPr>
          <w:rFonts w:ascii="Times New Roman" w:hAnsi="Times New Roman" w:cs="Times New Roman"/>
          <w:color w:val="231F20"/>
          <w:sz w:val="24"/>
          <w:szCs w:val="24"/>
        </w:rPr>
        <w:t>an increase of one standard deviation</w:t>
      </w:r>
      <w:r>
        <w:rPr>
          <w:rFonts w:ascii="Times New Roman" w:hAnsi="Times New Roman" w:cs="Times New Roman"/>
          <w:color w:val="231F20"/>
          <w:sz w:val="24"/>
          <w:szCs w:val="24"/>
        </w:rPr>
        <w:t xml:space="preserve"> in uncertainty leads to </w:t>
      </w:r>
      <w:r w:rsidRPr="00A367DF">
        <w:rPr>
          <w:rFonts w:ascii="Times New Roman" w:hAnsi="Times New Roman" w:cs="Times New Roman"/>
          <w:color w:val="231F20"/>
          <w:sz w:val="24"/>
          <w:szCs w:val="24"/>
        </w:rPr>
        <w:t xml:space="preserve">an </w:t>
      </w:r>
      <w:r>
        <w:rPr>
          <w:rFonts w:ascii="Times New Roman" w:hAnsi="Times New Roman" w:cs="Times New Roman"/>
          <w:color w:val="231F20"/>
          <w:sz w:val="24"/>
          <w:szCs w:val="24"/>
        </w:rPr>
        <w:t>9.3</w:t>
      </w:r>
      <w:r w:rsidRPr="00A367DF">
        <w:rPr>
          <w:rFonts w:ascii="Times New Roman" w:hAnsi="Times New Roman" w:cs="Times New Roman"/>
          <w:color w:val="231F20"/>
          <w:sz w:val="24"/>
          <w:szCs w:val="24"/>
        </w:rPr>
        <w:t>% net increase in domestic banks reporting more stringent credit standards for large and medium firms</w:t>
      </w:r>
      <w:r>
        <w:rPr>
          <w:rFonts w:ascii="Times New Roman" w:hAnsi="Times New Roman" w:cs="Times New Roman"/>
          <w:color w:val="231F20"/>
          <w:sz w:val="24"/>
          <w:szCs w:val="24"/>
        </w:rPr>
        <w:t>, and a</w:t>
      </w:r>
      <w:r w:rsidRPr="00A367DF">
        <w:rPr>
          <w:rFonts w:ascii="Times New Roman" w:hAnsi="Times New Roman" w:cs="Times New Roman"/>
          <w:color w:val="231F20"/>
          <w:sz w:val="24"/>
          <w:szCs w:val="24"/>
        </w:rPr>
        <w:t xml:space="preserve"> </w:t>
      </w:r>
      <w:r>
        <w:rPr>
          <w:rFonts w:ascii="Times New Roman" w:hAnsi="Times New Roman" w:cs="Times New Roman"/>
          <w:color w:val="231F20"/>
          <w:sz w:val="24"/>
          <w:szCs w:val="24"/>
        </w:rPr>
        <w:t>fall in</w:t>
      </w:r>
      <w:r w:rsidRPr="00A367DF">
        <w:rPr>
          <w:rFonts w:ascii="Times New Roman" w:hAnsi="Times New Roman" w:cs="Times New Roman"/>
          <w:color w:val="231F20"/>
          <w:sz w:val="24"/>
          <w:szCs w:val="24"/>
        </w:rPr>
        <w:t xml:space="preserve"> loan demand of </w:t>
      </w:r>
      <w:r>
        <w:rPr>
          <w:rFonts w:ascii="Times New Roman" w:hAnsi="Times New Roman" w:cs="Times New Roman"/>
          <w:color w:val="231F20"/>
          <w:sz w:val="24"/>
          <w:szCs w:val="24"/>
        </w:rPr>
        <w:t>a similar</w:t>
      </w:r>
      <w:r w:rsidRPr="00A367DF">
        <w:rPr>
          <w:rFonts w:ascii="Times New Roman" w:hAnsi="Times New Roman" w:cs="Times New Roman"/>
          <w:color w:val="231F20"/>
          <w:sz w:val="24"/>
          <w:szCs w:val="24"/>
        </w:rPr>
        <w:t xml:space="preserve"> order of magnitude</w:t>
      </w:r>
      <w:r>
        <w:rPr>
          <w:rFonts w:ascii="Times New Roman" w:hAnsi="Times New Roman" w:cs="Times New Roman"/>
          <w:color w:val="231F20"/>
          <w:sz w:val="24"/>
          <w:szCs w:val="24"/>
        </w:rPr>
        <w:t>.</w:t>
      </w:r>
      <w:r w:rsidRPr="00A367DF">
        <w:rPr>
          <w:rFonts w:ascii="Times New Roman" w:hAnsi="Times New Roman" w:cs="Times New Roman"/>
          <w:color w:val="231F20"/>
          <w:sz w:val="24"/>
          <w:szCs w:val="24"/>
        </w:rPr>
        <w:t xml:space="preserve"> </w:t>
      </w:r>
      <w:r>
        <w:rPr>
          <w:rFonts w:ascii="Times New Roman" w:hAnsi="Times New Roman" w:cs="Times New Roman"/>
          <w:color w:val="231F20"/>
          <w:sz w:val="24"/>
          <w:szCs w:val="24"/>
        </w:rPr>
        <w:t>Further,</w:t>
      </w:r>
      <w:r w:rsidRPr="006C5C7B">
        <w:rPr>
          <w:rFonts w:ascii="Times New Roman" w:hAnsi="Times New Roman" w:cs="Times New Roman"/>
          <w:color w:val="231F20"/>
          <w:sz w:val="24"/>
          <w:szCs w:val="24"/>
        </w:rPr>
        <w:t xml:space="preserve"> </w:t>
      </w:r>
      <w:r>
        <w:rPr>
          <w:rFonts w:ascii="Times New Roman" w:hAnsi="Times New Roman" w:cs="Times New Roman"/>
          <w:color w:val="231F20"/>
          <w:sz w:val="24"/>
          <w:szCs w:val="24"/>
        </w:rPr>
        <w:t>C&amp;I</w:t>
      </w:r>
      <w:r w:rsidRPr="006C5C7B">
        <w:rPr>
          <w:rFonts w:ascii="Times New Roman" w:hAnsi="Times New Roman" w:cs="Times New Roman"/>
          <w:color w:val="231F20"/>
          <w:sz w:val="24"/>
          <w:szCs w:val="24"/>
        </w:rPr>
        <w:t xml:space="preserve"> loans </w:t>
      </w:r>
      <w:r>
        <w:rPr>
          <w:rFonts w:ascii="Times New Roman" w:hAnsi="Times New Roman" w:cs="Times New Roman"/>
          <w:color w:val="231F20"/>
          <w:sz w:val="24"/>
          <w:szCs w:val="24"/>
        </w:rPr>
        <w:t>fall by</w:t>
      </w:r>
      <w:r w:rsidRPr="006C5C7B">
        <w:rPr>
          <w:rFonts w:ascii="Times New Roman" w:hAnsi="Times New Roman" w:cs="Times New Roman"/>
          <w:color w:val="231F20"/>
          <w:sz w:val="24"/>
          <w:szCs w:val="24"/>
        </w:rPr>
        <w:t xml:space="preserve"> about $</w:t>
      </w:r>
      <w:r>
        <w:rPr>
          <w:rFonts w:ascii="Times New Roman" w:hAnsi="Times New Roman" w:cs="Times New Roman"/>
          <w:color w:val="231F20"/>
          <w:sz w:val="24"/>
          <w:szCs w:val="24"/>
        </w:rPr>
        <w:t xml:space="preserve">12.76 </w:t>
      </w:r>
      <w:r w:rsidRPr="006C5C7B">
        <w:rPr>
          <w:rFonts w:ascii="Times New Roman" w:hAnsi="Times New Roman" w:cs="Times New Roman"/>
          <w:color w:val="231F20"/>
          <w:sz w:val="24"/>
          <w:szCs w:val="24"/>
        </w:rPr>
        <w:t>billion,</w:t>
      </w:r>
      <w:r>
        <w:rPr>
          <w:rFonts w:ascii="Times New Roman" w:hAnsi="Times New Roman" w:cs="Times New Roman"/>
          <w:color w:val="231F20"/>
          <w:sz w:val="24"/>
          <w:szCs w:val="24"/>
        </w:rPr>
        <w:t xml:space="preserve"> </w:t>
      </w:r>
      <w:r w:rsidRPr="006C5C7B">
        <w:rPr>
          <w:rFonts w:ascii="Times New Roman" w:hAnsi="Times New Roman" w:cs="Times New Roman"/>
          <w:color w:val="231F20"/>
          <w:sz w:val="24"/>
          <w:szCs w:val="24"/>
        </w:rPr>
        <w:t xml:space="preserve">quarterly loan syndicated volume </w:t>
      </w:r>
      <w:r>
        <w:rPr>
          <w:rFonts w:ascii="Times New Roman" w:hAnsi="Times New Roman" w:cs="Times New Roman"/>
          <w:color w:val="231F20"/>
          <w:sz w:val="24"/>
          <w:szCs w:val="24"/>
        </w:rPr>
        <w:t xml:space="preserve">falls </w:t>
      </w:r>
      <w:r w:rsidRPr="006C5C7B">
        <w:rPr>
          <w:rFonts w:ascii="Times New Roman" w:hAnsi="Times New Roman" w:cs="Times New Roman"/>
          <w:color w:val="231F20"/>
          <w:sz w:val="24"/>
          <w:szCs w:val="24"/>
        </w:rPr>
        <w:t>by as much</w:t>
      </w:r>
      <w:r>
        <w:rPr>
          <w:rFonts w:ascii="Times New Roman" w:hAnsi="Times New Roman" w:cs="Times New Roman"/>
          <w:color w:val="231F20"/>
          <w:sz w:val="24"/>
          <w:szCs w:val="24"/>
        </w:rPr>
        <w:t xml:space="preserve"> as</w:t>
      </w:r>
      <w:r w:rsidRPr="006C5C7B">
        <w:rPr>
          <w:rFonts w:ascii="Times New Roman" w:hAnsi="Times New Roman" w:cs="Times New Roman"/>
          <w:color w:val="231F20"/>
          <w:sz w:val="24"/>
          <w:szCs w:val="24"/>
        </w:rPr>
        <w:t xml:space="preserve"> $</w:t>
      </w:r>
      <w:r>
        <w:rPr>
          <w:rFonts w:ascii="Times New Roman" w:hAnsi="Times New Roman" w:cs="Times New Roman"/>
          <w:color w:val="231F20"/>
          <w:sz w:val="24"/>
          <w:szCs w:val="24"/>
        </w:rPr>
        <w:t>50.34</w:t>
      </w:r>
      <w:r w:rsidRPr="006C5C7B">
        <w:rPr>
          <w:rFonts w:ascii="Times New Roman" w:hAnsi="Times New Roman" w:cs="Times New Roman"/>
          <w:color w:val="231F20"/>
          <w:sz w:val="24"/>
          <w:szCs w:val="24"/>
        </w:rPr>
        <w:t xml:space="preserve"> billion</w:t>
      </w:r>
      <w:r>
        <w:rPr>
          <w:rFonts w:ascii="Times New Roman" w:hAnsi="Times New Roman" w:cs="Times New Roman"/>
          <w:color w:val="231F20"/>
          <w:sz w:val="24"/>
          <w:szCs w:val="24"/>
        </w:rPr>
        <w:t xml:space="preserve"> (i.e. 25% reduction in </w:t>
      </w:r>
      <w:r w:rsidRPr="006C5C7B">
        <w:rPr>
          <w:rFonts w:ascii="Times New Roman" w:hAnsi="Times New Roman" w:cs="Times New Roman"/>
          <w:color w:val="231F20"/>
          <w:sz w:val="24"/>
          <w:szCs w:val="24"/>
        </w:rPr>
        <w:t>the average syndicated loan volume</w:t>
      </w:r>
      <w:r>
        <w:rPr>
          <w:rFonts w:ascii="Times New Roman" w:hAnsi="Times New Roman" w:cs="Times New Roman"/>
          <w:color w:val="231F20"/>
          <w:sz w:val="24"/>
          <w:szCs w:val="24"/>
        </w:rPr>
        <w:t xml:space="preserve">), and syndicated </w:t>
      </w:r>
      <w:r w:rsidRPr="006C5C7B">
        <w:rPr>
          <w:rFonts w:ascii="Times New Roman" w:hAnsi="Times New Roman" w:cs="Times New Roman"/>
          <w:color w:val="231F20"/>
          <w:sz w:val="24"/>
          <w:szCs w:val="24"/>
        </w:rPr>
        <w:t>loan spread</w:t>
      </w:r>
      <w:r>
        <w:rPr>
          <w:rFonts w:ascii="Times New Roman" w:hAnsi="Times New Roman" w:cs="Times New Roman"/>
          <w:color w:val="231F20"/>
          <w:sz w:val="24"/>
          <w:szCs w:val="24"/>
        </w:rPr>
        <w:t>s increase by</w:t>
      </w:r>
      <w:r w:rsidRPr="006C5C7B">
        <w:rPr>
          <w:rFonts w:ascii="Times New Roman" w:hAnsi="Times New Roman" w:cs="Times New Roman"/>
          <w:color w:val="231F20"/>
          <w:sz w:val="24"/>
          <w:szCs w:val="24"/>
        </w:rPr>
        <w:t xml:space="preserve"> </w:t>
      </w:r>
      <w:r>
        <w:rPr>
          <w:rFonts w:ascii="Times New Roman" w:hAnsi="Times New Roman" w:cs="Times New Roman"/>
          <w:color w:val="231F20"/>
          <w:sz w:val="24"/>
          <w:szCs w:val="24"/>
        </w:rPr>
        <w:t>25.08</w:t>
      </w:r>
      <w:r w:rsidRPr="006C5C7B">
        <w:rPr>
          <w:rFonts w:ascii="Times New Roman" w:hAnsi="Times New Roman" w:cs="Times New Roman"/>
          <w:color w:val="231F20"/>
          <w:sz w:val="24"/>
          <w:szCs w:val="24"/>
        </w:rPr>
        <w:t xml:space="preserve"> basis points</w:t>
      </w:r>
      <w:r>
        <w:rPr>
          <w:rFonts w:ascii="Times New Roman" w:hAnsi="Times New Roman" w:cs="Times New Roman"/>
          <w:color w:val="231F20"/>
          <w:sz w:val="24"/>
          <w:szCs w:val="24"/>
        </w:rPr>
        <w:t xml:space="preserve"> (i.e. 16</w:t>
      </w:r>
      <w:r w:rsidRPr="006C5C7B">
        <w:rPr>
          <w:rFonts w:ascii="Times New Roman" w:hAnsi="Times New Roman" w:cs="Times New Roman"/>
          <w:color w:val="231F20"/>
          <w:sz w:val="24"/>
          <w:szCs w:val="24"/>
        </w:rPr>
        <w:t>% higher than the average spread</w:t>
      </w:r>
      <w:r>
        <w:rPr>
          <w:rFonts w:ascii="Times New Roman" w:hAnsi="Times New Roman" w:cs="Times New Roman"/>
          <w:color w:val="231F20"/>
          <w:sz w:val="24"/>
          <w:szCs w:val="24"/>
        </w:rPr>
        <w:t>s)</w:t>
      </w:r>
      <w:r w:rsidRPr="006C5C7B">
        <w:rPr>
          <w:rFonts w:ascii="Times New Roman" w:hAnsi="Times New Roman" w:cs="Times New Roman"/>
          <w:color w:val="231F20"/>
          <w:sz w:val="24"/>
          <w:szCs w:val="24"/>
        </w:rPr>
        <w:t>.</w:t>
      </w:r>
      <w:r>
        <w:rPr>
          <w:rFonts w:ascii="Times New Roman" w:hAnsi="Times New Roman" w:cs="Times New Roman"/>
          <w:color w:val="231F20"/>
          <w:sz w:val="24"/>
          <w:szCs w:val="24"/>
        </w:rPr>
        <w:t xml:space="preserve"> This </w:t>
      </w:r>
      <w:r w:rsidRPr="00B14C6F">
        <w:rPr>
          <w:rFonts w:ascii="Times New Roman" w:hAnsi="Times New Roman" w:cs="Times New Roman"/>
          <w:i/>
          <w:color w:val="231F20"/>
          <w:sz w:val="24"/>
          <w:szCs w:val="24"/>
        </w:rPr>
        <w:t>prima facie</w:t>
      </w:r>
      <w:r>
        <w:rPr>
          <w:rFonts w:ascii="Times New Roman" w:hAnsi="Times New Roman" w:cs="Times New Roman"/>
          <w:color w:val="231F20"/>
          <w:sz w:val="24"/>
          <w:szCs w:val="24"/>
        </w:rPr>
        <w:t xml:space="preserve"> evidence does not distinguish</w:t>
      </w:r>
      <w:r w:rsidRPr="00A367DF">
        <w:rPr>
          <w:rFonts w:ascii="Times New Roman" w:hAnsi="Times New Roman" w:cs="Times New Roman"/>
          <w:color w:val="231F20"/>
          <w:sz w:val="24"/>
          <w:szCs w:val="24"/>
        </w:rPr>
        <w:t xml:space="preserve"> the supply</w:t>
      </w:r>
      <w:r>
        <w:rPr>
          <w:rFonts w:ascii="Times New Roman" w:hAnsi="Times New Roman" w:cs="Times New Roman"/>
          <w:color w:val="231F20"/>
          <w:sz w:val="24"/>
          <w:szCs w:val="24"/>
        </w:rPr>
        <w:t xml:space="preserve"> side effect from the demand side effect, thus making it difficult to assess which effect on supply or on demand is larger</w:t>
      </w:r>
      <w:r w:rsidRPr="00A367DF">
        <w:rPr>
          <w:rFonts w:ascii="Times New Roman" w:hAnsi="Times New Roman" w:cs="Times New Roman"/>
          <w:color w:val="231F20"/>
          <w:sz w:val="24"/>
          <w:szCs w:val="24"/>
        </w:rPr>
        <w:t>.</w:t>
      </w:r>
      <w:r>
        <w:rPr>
          <w:rFonts w:ascii="Times New Roman" w:hAnsi="Times New Roman" w:cs="Times New Roman"/>
          <w:color w:val="231F20"/>
          <w:sz w:val="24"/>
          <w:szCs w:val="24"/>
        </w:rPr>
        <w:t xml:space="preserve"> Using a structural vector autoregression (SVAR) model with sign restrictions and a novel identification strategy (</w:t>
      </w:r>
      <w:r w:rsidRPr="00961CBD">
        <w:rPr>
          <w:rFonts w:ascii="Times New Roman" w:hAnsi="Times New Roman" w:cs="Times New Roman"/>
          <w:color w:val="231F20"/>
          <w:sz w:val="24"/>
          <w:szCs w:val="24"/>
        </w:rPr>
        <w:t>loan-to-bond substitution</w:t>
      </w:r>
      <w:r>
        <w:rPr>
          <w:rFonts w:ascii="Times New Roman" w:hAnsi="Times New Roman" w:cs="Times New Roman"/>
          <w:color w:val="231F20"/>
          <w:sz w:val="24"/>
          <w:szCs w:val="24"/>
        </w:rPr>
        <w:t xml:space="preserve">) following </w:t>
      </w:r>
      <w:r w:rsidRPr="00B00AA8">
        <w:rPr>
          <w:rFonts w:ascii="Times New Roman" w:hAnsi="Times New Roman" w:cs="Times New Roman"/>
          <w:sz w:val="24"/>
          <w:szCs w:val="24"/>
        </w:rPr>
        <w:t>Kashyap, Stein, and Wilcox</w:t>
      </w:r>
      <w:r>
        <w:rPr>
          <w:rFonts w:ascii="Times New Roman" w:hAnsi="Times New Roman" w:cs="Times New Roman"/>
          <w:sz w:val="24"/>
          <w:szCs w:val="24"/>
        </w:rPr>
        <w:t xml:space="preserve"> (1993) and Becker and Ivashina (2014), </w:t>
      </w:r>
      <w:r>
        <w:rPr>
          <w:rFonts w:ascii="Times New Roman" w:hAnsi="Times New Roman" w:cs="Times New Roman"/>
          <w:color w:val="231F20"/>
          <w:sz w:val="24"/>
          <w:szCs w:val="24"/>
        </w:rPr>
        <w:t>we disentangle the effect of uncertainty on loan supply from loan demand</w:t>
      </w:r>
      <w:r>
        <w:rPr>
          <w:rFonts w:ascii="Times New Roman" w:hAnsi="Times New Roman" w:cs="Times New Roman"/>
          <w:sz w:val="24"/>
          <w:szCs w:val="24"/>
        </w:rPr>
        <w:t xml:space="preserve">. </w:t>
      </w:r>
      <w:r>
        <w:rPr>
          <w:rFonts w:ascii="Times New Roman" w:hAnsi="Times New Roman" w:cs="Times New Roman"/>
          <w:color w:val="231F20"/>
          <w:sz w:val="24"/>
          <w:szCs w:val="24"/>
        </w:rPr>
        <w:t>The results confirm the dominant economic uncertainty effect on credit supply relative to loan demand.</w:t>
      </w:r>
    </w:p>
    <w:p w14:paraId="0610159D" w14:textId="2397C46E" w:rsidR="007C3344" w:rsidRDefault="007C3344" w:rsidP="00D44BA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Heightened economic uncertainty also brings about more conservative non-price credit terms. A</w:t>
      </w:r>
      <w:r w:rsidRPr="006C5C7B">
        <w:rPr>
          <w:rFonts w:ascii="Times New Roman" w:hAnsi="Times New Roman" w:cs="Times New Roman"/>
          <w:color w:val="231F20"/>
          <w:sz w:val="24"/>
          <w:szCs w:val="24"/>
        </w:rPr>
        <w:t xml:space="preserve"> standard deviation increase in </w:t>
      </w:r>
      <w:r>
        <w:rPr>
          <w:rFonts w:ascii="Times New Roman" w:hAnsi="Times New Roman" w:cs="Times New Roman"/>
          <w:color w:val="231F20"/>
          <w:sz w:val="24"/>
          <w:szCs w:val="24"/>
        </w:rPr>
        <w:t>uncertainty reduces</w:t>
      </w:r>
      <w:r>
        <w:rPr>
          <w:rFonts w:ascii="Times New Roman" w:hAnsi="Times New Roman" w:cs="Times New Roman"/>
          <w:sz w:val="24"/>
          <w:szCs w:val="24"/>
        </w:rPr>
        <w:t xml:space="preserve"> the average loan size by about $28.77 million, shortens the average loan maturity by 3 months, and increases the proportion of the loan that is secured by collateral from 30% to 34%. While we observe that uncertainty peaks with economic recessions, there is some </w:t>
      </w:r>
      <w:r>
        <w:rPr>
          <w:rFonts w:ascii="Times New Roman" w:hAnsi="Times New Roman" w:cs="Times New Roman"/>
          <w:sz w:val="24"/>
          <w:szCs w:val="24"/>
        </w:rPr>
        <w:lastRenderedPageBreak/>
        <w:t>evidence of statistically significant difference in the effects of uncertainty on loan spreads, non-price loan terms and loan quantum between recession and non-recession periods. The implication is that uncertainty, which coincides with economic downturn tends to exert a larger effect on both loan demand and supply.</w:t>
      </w:r>
    </w:p>
    <w:p w14:paraId="3219E82D" w14:textId="1FAA5EC7" w:rsidR="007C3344" w:rsidRDefault="007C3344" w:rsidP="00D44BAE">
      <w:pPr>
        <w:autoSpaceDE w:val="0"/>
        <w:autoSpaceDN w:val="0"/>
        <w:adjustRightInd w:val="0"/>
        <w:spacing w:after="0" w:line="480" w:lineRule="auto"/>
        <w:ind w:firstLine="720"/>
        <w:jc w:val="both"/>
        <w:rPr>
          <w:rFonts w:ascii="Times New Roman" w:hAnsi="Times New Roman" w:cs="Times New Roman"/>
          <w:sz w:val="24"/>
          <w:szCs w:val="24"/>
        </w:rPr>
      </w:pPr>
      <w:r w:rsidRPr="00202059">
        <w:rPr>
          <w:rFonts w:ascii="Times New Roman" w:hAnsi="Times New Roman" w:cs="Times New Roman"/>
          <w:sz w:val="24"/>
          <w:szCs w:val="24"/>
          <w:lang w:eastAsia="zh-TW"/>
        </w:rPr>
        <w:t>Our paper pertains to</w:t>
      </w:r>
      <w:r>
        <w:rPr>
          <w:rFonts w:ascii="Times New Roman" w:hAnsi="Times New Roman" w:cs="Times New Roman" w:hint="eastAsia"/>
          <w:sz w:val="24"/>
          <w:szCs w:val="24"/>
          <w:lang w:eastAsia="zh-TW"/>
        </w:rPr>
        <w:t xml:space="preserve"> the growing literature on </w:t>
      </w:r>
      <w:r>
        <w:rPr>
          <w:rFonts w:ascii="Times New Roman" w:hAnsi="Times New Roman" w:cs="Times New Roman"/>
          <w:sz w:val="24"/>
          <w:szCs w:val="24"/>
          <w:lang w:eastAsia="zh-TW"/>
        </w:rPr>
        <w:t>the VRP, although those studies tend to focus on the correlation between the VRP and asset pricing.</w:t>
      </w:r>
      <w:r w:rsidR="001A71F3">
        <w:rPr>
          <w:rStyle w:val="af7"/>
          <w:rFonts w:ascii="Times New Roman" w:hAnsi="Times New Roman" w:cs="Times New Roman"/>
          <w:sz w:val="24"/>
          <w:szCs w:val="24"/>
          <w:lang w:eastAsia="zh-TW"/>
        </w:rPr>
        <w:endnoteReference w:id="4"/>
      </w:r>
      <w:r w:rsidR="001A71F3">
        <w:rPr>
          <w:rFonts w:ascii="Times New Roman" w:hAnsi="Times New Roman" w:cs="Times New Roman"/>
          <w:sz w:val="24"/>
          <w:szCs w:val="24"/>
          <w:lang w:eastAsia="zh-TW"/>
        </w:rPr>
        <w:t xml:space="preserve"> Some papers use the VRP as an indicator of market uncertainty to explore its impact on financial decision-making.</w:t>
      </w:r>
      <w:r w:rsidR="001A71F3">
        <w:rPr>
          <w:rStyle w:val="af7"/>
          <w:rFonts w:ascii="Times New Roman" w:hAnsi="Times New Roman" w:cs="Times New Roman"/>
          <w:sz w:val="24"/>
          <w:szCs w:val="24"/>
          <w:lang w:eastAsia="zh-TW"/>
        </w:rPr>
        <w:endnoteReference w:id="5"/>
      </w:r>
      <w:r w:rsidR="001A71F3">
        <w:rPr>
          <w:rFonts w:ascii="Times New Roman" w:hAnsi="Times New Roman" w:cs="Times New Roman"/>
          <w:sz w:val="24"/>
          <w:szCs w:val="24"/>
          <w:lang w:eastAsia="zh-TW"/>
        </w:rPr>
        <w:t xml:space="preserve"> Here we show that the VRP wields a considerable impact on bank lending. </w:t>
      </w:r>
      <w:r w:rsidR="001A71F3">
        <w:rPr>
          <w:rFonts w:ascii="Times New Roman" w:hAnsi="Times New Roman" w:cs="Times New Roman"/>
          <w:sz w:val="24"/>
          <w:szCs w:val="24"/>
        </w:rPr>
        <w:t>Our work falls in a larger body of literature on the links between bank lending, macroeconomy, monetary policy and credit cycle.</w:t>
      </w:r>
      <w:r w:rsidR="001A71F3">
        <w:rPr>
          <w:rStyle w:val="af7"/>
          <w:rFonts w:ascii="Times New Roman" w:hAnsi="Times New Roman" w:cs="Times New Roman"/>
          <w:sz w:val="24"/>
          <w:szCs w:val="24"/>
        </w:rPr>
        <w:endnoteReference w:id="6"/>
      </w:r>
      <w:r w:rsidR="001A71F3">
        <w:rPr>
          <w:rFonts w:ascii="Times New Roman" w:hAnsi="Times New Roman" w:cs="Times New Roman"/>
          <w:sz w:val="24"/>
          <w:szCs w:val="24"/>
        </w:rPr>
        <w:t xml:space="preserve"> </w:t>
      </w:r>
      <w:r>
        <w:rPr>
          <w:rFonts w:ascii="Times New Roman" w:hAnsi="Times New Roman" w:cs="Times New Roman"/>
          <w:sz w:val="24"/>
          <w:szCs w:val="24"/>
        </w:rPr>
        <w:t>In this paper, we provide a different perspective on how the credit market may be affected by factors like the volatility-based VRP in addition to macroeconomic factors and policy, which could equally exacerbate the business cycle and increase systemic risk. Unlike Valencia (2017) we focus on a specific and different concept of uncertainty, and explore its effects on not only loan supply but also loan demand and loan terms. Finally, our work is also related to bank risk-taking behavior, which is governed by a number of factors.</w:t>
      </w:r>
      <w:r w:rsidR="001A71F3">
        <w:rPr>
          <w:rStyle w:val="af7"/>
          <w:rFonts w:ascii="Times New Roman" w:hAnsi="Times New Roman" w:cs="Times New Roman"/>
          <w:sz w:val="24"/>
          <w:szCs w:val="24"/>
        </w:rPr>
        <w:endnoteReference w:id="7"/>
      </w:r>
      <w:r w:rsidR="001A71F3">
        <w:rPr>
          <w:rFonts w:ascii="Times New Roman" w:hAnsi="Times New Roman" w:cs="Times New Roman"/>
          <w:sz w:val="24"/>
          <w:szCs w:val="24"/>
        </w:rPr>
        <w:t xml:space="preserve"> </w:t>
      </w:r>
      <w:r>
        <w:rPr>
          <w:rFonts w:ascii="Times New Roman" w:hAnsi="Times New Roman" w:cs="Times New Roman"/>
          <w:sz w:val="24"/>
          <w:szCs w:val="24"/>
        </w:rPr>
        <w:t>Our focus on bank risk-taking behavior and loan performance is centered on economic uncertainty, which sheds light on a new stylized fact about the counter cyclicality observed between bank credit supply and economic uncertainty.</w:t>
      </w:r>
    </w:p>
    <w:p w14:paraId="26ECCC68" w14:textId="76D9BC81" w:rsidR="007C3344" w:rsidRDefault="007C3344" w:rsidP="00D44BA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remainder of our paper is organized as follows. Section 2 explains the construction of the VRP. Section 3 discusses the data and variables used that proxy for loan demand and loan supply. Section 4 presents the methods and empirical results on the effect of uncertainty on loan volume, loan demand and supply, loan pricing, and non-price loan terms. Section 5 concludes.</w:t>
      </w:r>
    </w:p>
    <w:p w14:paraId="663EF7D3" w14:textId="77777777" w:rsidR="005C263A" w:rsidRDefault="005C263A" w:rsidP="00D44BAE">
      <w:pPr>
        <w:autoSpaceDE w:val="0"/>
        <w:autoSpaceDN w:val="0"/>
        <w:adjustRightInd w:val="0"/>
        <w:spacing w:after="0" w:line="480" w:lineRule="auto"/>
        <w:jc w:val="both"/>
        <w:rPr>
          <w:rFonts w:ascii="Times New Roman" w:hAnsi="Times New Roman" w:cs="Times New Roman"/>
          <w:b/>
          <w:sz w:val="24"/>
          <w:szCs w:val="24"/>
        </w:rPr>
      </w:pPr>
    </w:p>
    <w:p w14:paraId="656A8540" w14:textId="7A5AEF9E" w:rsidR="007C3344" w:rsidRDefault="00C93A04" w:rsidP="00D44BAE">
      <w:pPr>
        <w:autoSpaceDE w:val="0"/>
        <w:autoSpaceDN w:val="0"/>
        <w:adjustRightInd w:val="0"/>
        <w:spacing w:after="0" w:line="480" w:lineRule="auto"/>
        <w:jc w:val="both"/>
        <w:rPr>
          <w:rFonts w:ascii="Times New Roman" w:hAnsi="Times New Roman" w:cs="Times New Roman"/>
          <w:b/>
          <w:sz w:val="24"/>
          <w:szCs w:val="24"/>
        </w:rPr>
      </w:pPr>
      <w:r w:rsidRPr="001604E6">
        <w:rPr>
          <w:rFonts w:ascii="Times New Roman" w:hAnsi="Times New Roman" w:cs="Times New Roman"/>
          <w:b/>
          <w:sz w:val="24"/>
          <w:szCs w:val="24"/>
        </w:rPr>
        <w:lastRenderedPageBreak/>
        <w:t>2. CONSTRUCTING THE VARIANCE RISK PREMIUM</w:t>
      </w:r>
    </w:p>
    <w:p w14:paraId="0DA7839A" w14:textId="77777777" w:rsidR="005C263A" w:rsidRPr="001604E6" w:rsidRDefault="005C263A" w:rsidP="00D44BAE">
      <w:pPr>
        <w:autoSpaceDE w:val="0"/>
        <w:autoSpaceDN w:val="0"/>
        <w:adjustRightInd w:val="0"/>
        <w:spacing w:after="0" w:line="480" w:lineRule="auto"/>
        <w:jc w:val="both"/>
        <w:rPr>
          <w:rFonts w:ascii="Times New Roman" w:hAnsi="Times New Roman" w:cs="Times New Roman"/>
          <w:b/>
          <w:sz w:val="24"/>
          <w:szCs w:val="24"/>
        </w:rPr>
      </w:pPr>
    </w:p>
    <w:p w14:paraId="4286CF6D" w14:textId="6F47B8C4" w:rsidR="007C3344" w:rsidRDefault="007C3344" w:rsidP="00D44BAE">
      <w:pPr>
        <w:autoSpaceDE w:val="0"/>
        <w:autoSpaceDN w:val="0"/>
        <w:adjustRightInd w:val="0"/>
        <w:spacing w:after="0" w:line="480" w:lineRule="auto"/>
        <w:ind w:firstLine="720"/>
        <w:jc w:val="both"/>
      </w:pPr>
      <w:r>
        <w:rPr>
          <w:rFonts w:ascii="Times New Roman" w:hAnsi="Times New Roman" w:cs="Times New Roman"/>
          <w:color w:val="231F20"/>
          <w:sz w:val="24"/>
          <w:szCs w:val="24"/>
        </w:rPr>
        <w:t xml:space="preserve">To construct the VRP measure, we use the model-free implied variance, </w:t>
      </w:r>
      <w:r w:rsidRPr="00AA533B">
        <w:rPr>
          <w:rFonts w:ascii="Times New Roman" w:hAnsi="Times New Roman" w:cs="Times New Roman"/>
          <w:i/>
          <w:color w:val="231F20"/>
          <w:sz w:val="24"/>
          <w:szCs w:val="24"/>
        </w:rPr>
        <w:t>VIX</w:t>
      </w:r>
      <w:r w:rsidRPr="00B02D87">
        <w:rPr>
          <w:rFonts w:ascii="Times New Roman" w:hAnsi="Times New Roman" w:cs="Times New Roman"/>
          <w:color w:val="231F20"/>
          <w:sz w:val="24"/>
          <w:szCs w:val="24"/>
          <w:vertAlign w:val="superscript"/>
        </w:rPr>
        <w:t>2</w:t>
      </w:r>
      <w:r>
        <w:rPr>
          <w:rFonts w:ascii="Times New Roman" w:hAnsi="Times New Roman" w:cs="Times New Roman"/>
          <w:color w:val="231F20"/>
          <w:sz w:val="24"/>
          <w:szCs w:val="24"/>
        </w:rPr>
        <w:t xml:space="preserve"> published by the </w:t>
      </w:r>
      <w:r w:rsidRPr="005F2FD2">
        <w:rPr>
          <w:rFonts w:ascii="Times New Roman" w:hAnsi="Times New Roman" w:cs="Times New Roman"/>
          <w:sz w:val="24"/>
          <w:szCs w:val="24"/>
          <w:lang w:val="en"/>
        </w:rPr>
        <w:t>Chicago Board Options Exchange (CBOE)</w:t>
      </w:r>
      <w:r>
        <w:rPr>
          <w:lang w:val="en"/>
        </w:rPr>
        <w:t xml:space="preserve">. </w:t>
      </w:r>
      <w:r>
        <w:rPr>
          <w:rFonts w:ascii="Times New Roman" w:hAnsi="Times New Roman" w:cs="Times New Roman"/>
          <w:color w:val="231F20"/>
          <w:sz w:val="24"/>
          <w:szCs w:val="24"/>
        </w:rPr>
        <w:t>This is also referred to as the risk neutral variance. The VRP is obtained by subtracting the expected variance (</w:t>
      </w:r>
      <w:r w:rsidRPr="00AA533B">
        <w:rPr>
          <w:rFonts w:ascii="Times New Roman" w:hAnsi="Times New Roman" w:cs="Times New Roman"/>
          <w:i/>
          <w:color w:val="231F20"/>
          <w:sz w:val="24"/>
          <w:szCs w:val="24"/>
        </w:rPr>
        <w:t>ERV</w:t>
      </w:r>
      <w:r>
        <w:rPr>
          <w:rFonts w:ascii="Times New Roman" w:hAnsi="Times New Roman" w:cs="Times New Roman"/>
          <w:color w:val="231F20"/>
          <w:sz w:val="24"/>
          <w:szCs w:val="24"/>
        </w:rPr>
        <w:t xml:space="preserve">), also known as the objective measure of expected variance, from the model-free implied variance (i.e.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VRP</m:t>
            </m:r>
          </m:e>
          <m:sub>
            <m:r>
              <m:rPr>
                <m:nor/>
              </m:rPr>
              <w:rPr>
                <w:rFonts w:ascii="Times New Roman" w:hAnsi="Times New Roman" w:cs="Times New Roman"/>
                <w:i/>
                <w:color w:val="231F20"/>
                <w:sz w:val="24"/>
                <w:szCs w:val="24"/>
              </w:rPr>
              <m:t>t</m:t>
            </m:r>
          </m:sub>
        </m:sSub>
        <m:r>
          <m:rPr>
            <m:nor/>
          </m:rPr>
          <w:rPr>
            <w:rFonts w:ascii="Cambria Math" w:hAnsi="Times New Roman" w:cs="Times New Roman"/>
            <w:color w:val="231F20"/>
            <w:sz w:val="24"/>
            <w:szCs w:val="24"/>
          </w:rPr>
          <m:t xml:space="preserve"> </m:t>
        </m:r>
        <m:r>
          <m:rPr>
            <m:nor/>
          </m:rPr>
          <w:rPr>
            <w:rFonts w:ascii="Times New Roman" w:hAnsi="Times New Roman" w:cs="Times New Roman"/>
            <w:color w:val="231F20"/>
            <w:sz w:val="24"/>
            <w:szCs w:val="24"/>
          </w:rPr>
          <m:t>=</m:t>
        </m:r>
        <m:r>
          <m:rPr>
            <m:nor/>
          </m:rPr>
          <w:rPr>
            <w:rFonts w:ascii="Cambria Math" w:hAnsi="Times New Roman" w:cs="Times New Roman"/>
            <w:color w:val="231F20"/>
            <w:sz w:val="24"/>
            <w:szCs w:val="24"/>
          </w:rPr>
          <m:t xml:space="preserve"> </m:t>
        </m:r>
        <m:sSubSup>
          <m:sSubSupPr>
            <m:ctrlPr>
              <w:rPr>
                <w:rFonts w:ascii="Cambria Math" w:hAnsi="Cambria Math" w:cs="Times New Roman"/>
                <w:i/>
                <w:color w:val="231F20"/>
                <w:sz w:val="24"/>
                <w:szCs w:val="24"/>
              </w:rPr>
            </m:ctrlPr>
          </m:sSubSupPr>
          <m:e>
            <m:r>
              <m:rPr>
                <m:nor/>
              </m:rPr>
              <w:rPr>
                <w:rFonts w:ascii="Times New Roman" w:hAnsi="Times New Roman" w:cs="Times New Roman"/>
                <w:i/>
                <w:color w:val="231F20"/>
                <w:sz w:val="24"/>
                <w:szCs w:val="24"/>
              </w:rPr>
              <m:t>VIX</m:t>
            </m:r>
          </m:e>
          <m:sub>
            <m:r>
              <m:rPr>
                <m:nor/>
              </m:rPr>
              <w:rPr>
                <w:rFonts w:ascii="Times New Roman" w:hAnsi="Times New Roman" w:cs="Times New Roman"/>
                <w:i/>
                <w:color w:val="231F20"/>
                <w:sz w:val="24"/>
                <w:szCs w:val="24"/>
              </w:rPr>
              <m:t>t</m:t>
            </m:r>
          </m:sub>
          <m:sup>
            <m:r>
              <m:rPr>
                <m:nor/>
              </m:rPr>
              <w:rPr>
                <w:rFonts w:ascii="Times New Roman" w:hAnsi="Times New Roman" w:cs="Times New Roman"/>
                <w:color w:val="231F20"/>
                <w:sz w:val="24"/>
                <w:szCs w:val="24"/>
              </w:rPr>
              <m:t>2</m:t>
            </m:r>
          </m:sup>
        </m:sSubSup>
        <m:r>
          <w:rPr>
            <w:rFonts w:ascii="Cambria Math" w:hAnsi="Cambria Math" w:cs="Times New Roman"/>
            <w:color w:val="231F20"/>
            <w:sz w:val="24"/>
            <w:szCs w:val="24"/>
          </w:rPr>
          <m:t>-</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ERV</m:t>
            </m:r>
          </m:e>
          <m:sub>
            <m:r>
              <m:rPr>
                <m:nor/>
              </m:rPr>
              <w:rPr>
                <w:rFonts w:ascii="Times New Roman" w:hAnsi="Times New Roman" w:cs="Times New Roman"/>
                <w:i/>
                <w:color w:val="231F20"/>
                <w:sz w:val="24"/>
                <w:szCs w:val="24"/>
              </w:rPr>
              <m:t>t</m:t>
            </m:r>
          </m:sub>
        </m:sSub>
      </m:oMath>
      <w:r>
        <w:rPr>
          <w:rFonts w:ascii="Times New Roman" w:hAnsi="Times New Roman" w:cs="Times New Roman"/>
          <w:color w:val="231F20"/>
          <w:sz w:val="24"/>
          <w:szCs w:val="24"/>
        </w:rPr>
        <w:t xml:space="preserve"> )</w:t>
      </w:r>
      <w:r>
        <w:t>.</w:t>
      </w:r>
    </w:p>
    <w:p w14:paraId="48D06702" w14:textId="03E21FE4"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To obtain the expected variance, it is customary to compute the realized monthly variance from the squared 5-minute returns. Realized monthly variance (</w:t>
      </w:r>
      <w:r w:rsidRPr="00AA533B">
        <w:rPr>
          <w:rFonts w:ascii="Times New Roman" w:hAnsi="Times New Roman" w:cs="Times New Roman"/>
          <w:i/>
          <w:color w:val="231F20"/>
          <w:sz w:val="24"/>
          <w:szCs w:val="24"/>
        </w:rPr>
        <w:t>RV</w:t>
      </w:r>
      <w:r>
        <w:rPr>
          <w:rFonts w:ascii="Times New Roman" w:hAnsi="Times New Roman" w:cs="Times New Roman"/>
          <w:color w:val="231F20"/>
          <w:sz w:val="24"/>
          <w:szCs w:val="24"/>
        </w:rPr>
        <w:t>) which is</w:t>
      </w:r>
      <w:r w:rsidRPr="00500D60">
        <w:rPr>
          <w:rFonts w:ascii="Times New Roman" w:hAnsi="Times New Roman" w:cs="Times New Roman"/>
          <w:color w:val="231F20"/>
          <w:sz w:val="24"/>
          <w:szCs w:val="24"/>
        </w:rPr>
        <w:t xml:space="preserve"> </w:t>
      </w:r>
      <w:r>
        <w:rPr>
          <w:rFonts w:ascii="Times New Roman" w:hAnsi="Times New Roman" w:cs="Times New Roman"/>
          <w:color w:val="231F20"/>
          <w:sz w:val="24"/>
          <w:szCs w:val="24"/>
        </w:rPr>
        <w:t>calculated from</w:t>
      </w:r>
      <w:r w:rsidRPr="00500D60">
        <w:rPr>
          <w:rFonts w:ascii="Times New Roman" w:hAnsi="Times New Roman" w:cs="Times New Roman"/>
          <w:color w:val="231F20"/>
          <w:sz w:val="24"/>
          <w:szCs w:val="24"/>
        </w:rPr>
        <w:t xml:space="preserve"> intraday data provide</w:t>
      </w:r>
      <w:r>
        <w:rPr>
          <w:rFonts w:ascii="Times New Roman" w:hAnsi="Times New Roman" w:cs="Times New Roman"/>
          <w:color w:val="231F20"/>
          <w:sz w:val="24"/>
          <w:szCs w:val="24"/>
        </w:rPr>
        <w:t>s</w:t>
      </w:r>
      <w:r w:rsidRPr="00500D60">
        <w:rPr>
          <w:rFonts w:ascii="Times New Roman" w:hAnsi="Times New Roman" w:cs="Times New Roman"/>
          <w:color w:val="231F20"/>
          <w:sz w:val="24"/>
          <w:szCs w:val="24"/>
        </w:rPr>
        <w:t xml:space="preserve"> more accurate ex-post observations of the actual </w:t>
      </w:r>
      <w:r>
        <w:rPr>
          <w:rFonts w:ascii="Times New Roman" w:hAnsi="Times New Roman" w:cs="Times New Roman"/>
          <w:color w:val="231F20"/>
          <w:sz w:val="24"/>
          <w:szCs w:val="24"/>
        </w:rPr>
        <w:t xml:space="preserve">variance </w:t>
      </w:r>
      <w:r w:rsidRPr="00500D60">
        <w:rPr>
          <w:rFonts w:ascii="Times New Roman" w:hAnsi="Times New Roman" w:cs="Times New Roman"/>
          <w:color w:val="231F20"/>
          <w:sz w:val="24"/>
          <w:szCs w:val="24"/>
        </w:rPr>
        <w:t>compared to daily data (</w:t>
      </w:r>
      <w:r>
        <w:rPr>
          <w:rFonts w:ascii="Times New Roman" w:hAnsi="Times New Roman" w:cs="Times New Roman"/>
          <w:color w:val="231F20"/>
          <w:sz w:val="24"/>
          <w:szCs w:val="24"/>
        </w:rPr>
        <w:t>Andersen et al.</w:t>
      </w:r>
      <w:r w:rsidRPr="000158C5">
        <w:rPr>
          <w:rFonts w:ascii="Times New Roman" w:hAnsi="Times New Roman" w:cs="Times New Roman"/>
          <w:color w:val="231F20"/>
          <w:sz w:val="24"/>
          <w:szCs w:val="24"/>
        </w:rPr>
        <w:t xml:space="preserve"> 200</w:t>
      </w:r>
      <w:r>
        <w:rPr>
          <w:rFonts w:ascii="Times New Roman" w:hAnsi="Times New Roman" w:cs="Times New Roman"/>
          <w:color w:val="231F20"/>
          <w:sz w:val="24"/>
          <w:szCs w:val="24"/>
        </w:rPr>
        <w:t xml:space="preserve">1, </w:t>
      </w:r>
      <w:r w:rsidRPr="00B51916">
        <w:rPr>
          <w:rFonts w:ascii="Times New Roman" w:hAnsi="Times New Roman" w:cs="Times New Roman"/>
          <w:color w:val="231F20"/>
          <w:sz w:val="24"/>
          <w:szCs w:val="24"/>
        </w:rPr>
        <w:t>Barndorff-Nielsen</w:t>
      </w:r>
      <w:r>
        <w:rPr>
          <w:rFonts w:ascii="Times New Roman" w:hAnsi="Times New Roman" w:cs="Times New Roman"/>
          <w:color w:val="231F20"/>
          <w:sz w:val="24"/>
          <w:szCs w:val="24"/>
        </w:rPr>
        <w:t xml:space="preserve"> </w:t>
      </w:r>
      <w:r w:rsidRPr="00500D60">
        <w:rPr>
          <w:rFonts w:ascii="Times New Roman" w:hAnsi="Times New Roman" w:cs="Times New Roman"/>
          <w:color w:val="231F20"/>
          <w:sz w:val="24"/>
          <w:szCs w:val="24"/>
        </w:rPr>
        <w:t>and Shephard 2002).</w:t>
      </w:r>
      <w:r>
        <w:rPr>
          <w:rFonts w:ascii="Times New Roman" w:hAnsi="Times New Roman" w:cs="Times New Roman"/>
          <w:color w:val="231F20"/>
          <w:sz w:val="24"/>
          <w:szCs w:val="24"/>
        </w:rPr>
        <w:t xml:space="preserve">  Following Drechsler (2013), </w:t>
      </w:r>
      <w:r w:rsidRPr="00D27B58">
        <w:rPr>
          <w:rFonts w:ascii="Times New Roman" w:hAnsi="Times New Roman" w:cs="Times New Roman"/>
          <w:color w:val="231F20"/>
          <w:sz w:val="24"/>
          <w:szCs w:val="24"/>
        </w:rPr>
        <w:t>Bekaert, Hoerova, and Lo Duca</w:t>
      </w:r>
      <w:r>
        <w:rPr>
          <w:rFonts w:ascii="Times New Roman" w:hAnsi="Times New Roman" w:cs="Times New Roman"/>
          <w:color w:val="231F20"/>
          <w:sz w:val="24"/>
          <w:szCs w:val="24"/>
        </w:rPr>
        <w:t xml:space="preserve"> (2013), </w:t>
      </w:r>
      <w:r w:rsidRPr="00DD5C91">
        <w:rPr>
          <w:rFonts w:ascii="Times New Roman" w:hAnsi="Times New Roman" w:cs="Times New Roman"/>
          <w:color w:val="231F20"/>
          <w:sz w:val="24"/>
          <w:szCs w:val="24"/>
        </w:rPr>
        <w:t>Wang, Zhou, and Zhou</w:t>
      </w:r>
      <w:r>
        <w:rPr>
          <w:rFonts w:ascii="Times New Roman" w:hAnsi="Times New Roman" w:cs="Times New Roman"/>
          <w:color w:val="231F20"/>
          <w:sz w:val="24"/>
          <w:szCs w:val="24"/>
        </w:rPr>
        <w:t xml:space="preserve"> (2013), and Bali and Zhou (2016), we adopt a linear forecast of the objective or statistical expectation of the return variance:</w:t>
      </w:r>
    </w:p>
    <w:p w14:paraId="7E0C8C78" w14:textId="2D310AAE" w:rsidR="007C3344" w:rsidRPr="00961F1D" w:rsidRDefault="00C64E14" w:rsidP="00D44BAE">
      <w:pPr>
        <w:autoSpaceDE w:val="0"/>
        <w:autoSpaceDN w:val="0"/>
        <w:adjustRightInd w:val="0"/>
        <w:spacing w:after="0" w:line="480" w:lineRule="auto"/>
        <w:ind w:firstLine="720"/>
        <w:jc w:val="both"/>
        <w:rPr>
          <w:rFonts w:ascii="Times New Roman" w:hAnsi="Times New Roman" w:cs="Times New Roman"/>
          <w:i/>
          <w:color w:val="231F20"/>
          <w:sz w:val="24"/>
          <w:szCs w:val="24"/>
        </w:rPr>
      </w:pPr>
      <m:oMathPara>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ERV</m:t>
              </m:r>
            </m:e>
            <m:sub>
              <m:r>
                <m:rPr>
                  <m:nor/>
                </m:rPr>
                <w:rPr>
                  <w:rFonts w:ascii="Times New Roman" w:hAnsi="Times New Roman" w:cs="Times New Roman"/>
                  <w:i/>
                  <w:color w:val="231F20"/>
                  <w:sz w:val="24"/>
                  <w:szCs w:val="24"/>
                </w:rPr>
                <m:t>t</m:t>
              </m:r>
            </m:sub>
          </m:sSub>
          <m:r>
            <m:rPr>
              <m:nor/>
            </m:rPr>
            <w:rPr>
              <w:rFonts w:ascii="Cambria Math" w:hAnsi="Times New Roman" w:cs="Times New Roman"/>
              <w:i/>
              <w:color w:val="231F20"/>
              <w:sz w:val="24"/>
              <w:szCs w:val="24"/>
            </w:rPr>
            <m:t xml:space="preserve"> </m:t>
          </m:r>
          <m:r>
            <m:rPr>
              <m:nor/>
            </m:rPr>
            <w:rPr>
              <w:rFonts w:ascii="Times New Roman" w:hAnsi="Times New Roman" w:cs="Times New Roman"/>
              <w:i/>
              <w:color w:val="231F20"/>
              <w:sz w:val="24"/>
              <w:szCs w:val="24"/>
            </w:rPr>
            <m:t>=</m:t>
          </m:r>
          <m:r>
            <m:rPr>
              <m:nor/>
            </m:rPr>
            <w:rPr>
              <w:rFonts w:ascii="Cambria Math"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acc>
                <m:accPr>
                  <m:ctrlPr>
                    <w:rPr>
                      <w:rFonts w:ascii="Cambria Math" w:hAnsi="Cambria Math" w:cs="Times New Roman"/>
                      <w:i/>
                      <w:color w:val="231F20"/>
                      <w:sz w:val="24"/>
                      <w:szCs w:val="24"/>
                    </w:rPr>
                  </m:ctrlPr>
                </m:accPr>
                <m:e>
                  <m:r>
                    <m:rPr>
                      <m:nor/>
                    </m:rPr>
                    <w:rPr>
                      <w:rFonts w:ascii="Times New Roman" w:hAnsi="Times New Roman" w:cs="Times New Roman"/>
                      <w:i/>
                      <w:color w:val="231F20"/>
                      <w:sz w:val="24"/>
                      <w:szCs w:val="24"/>
                    </w:rPr>
                    <m:t>RV</m:t>
                  </m:r>
                </m:e>
              </m:acc>
            </m:e>
            <m:sub>
              <m:r>
                <m:rPr>
                  <m:nor/>
                </m:rPr>
                <w:rPr>
                  <w:rFonts w:ascii="Times New Roman" w:hAnsi="Times New Roman" w:cs="Times New Roman"/>
                  <w:i/>
                  <w:color w:val="231F20"/>
                  <w:sz w:val="24"/>
                  <w:szCs w:val="24"/>
                </w:rPr>
                <m:t>t+</m:t>
              </m:r>
              <m:r>
                <m:rPr>
                  <m:nor/>
                </m:rPr>
                <w:rPr>
                  <w:rFonts w:ascii="Times New Roman" w:hAnsi="Times New Roman" w:cs="Times New Roman"/>
                  <w:color w:val="231F20"/>
                  <w:sz w:val="24"/>
                  <w:szCs w:val="24"/>
                </w:rPr>
                <m:t>1</m:t>
              </m:r>
            </m:sub>
          </m:sSub>
          <m:r>
            <m:rPr>
              <m:nor/>
            </m:rPr>
            <w:rPr>
              <w:rFonts w:ascii="Cambria Math" w:hAnsi="Times New Roman" w:cs="Times New Roman"/>
              <w:i/>
              <w:color w:val="231F20"/>
              <w:sz w:val="24"/>
              <w:szCs w:val="24"/>
            </w:rPr>
            <m:t xml:space="preserve"> </m:t>
          </m:r>
          <m:r>
            <m:rPr>
              <m:nor/>
            </m:rPr>
            <w:rPr>
              <w:rFonts w:ascii="Times New Roman" w:hAnsi="Times New Roman" w:cs="Times New Roman"/>
              <w:i/>
              <w:color w:val="231F20"/>
              <w:sz w:val="24"/>
              <w:szCs w:val="24"/>
            </w:rPr>
            <m:t>=</m:t>
          </m:r>
          <m:r>
            <m:rPr>
              <m:nor/>
            </m:rPr>
            <w:rPr>
              <w:rFonts w:ascii="Cambria Math"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acc>
                <m:accPr>
                  <m:ctrlPr>
                    <w:rPr>
                      <w:rFonts w:ascii="Cambria Math" w:hAnsi="Cambria Math" w:cs="Times New Roman"/>
                      <w:i/>
                      <w:color w:val="231F20"/>
                      <w:sz w:val="24"/>
                      <w:szCs w:val="24"/>
                    </w:rPr>
                  </m:ctrlPr>
                </m:accPr>
                <m:e>
                  <m:r>
                    <m:rPr>
                      <m:nor/>
                    </m:rPr>
                    <w:rPr>
                      <w:rFonts w:ascii="Times New Roman" w:hAnsi="Times New Roman" w:cs="Times New Roman"/>
                      <w:i/>
                      <w:color w:val="231F20"/>
                      <w:sz w:val="24"/>
                      <w:szCs w:val="24"/>
                    </w:rPr>
                    <m:t>β</m:t>
                  </m:r>
                </m:e>
              </m:acc>
            </m:e>
            <m:sub>
              <m:r>
                <m:rPr>
                  <m:nor/>
                </m:rPr>
                <w:rPr>
                  <w:rFonts w:ascii="Times New Roman" w:hAnsi="Times New Roman" w:cs="Times New Roman"/>
                  <w:color w:val="231F20"/>
                  <w:sz w:val="24"/>
                  <w:szCs w:val="24"/>
                </w:rPr>
                <m:t>0</m:t>
              </m:r>
            </m:sub>
          </m:sSub>
          <m:r>
            <m:rPr>
              <m:nor/>
            </m:rPr>
            <w:rPr>
              <w:rFonts w:ascii="Cambria Math" w:hAnsi="Times New Roman" w:cs="Times New Roman"/>
              <w:i/>
              <w:color w:val="231F20"/>
              <w:sz w:val="24"/>
              <w:szCs w:val="24"/>
            </w:rPr>
            <m:t xml:space="preserve"> </m:t>
          </m:r>
          <m:r>
            <m:rPr>
              <m:nor/>
            </m:rPr>
            <w:rPr>
              <w:rFonts w:ascii="Times New Roman" w:hAnsi="Times New Roman" w:cs="Times New Roman"/>
              <w:i/>
              <w:color w:val="231F20"/>
              <w:sz w:val="24"/>
              <w:szCs w:val="24"/>
            </w:rPr>
            <m:t>+</m:t>
          </m:r>
          <m:r>
            <m:rPr>
              <m:nor/>
            </m:rPr>
            <w:rPr>
              <w:rFonts w:ascii="Cambria Math"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acc>
                <m:accPr>
                  <m:ctrlPr>
                    <w:rPr>
                      <w:rFonts w:ascii="Cambria Math" w:hAnsi="Cambria Math" w:cs="Times New Roman"/>
                      <w:i/>
                      <w:color w:val="231F20"/>
                      <w:sz w:val="24"/>
                      <w:szCs w:val="24"/>
                    </w:rPr>
                  </m:ctrlPr>
                </m:accPr>
                <m:e>
                  <m:r>
                    <m:rPr>
                      <m:nor/>
                    </m:rPr>
                    <w:rPr>
                      <w:rFonts w:ascii="Times New Roman" w:hAnsi="Times New Roman" w:cs="Times New Roman"/>
                      <w:i/>
                      <w:color w:val="231F20"/>
                      <w:sz w:val="24"/>
                      <w:szCs w:val="24"/>
                    </w:rPr>
                    <m:t>β</m:t>
                  </m:r>
                </m:e>
              </m:acc>
            </m:e>
            <m:sub>
              <m:r>
                <m:rPr>
                  <m:nor/>
                </m:rPr>
                <w:rPr>
                  <w:rFonts w:ascii="Times New Roman" w:hAnsi="Times New Roman" w:cs="Times New Roman"/>
                  <w:color w:val="231F20"/>
                  <w:sz w:val="24"/>
                  <w:szCs w:val="24"/>
                </w:rPr>
                <m:t>1</m:t>
              </m:r>
            </m:sub>
          </m:sSub>
          <m:sSubSup>
            <m:sSubSupPr>
              <m:ctrlPr>
                <w:rPr>
                  <w:rFonts w:ascii="Cambria Math" w:hAnsi="Cambria Math" w:cs="Times New Roman"/>
                  <w:i/>
                  <w:color w:val="231F20"/>
                  <w:sz w:val="24"/>
                  <w:szCs w:val="24"/>
                </w:rPr>
              </m:ctrlPr>
            </m:sSubSupPr>
            <m:e>
              <m:r>
                <m:rPr>
                  <m:nor/>
                </m:rPr>
                <w:rPr>
                  <w:rFonts w:ascii="Times New Roman" w:hAnsi="Times New Roman" w:cs="Times New Roman"/>
                  <w:i/>
                  <w:color w:val="231F20"/>
                  <w:sz w:val="24"/>
                  <w:szCs w:val="24"/>
                </w:rPr>
                <m:t>VIX</m:t>
              </m:r>
            </m:e>
            <m:sub>
              <m:r>
                <m:rPr>
                  <m:nor/>
                </m:rPr>
                <w:rPr>
                  <w:rFonts w:ascii="Times New Roman" w:hAnsi="Times New Roman" w:cs="Times New Roman"/>
                  <w:i/>
                  <w:color w:val="231F20"/>
                  <w:sz w:val="24"/>
                  <w:szCs w:val="24"/>
                </w:rPr>
                <m:t>t</m:t>
              </m:r>
            </m:sub>
            <m:sup>
              <m:r>
                <m:rPr>
                  <m:nor/>
                </m:rPr>
                <w:rPr>
                  <w:rFonts w:ascii="Times New Roman" w:hAnsi="Times New Roman" w:cs="Times New Roman"/>
                  <w:color w:val="231F20"/>
                  <w:sz w:val="24"/>
                  <w:szCs w:val="24"/>
                </w:rPr>
                <m:t>2</m:t>
              </m:r>
            </m:sup>
          </m:sSubSup>
          <m:r>
            <m:rPr>
              <m:nor/>
            </m:rPr>
            <w:rPr>
              <w:rFonts w:ascii="Cambria Math" w:hAnsi="Times New Roman" w:cs="Times New Roman"/>
              <w:i/>
              <w:color w:val="231F20"/>
              <w:sz w:val="24"/>
              <w:szCs w:val="24"/>
            </w:rPr>
            <m:t xml:space="preserve"> </m:t>
          </m:r>
          <m:r>
            <m:rPr>
              <m:nor/>
            </m:rPr>
            <w:rPr>
              <w:rFonts w:ascii="Times New Roman" w:hAnsi="Times New Roman" w:cs="Times New Roman"/>
              <w:i/>
              <w:color w:val="231F20"/>
              <w:sz w:val="24"/>
              <w:szCs w:val="24"/>
            </w:rPr>
            <m:t>+</m:t>
          </m:r>
          <m:r>
            <m:rPr>
              <m:nor/>
            </m:rPr>
            <w:rPr>
              <w:rFonts w:ascii="Cambria Math"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acc>
                <m:accPr>
                  <m:ctrlPr>
                    <w:rPr>
                      <w:rFonts w:ascii="Cambria Math" w:hAnsi="Cambria Math" w:cs="Times New Roman"/>
                      <w:i/>
                      <w:color w:val="231F20"/>
                      <w:sz w:val="24"/>
                      <w:szCs w:val="24"/>
                    </w:rPr>
                  </m:ctrlPr>
                </m:accPr>
                <m:e>
                  <m:r>
                    <m:rPr>
                      <m:nor/>
                    </m:rPr>
                    <w:rPr>
                      <w:rFonts w:ascii="Times New Roman" w:hAnsi="Times New Roman" w:cs="Times New Roman"/>
                      <w:i/>
                      <w:color w:val="231F20"/>
                      <w:sz w:val="24"/>
                      <w:szCs w:val="24"/>
                    </w:rPr>
                    <m:t>β</m:t>
                  </m:r>
                </m:e>
              </m:acc>
            </m:e>
            <m:sub>
              <m:r>
                <m:rPr>
                  <m:nor/>
                </m:rPr>
                <w:rPr>
                  <w:rFonts w:ascii="Times New Roman" w:hAnsi="Times New Roman" w:cs="Times New Roman"/>
                  <w:color w:val="231F20"/>
                  <w:sz w:val="24"/>
                  <w:szCs w:val="24"/>
                </w:rPr>
                <m:t>2</m:t>
              </m:r>
            </m:sub>
          </m:sSub>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RV</m:t>
              </m:r>
            </m:e>
            <m:sub>
              <m:r>
                <m:rPr>
                  <m:nor/>
                </m:rPr>
                <w:rPr>
                  <w:rFonts w:ascii="Times New Roman" w:hAnsi="Times New Roman" w:cs="Times New Roman"/>
                  <w:i/>
                  <w:color w:val="231F20"/>
                  <w:sz w:val="24"/>
                  <w:szCs w:val="24"/>
                </w:rPr>
                <m:t>t</m:t>
              </m:r>
            </m:sub>
          </m:sSub>
        </m:oMath>
      </m:oMathPara>
    </w:p>
    <w:p w14:paraId="4275C224" w14:textId="14EE26DA" w:rsidR="007C3344" w:rsidRPr="004939E1" w:rsidRDefault="007C3344" w:rsidP="00D44BAE">
      <w:pPr>
        <w:autoSpaceDE w:val="0"/>
        <w:autoSpaceDN w:val="0"/>
        <w:adjustRightInd w:val="0"/>
        <w:spacing w:after="0" w:line="480" w:lineRule="auto"/>
        <w:jc w:val="both"/>
        <w:rPr>
          <w:rFonts w:ascii="Times New Roman" w:hAnsi="Times New Roman" w:cs="Times New Roman"/>
        </w:rPr>
      </w:pPr>
      <w:r>
        <w:rPr>
          <w:rFonts w:ascii="Times New Roman" w:hAnsi="Times New Roman" w:cs="Times New Roman"/>
          <w:color w:val="231F20"/>
          <w:sz w:val="24"/>
          <w:szCs w:val="24"/>
        </w:rPr>
        <w:t xml:space="preserve">such that the expected variance is simply the time </w:t>
      </w:r>
      <w:r w:rsidRPr="00467DE7">
        <w:rPr>
          <w:rFonts w:ascii="Times New Roman" w:hAnsi="Times New Roman" w:cs="Times New Roman"/>
          <w:i/>
          <w:color w:val="231F20"/>
          <w:sz w:val="24"/>
          <w:szCs w:val="24"/>
        </w:rPr>
        <w:t>t</w:t>
      </w:r>
      <w:r>
        <w:rPr>
          <w:rFonts w:ascii="Times New Roman" w:hAnsi="Times New Roman" w:cs="Times New Roman"/>
          <w:color w:val="231F20"/>
          <w:sz w:val="24"/>
          <w:szCs w:val="24"/>
        </w:rPr>
        <w:t xml:space="preserve"> forecast of realized variance from </w:t>
      </w:r>
      <w:r w:rsidRPr="00467DE7">
        <w:rPr>
          <w:rFonts w:ascii="Times New Roman" w:hAnsi="Times New Roman" w:cs="Times New Roman"/>
          <w:i/>
          <w:color w:val="231F20"/>
          <w:sz w:val="24"/>
          <w:szCs w:val="24"/>
        </w:rPr>
        <w:t>t</w:t>
      </w:r>
      <w:r>
        <w:rPr>
          <w:rFonts w:ascii="Times New Roman" w:hAnsi="Times New Roman" w:cs="Times New Roman"/>
          <w:color w:val="231F20"/>
          <w:sz w:val="24"/>
          <w:szCs w:val="24"/>
        </w:rPr>
        <w:t xml:space="preserve"> to </w:t>
      </w:r>
      <w:r w:rsidRPr="00467DE7">
        <w:rPr>
          <w:rFonts w:ascii="Times New Roman" w:hAnsi="Times New Roman" w:cs="Times New Roman"/>
          <w:i/>
          <w:color w:val="231F20"/>
          <w:sz w:val="24"/>
          <w:szCs w:val="24"/>
        </w:rPr>
        <w:t>t+</w:t>
      </w:r>
      <w:r w:rsidRPr="00C940F8">
        <w:rPr>
          <w:rFonts w:ascii="Times New Roman" w:hAnsi="Times New Roman" w:cs="Times New Roman"/>
          <w:color w:val="231F20"/>
          <w:sz w:val="24"/>
          <w:szCs w:val="24"/>
        </w:rPr>
        <w:t>1</w:t>
      </w:r>
      <w:r>
        <w:rPr>
          <w:rFonts w:ascii="Times New Roman" w:hAnsi="Times New Roman" w:cs="Times New Roman"/>
          <w:color w:val="231F20"/>
          <w:sz w:val="24"/>
          <w:szCs w:val="24"/>
        </w:rPr>
        <w:t xml:space="preserve"> based on the estimated coefficients of the above regression. Resulting coefficients from the two-variable projection are as follows:</w:t>
      </w:r>
    </w:p>
    <w:p w14:paraId="3AA5C44F" w14:textId="77777777" w:rsidR="007C3344" w:rsidRDefault="007C3344" w:rsidP="00D44BAE">
      <w:pPr>
        <w:autoSpaceDE w:val="0"/>
        <w:autoSpaceDN w:val="0"/>
        <w:adjustRightInd w:val="0"/>
        <w:spacing w:after="0" w:line="480" w:lineRule="auto"/>
        <w:jc w:val="center"/>
        <w:rPr>
          <w:rFonts w:ascii="Times New Roman" w:hAnsi="Times New Roman" w:cs="Times New Roman"/>
          <w:color w:val="231F20"/>
          <w:sz w:val="24"/>
          <w:szCs w:val="24"/>
        </w:rPr>
      </w:pPr>
      <w:r w:rsidRPr="00B159C9">
        <w:rPr>
          <w:position w:val="-30"/>
        </w:rPr>
        <w:object w:dxaOrig="4300" w:dyaOrig="720" w14:anchorId="67084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37pt" o:ole="">
            <v:imagedata r:id="rId9" o:title=""/>
          </v:shape>
          <o:OLEObject Type="Embed" ProgID="Equation.DSMT4" ShapeID="_x0000_i1025" DrawAspect="Content" ObjectID="_1628328500" r:id="rId10"/>
        </w:object>
      </w:r>
    </w:p>
    <w:p w14:paraId="0468CD64" w14:textId="77777777" w:rsidR="007C3344" w:rsidRDefault="007C3344" w:rsidP="00D44BAE">
      <w:pPr>
        <w:autoSpaceDE w:val="0"/>
        <w:autoSpaceDN w:val="0"/>
        <w:adjustRightInd w:val="0"/>
        <w:spacing w:after="0" w:line="480" w:lineRule="auto"/>
        <w:jc w:val="both"/>
        <w:rPr>
          <w:rFonts w:ascii="Times New Roman" w:hAnsi="Times New Roman" w:cs="Times New Roman"/>
          <w:sz w:val="24"/>
          <w:szCs w:val="24"/>
        </w:rPr>
      </w:pPr>
      <w:r w:rsidRPr="000C22E6">
        <w:rPr>
          <w:rFonts w:ascii="Times New Roman" w:hAnsi="Times New Roman" w:cs="Times New Roman"/>
          <w:color w:val="231F20"/>
          <w:sz w:val="24"/>
          <w:szCs w:val="24"/>
        </w:rPr>
        <w:t xml:space="preserve">The </w:t>
      </w:r>
      <w:r w:rsidRPr="000C22E6">
        <w:rPr>
          <w:rFonts w:ascii="Times New Roman" w:hAnsi="Times New Roman" w:cs="Times New Roman"/>
          <w:sz w:val="24"/>
          <w:szCs w:val="24"/>
        </w:rPr>
        <w:t>p-values reported in parentheses are obtained using Newey-West heteroskedasticity and autocorrelation consistent standard errors.</w:t>
      </w:r>
      <w:r>
        <w:rPr>
          <w:rFonts w:ascii="Times New Roman" w:hAnsi="Times New Roman" w:cs="Times New Roman"/>
          <w:sz w:val="24"/>
          <w:szCs w:val="24"/>
        </w:rPr>
        <w:t xml:space="preserve"> On the basis that we have quarterly data for the loan-related variables, the quarterly measures of the VRP are obtained by averaging the monthly VRP.</w:t>
      </w:r>
    </w:p>
    <w:p w14:paraId="439C1BC4" w14:textId="77777777" w:rsidR="007C3344" w:rsidRPr="001B73A3"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-Figure 1 about here -</w:t>
      </w:r>
    </w:p>
    <w:p w14:paraId="56E20F02" w14:textId="2F05508D"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sz w:val="24"/>
          <w:szCs w:val="24"/>
        </w:rPr>
        <w:lastRenderedPageBreak/>
        <w:t xml:space="preserve">Figure 1 depicts a plot of the natural </w:t>
      </w:r>
      <w:r w:rsidRPr="00042659">
        <w:rPr>
          <w:rFonts w:ascii="Times New Roman" w:hAnsi="Times New Roman" w:cs="Times New Roman"/>
          <w:color w:val="231F20"/>
          <w:sz w:val="24"/>
          <w:szCs w:val="24"/>
        </w:rPr>
        <w:t>logarithm</w:t>
      </w:r>
      <w:r>
        <w:rPr>
          <w:rFonts w:ascii="Times New Roman" w:hAnsi="Times New Roman" w:cs="Times New Roman"/>
          <w:color w:val="231F20"/>
          <w:sz w:val="24"/>
          <w:szCs w:val="24"/>
        </w:rPr>
        <w:t xml:space="preserve"> of </w:t>
      </w:r>
      <w:r>
        <w:rPr>
          <w:rFonts w:ascii="Times New Roman" w:hAnsi="Times New Roman" w:cs="Times New Roman"/>
          <w:sz w:val="24"/>
          <w:szCs w:val="24"/>
        </w:rPr>
        <w:t>VRP (</w:t>
      </w:r>
      <w:r w:rsidRPr="00C11893">
        <w:rPr>
          <w:rFonts w:ascii="Times New Roman" w:hAnsi="Times New Roman" w:cs="Times New Roman"/>
          <w:i/>
          <w:sz w:val="24"/>
          <w:szCs w:val="24"/>
        </w:rPr>
        <w:t>logVRP</w:t>
      </w:r>
      <w:r>
        <w:rPr>
          <w:rFonts w:ascii="Times New Roman" w:hAnsi="Times New Roman" w:cs="Times New Roman"/>
          <w:sz w:val="24"/>
          <w:szCs w:val="24"/>
        </w:rPr>
        <w:t xml:space="preserve">), which is our measure of uncertainty. This figure makes clear that the measure of uncertainty provided by </w:t>
      </w:r>
      <w:r w:rsidRPr="003B2B8A">
        <w:rPr>
          <w:rFonts w:ascii="Times New Roman" w:hAnsi="Times New Roman" w:cs="Times New Roman"/>
          <w:i/>
          <w:sz w:val="24"/>
          <w:szCs w:val="24"/>
        </w:rPr>
        <w:t>logVRP</w:t>
      </w:r>
      <w:r>
        <w:rPr>
          <w:rFonts w:ascii="Times New Roman" w:hAnsi="Times New Roman" w:cs="Times New Roman"/>
          <w:sz w:val="24"/>
          <w:szCs w:val="24"/>
        </w:rPr>
        <w:t xml:space="preserve"> accurately captures the impact of key events regardless of whether they are economic, financial or socio-political events. </w:t>
      </w:r>
      <w:r>
        <w:rPr>
          <w:rFonts w:ascii="Times New Roman" w:hAnsi="Times New Roman" w:cs="Times New Roman"/>
          <w:color w:val="231F20"/>
          <w:sz w:val="24"/>
          <w:szCs w:val="24"/>
        </w:rPr>
        <w:t xml:space="preserve">It is also interesting to note that during the three NBER-dated recessions the VRP peaked, suggesting that recession is often associated with greater uncertainty. Nevertheless, there are instances when the VRP peaks do not coincide with economic downturns, implying that the VRP contains information about the level of uncertainty which may not stem from </w:t>
      </w:r>
      <w:r w:rsidRPr="000B6167">
        <w:rPr>
          <w:rFonts w:ascii="Times New Roman" w:hAnsi="Times New Roman" w:cs="Times New Roman"/>
          <w:color w:val="231F20"/>
          <w:sz w:val="24"/>
          <w:szCs w:val="24"/>
        </w:rPr>
        <w:t xml:space="preserve">economic </w:t>
      </w:r>
      <w:r>
        <w:rPr>
          <w:rFonts w:ascii="Times New Roman" w:hAnsi="Times New Roman" w:cs="Times New Roman"/>
          <w:color w:val="231F20"/>
          <w:sz w:val="24"/>
          <w:szCs w:val="24"/>
        </w:rPr>
        <w:t>events.</w:t>
      </w:r>
    </w:p>
    <w:p w14:paraId="7BC41BD3" w14:textId="590021BA" w:rsidR="007C3344" w:rsidRDefault="007C3344" w:rsidP="00D44BAE">
      <w:pPr>
        <w:autoSpaceDE w:val="0"/>
        <w:autoSpaceDN w:val="0"/>
        <w:adjustRightInd w:val="0"/>
        <w:spacing w:after="0" w:line="480" w:lineRule="auto"/>
        <w:ind w:firstLine="720"/>
        <w:jc w:val="both"/>
        <w:rPr>
          <w:rFonts w:ascii="Times New Roman" w:eastAsiaTheme="minorEastAsia" w:hAnsi="Times New Roman" w:cs="Times New Roman"/>
          <w:color w:val="231F20"/>
          <w:sz w:val="24"/>
          <w:szCs w:val="24"/>
        </w:rPr>
      </w:pPr>
      <w:r>
        <w:rPr>
          <w:rFonts w:ascii="Times New Roman" w:hAnsi="Times New Roman" w:cs="Times New Roman"/>
          <w:sz w:val="24"/>
          <w:szCs w:val="24"/>
        </w:rPr>
        <w:t xml:space="preserve">One may question the use of VRP as a measure of uncertainty over the commonly used measure of stock market uncertainty like VIX. </w:t>
      </w:r>
      <w:r w:rsidRPr="0083634B">
        <w:rPr>
          <w:rFonts w:ascii="Times New Roman" w:hAnsi="Times New Roman" w:cs="Times New Roman"/>
          <w:i/>
          <w:sz w:val="24"/>
          <w:szCs w:val="24"/>
        </w:rPr>
        <w:t>VRP</w:t>
      </w:r>
      <w:r>
        <w:rPr>
          <w:rFonts w:ascii="Times New Roman" w:hAnsi="Times New Roman" w:cs="Times New Roman"/>
          <w:sz w:val="24"/>
          <w:szCs w:val="24"/>
        </w:rPr>
        <w:t xml:space="preserve"> is significantly correlated to </w:t>
      </w:r>
      <w:r w:rsidRPr="0083634B">
        <w:rPr>
          <w:rFonts w:ascii="Times New Roman" w:hAnsi="Times New Roman" w:cs="Times New Roman"/>
          <w:i/>
          <w:sz w:val="24"/>
          <w:szCs w:val="24"/>
        </w:rPr>
        <w:t>VIX</w:t>
      </w:r>
      <w:r w:rsidRPr="00C940F8">
        <w:rPr>
          <w:rFonts w:ascii="Times New Roman" w:hAnsi="Times New Roman" w:cs="Times New Roman"/>
          <w:sz w:val="24"/>
          <w:szCs w:val="24"/>
          <w:vertAlign w:val="superscript"/>
        </w:rPr>
        <w:t>2</w:t>
      </w:r>
      <w:r>
        <w:rPr>
          <w:rFonts w:ascii="Times New Roman" w:hAnsi="Times New Roman" w:cs="Times New Roman"/>
          <w:sz w:val="24"/>
          <w:szCs w:val="24"/>
        </w:rPr>
        <w:t xml:space="preserve"> (0.91) and is less correlated with </w:t>
      </w:r>
      <w:r w:rsidRPr="0083634B">
        <w:rPr>
          <w:rFonts w:ascii="Times New Roman" w:hAnsi="Times New Roman" w:cs="Times New Roman"/>
          <w:i/>
          <w:sz w:val="24"/>
          <w:szCs w:val="24"/>
        </w:rPr>
        <w:t>ERV</w:t>
      </w:r>
      <w:r>
        <w:rPr>
          <w:rFonts w:ascii="Times New Roman" w:eastAsiaTheme="minorEastAsia" w:hAnsi="Times New Roman" w:cs="Times New Roman"/>
          <w:color w:val="231F20"/>
          <w:sz w:val="24"/>
          <w:szCs w:val="24"/>
        </w:rPr>
        <w:t xml:space="preserve"> (0.73). This outcome implies that </w:t>
      </w:r>
      <w:r w:rsidRPr="00AA533B">
        <w:rPr>
          <w:rFonts w:ascii="Times New Roman" w:eastAsiaTheme="minorEastAsia" w:hAnsi="Times New Roman" w:cs="Times New Roman"/>
          <w:i/>
          <w:color w:val="231F20"/>
          <w:sz w:val="24"/>
          <w:szCs w:val="24"/>
        </w:rPr>
        <w:t>VRP</w:t>
      </w:r>
      <w:r>
        <w:rPr>
          <w:rFonts w:ascii="Times New Roman" w:eastAsiaTheme="minorEastAsia" w:hAnsi="Times New Roman" w:cs="Times New Roman"/>
          <w:color w:val="231F20"/>
          <w:sz w:val="24"/>
          <w:szCs w:val="24"/>
        </w:rPr>
        <w:t xml:space="preserve"> and </w:t>
      </w:r>
      <w:r w:rsidRPr="00AA533B">
        <w:rPr>
          <w:rFonts w:ascii="Times New Roman" w:eastAsiaTheme="minorEastAsia" w:hAnsi="Times New Roman" w:cs="Times New Roman"/>
          <w:i/>
          <w:color w:val="231F20"/>
          <w:sz w:val="24"/>
          <w:szCs w:val="24"/>
        </w:rPr>
        <w:t>ERV</w:t>
      </w:r>
      <w:r>
        <w:rPr>
          <w:rFonts w:ascii="Times New Roman" w:eastAsiaTheme="minorEastAsia" w:hAnsi="Times New Roman" w:cs="Times New Roman"/>
          <w:color w:val="231F20"/>
          <w:sz w:val="24"/>
          <w:szCs w:val="24"/>
        </w:rPr>
        <w:t xml:space="preserve"> may capture different risk components embedded in </w:t>
      </w:r>
      <w:r w:rsidRPr="0083634B">
        <w:rPr>
          <w:rFonts w:ascii="Times New Roman" w:eastAsiaTheme="minorEastAsia" w:hAnsi="Times New Roman" w:cs="Times New Roman"/>
          <w:i/>
          <w:color w:val="231F20"/>
          <w:sz w:val="24"/>
          <w:szCs w:val="24"/>
        </w:rPr>
        <w:t>VIX</w:t>
      </w:r>
      <w:r w:rsidRPr="00C940F8">
        <w:rPr>
          <w:rFonts w:ascii="Times New Roman" w:eastAsiaTheme="minorEastAsia" w:hAnsi="Times New Roman" w:cs="Times New Roman"/>
          <w:color w:val="231F20"/>
          <w:sz w:val="24"/>
          <w:szCs w:val="24"/>
          <w:vertAlign w:val="superscript"/>
        </w:rPr>
        <w:t>2</w:t>
      </w:r>
      <w:r>
        <w:rPr>
          <w:rFonts w:ascii="Times New Roman" w:eastAsiaTheme="minorEastAsia" w:hAnsi="Times New Roman" w:cs="Times New Roman"/>
          <w:color w:val="231F20"/>
          <w:sz w:val="24"/>
          <w:szCs w:val="24"/>
        </w:rPr>
        <w:t>.</w:t>
      </w:r>
      <w:r>
        <w:rPr>
          <w:rFonts w:ascii="Times New Roman" w:hAnsi="Times New Roman" w:cs="Times New Roman"/>
          <w:sz w:val="24"/>
          <w:szCs w:val="24"/>
        </w:rPr>
        <w:t xml:space="preserve"> We further consider the dynamic relationships amongst </w:t>
      </w:r>
      <w:r w:rsidRPr="0083634B">
        <w:rPr>
          <w:rFonts w:ascii="Times New Roman" w:hAnsi="Times New Roman" w:cs="Times New Roman"/>
          <w:i/>
          <w:sz w:val="24"/>
          <w:szCs w:val="24"/>
        </w:rPr>
        <w:t>logVRP</w:t>
      </w:r>
      <w:r>
        <w:rPr>
          <w:rFonts w:ascii="Times New Roman" w:hAnsi="Times New Roman" w:cs="Times New Roman"/>
          <w:sz w:val="24"/>
          <w:szCs w:val="24"/>
        </w:rPr>
        <w:t xml:space="preserve">, the implied variance given by </w:t>
      </w:r>
      <w:r w:rsidRPr="0083634B">
        <w:rPr>
          <w:rFonts w:ascii="Times New Roman" w:hAnsi="Times New Roman" w:cs="Times New Roman"/>
          <w:i/>
          <w:sz w:val="24"/>
          <w:szCs w:val="24"/>
        </w:rPr>
        <w:t>VIX</w:t>
      </w:r>
      <w:r w:rsidRPr="00C940F8">
        <w:rPr>
          <w:rFonts w:ascii="Times New Roman" w:hAnsi="Times New Roman" w:cs="Times New Roman"/>
          <w:sz w:val="24"/>
          <w:szCs w:val="24"/>
          <w:vertAlign w:val="superscript"/>
        </w:rPr>
        <w:t>2</w:t>
      </w:r>
      <w:r>
        <w:rPr>
          <w:rFonts w:ascii="Times New Roman" w:eastAsiaTheme="minorEastAsia" w:hAnsi="Times New Roman" w:cs="Times New Roman"/>
          <w:color w:val="231F20"/>
          <w:sz w:val="24"/>
          <w:szCs w:val="24"/>
        </w:rPr>
        <w:t xml:space="preserve"> and the expected variance </w:t>
      </w:r>
      <w:r w:rsidRPr="00AA533B">
        <w:rPr>
          <w:rFonts w:ascii="Times New Roman" w:eastAsiaTheme="minorEastAsia" w:hAnsi="Times New Roman" w:cs="Times New Roman"/>
          <w:i/>
          <w:color w:val="231F20"/>
          <w:sz w:val="24"/>
          <w:szCs w:val="24"/>
        </w:rPr>
        <w:t>ERV</w:t>
      </w:r>
      <w:r>
        <w:rPr>
          <w:rFonts w:ascii="Times New Roman" w:eastAsiaTheme="minorEastAsia" w:hAnsi="Times New Roman" w:cs="Times New Roman"/>
          <w:color w:val="231F20"/>
          <w:sz w:val="24"/>
          <w:szCs w:val="24"/>
        </w:rPr>
        <w:t xml:space="preserve">. We find that </w:t>
      </w:r>
      <w:r w:rsidRPr="0083634B">
        <w:rPr>
          <w:rFonts w:ascii="Times New Roman" w:eastAsiaTheme="minorEastAsia" w:hAnsi="Times New Roman" w:cs="Times New Roman"/>
          <w:i/>
          <w:color w:val="231F20"/>
          <w:sz w:val="24"/>
          <w:szCs w:val="24"/>
        </w:rPr>
        <w:t>logVRP</w:t>
      </w:r>
      <w:r>
        <w:rPr>
          <w:rFonts w:ascii="Times New Roman" w:hAnsi="Times New Roman" w:cs="Times New Roman"/>
          <w:sz w:val="24"/>
          <w:szCs w:val="24"/>
        </w:rPr>
        <w:t xml:space="preserve"> Granger causes both </w:t>
      </w:r>
      <w:r w:rsidRPr="0083634B">
        <w:rPr>
          <w:rFonts w:ascii="Times New Roman" w:hAnsi="Times New Roman" w:cs="Times New Roman"/>
          <w:i/>
          <w:sz w:val="24"/>
          <w:szCs w:val="24"/>
        </w:rPr>
        <w:t>VIX</w:t>
      </w:r>
      <w:r w:rsidRPr="00C940F8">
        <w:rPr>
          <w:rFonts w:ascii="Times New Roman" w:hAnsi="Times New Roman" w:cs="Times New Roman"/>
          <w:sz w:val="24"/>
          <w:szCs w:val="24"/>
          <w:vertAlign w:val="superscript"/>
        </w:rPr>
        <w:t>2</w:t>
      </w:r>
      <w:r>
        <w:rPr>
          <w:rFonts w:ascii="Times New Roman" w:hAnsi="Times New Roman" w:cs="Times New Roman"/>
          <w:sz w:val="24"/>
          <w:szCs w:val="24"/>
        </w:rPr>
        <w:t xml:space="preserve"> and</w:t>
      </w:r>
      <w:r>
        <w:rPr>
          <w:rFonts w:ascii="Times New Roman" w:eastAsiaTheme="minorEastAsia" w:hAnsi="Times New Roman" w:cs="Times New Roman"/>
          <w:color w:val="231F20"/>
          <w:sz w:val="24"/>
          <w:szCs w:val="24"/>
        </w:rPr>
        <w:t xml:space="preserve"> </w:t>
      </w:r>
      <w:r w:rsidRPr="0083634B">
        <w:rPr>
          <w:rFonts w:ascii="Times New Roman" w:eastAsiaTheme="minorEastAsia" w:hAnsi="Times New Roman" w:cs="Times New Roman"/>
          <w:i/>
          <w:color w:val="231F20"/>
          <w:sz w:val="24"/>
          <w:szCs w:val="24"/>
        </w:rPr>
        <w:t>ERV</w:t>
      </w:r>
      <w:r>
        <w:rPr>
          <w:rFonts w:ascii="Times New Roman" w:eastAsiaTheme="minorEastAsia" w:hAnsi="Times New Roman" w:cs="Times New Roman"/>
          <w:color w:val="231F20"/>
          <w:sz w:val="24"/>
          <w:szCs w:val="24"/>
        </w:rPr>
        <w:t xml:space="preserve"> at the 5% significance level, but not the other way around, which</w:t>
      </w:r>
      <w:r>
        <w:rPr>
          <w:rFonts w:ascii="Times New Roman" w:hAnsi="Times New Roman" w:cs="Times New Roman"/>
          <w:sz w:val="24"/>
          <w:szCs w:val="24"/>
        </w:rPr>
        <w:t xml:space="preserve"> </w:t>
      </w:r>
      <w:r>
        <w:rPr>
          <w:rFonts w:ascii="Times New Roman" w:eastAsiaTheme="minorEastAsia" w:hAnsi="Times New Roman" w:cs="Times New Roman"/>
          <w:color w:val="231F20"/>
          <w:sz w:val="24"/>
          <w:szCs w:val="24"/>
        </w:rPr>
        <w:t xml:space="preserve">indicates that </w:t>
      </w:r>
      <w:r w:rsidRPr="0083634B">
        <w:rPr>
          <w:rFonts w:ascii="Times New Roman" w:eastAsiaTheme="minorEastAsia" w:hAnsi="Times New Roman" w:cs="Times New Roman"/>
          <w:i/>
          <w:color w:val="231F20"/>
          <w:sz w:val="24"/>
          <w:szCs w:val="24"/>
        </w:rPr>
        <w:t>logVRP</w:t>
      </w:r>
      <w:r>
        <w:rPr>
          <w:rFonts w:ascii="Times New Roman" w:eastAsiaTheme="minorEastAsia" w:hAnsi="Times New Roman" w:cs="Times New Roman"/>
          <w:sz w:val="24"/>
          <w:szCs w:val="24"/>
        </w:rPr>
        <w:t xml:space="preserve"> is </w:t>
      </w:r>
      <w:r w:rsidRPr="00AB0C30">
        <w:rPr>
          <w:rFonts w:ascii="Times New Roman" w:hAnsi="Times New Roman" w:cs="Times New Roman"/>
          <w:sz w:val="24"/>
          <w:szCs w:val="24"/>
        </w:rPr>
        <w:t xml:space="preserve">a superior measure of systematic variance risk </w:t>
      </w:r>
      <w:r>
        <w:rPr>
          <w:rFonts w:ascii="Times New Roman" w:hAnsi="Times New Roman" w:cs="Times New Roman"/>
          <w:sz w:val="24"/>
          <w:szCs w:val="24"/>
        </w:rPr>
        <w:t>which</w:t>
      </w:r>
      <w:r w:rsidRPr="00AB0C30">
        <w:rPr>
          <w:rFonts w:ascii="Times New Roman" w:hAnsi="Times New Roman" w:cs="Times New Roman"/>
          <w:sz w:val="24"/>
          <w:szCs w:val="24"/>
        </w:rPr>
        <w:t xml:space="preserve"> </w:t>
      </w:r>
      <w:r>
        <w:rPr>
          <w:rFonts w:ascii="Times New Roman" w:hAnsi="Times New Roman" w:cs="Times New Roman"/>
          <w:sz w:val="24"/>
          <w:szCs w:val="24"/>
        </w:rPr>
        <w:t>is</w:t>
      </w:r>
      <w:r w:rsidRPr="00AB0C30">
        <w:rPr>
          <w:rFonts w:ascii="Times New Roman" w:hAnsi="Times New Roman" w:cs="Times New Roman"/>
          <w:sz w:val="24"/>
          <w:szCs w:val="24"/>
        </w:rPr>
        <w:t xml:space="preserve"> not captured in </w:t>
      </w:r>
      <w:r w:rsidRPr="00AB0C30">
        <w:rPr>
          <w:rFonts w:ascii="Times New Roman" w:eastAsiaTheme="minorEastAsia" w:hAnsi="Times New Roman" w:cs="Times New Roman"/>
          <w:color w:val="231F20"/>
          <w:sz w:val="24"/>
          <w:szCs w:val="24"/>
        </w:rPr>
        <w:t xml:space="preserve">both </w:t>
      </w:r>
      <w:r w:rsidRPr="0083634B">
        <w:rPr>
          <w:rFonts w:ascii="Times New Roman" w:hAnsi="Times New Roman" w:cs="Times New Roman"/>
          <w:i/>
          <w:sz w:val="24"/>
          <w:szCs w:val="24"/>
        </w:rPr>
        <w:t>VIX</w:t>
      </w:r>
      <w:r w:rsidRPr="00C940F8">
        <w:rPr>
          <w:rFonts w:ascii="Times New Roman" w:hAnsi="Times New Roman" w:cs="Times New Roman"/>
          <w:sz w:val="24"/>
          <w:szCs w:val="24"/>
          <w:vertAlign w:val="superscript"/>
        </w:rPr>
        <w:t>2</w:t>
      </w:r>
      <w:r>
        <w:rPr>
          <w:rFonts w:ascii="Times New Roman" w:eastAsiaTheme="minorEastAsia" w:hAnsi="Times New Roman" w:cs="Times New Roman"/>
          <w:color w:val="231F20"/>
          <w:sz w:val="24"/>
          <w:szCs w:val="24"/>
        </w:rPr>
        <w:t xml:space="preserve"> and </w:t>
      </w:r>
      <w:r w:rsidRPr="0083634B">
        <w:rPr>
          <w:rFonts w:ascii="Times New Roman" w:eastAsiaTheme="minorEastAsia" w:hAnsi="Times New Roman" w:cs="Times New Roman"/>
          <w:i/>
          <w:color w:val="231F20"/>
          <w:sz w:val="24"/>
          <w:szCs w:val="24"/>
        </w:rPr>
        <w:t>ERV</w:t>
      </w:r>
      <w:r w:rsidRPr="00AB0C30">
        <w:rPr>
          <w:rFonts w:ascii="Times New Roman" w:hAnsi="Times New Roman" w:cs="Times New Roman"/>
          <w:sz w:val="24"/>
          <w:szCs w:val="24"/>
        </w:rPr>
        <w:t>.</w:t>
      </w:r>
      <w:r w:rsidR="001A71F3">
        <w:rPr>
          <w:rStyle w:val="af7"/>
          <w:rFonts w:ascii="Times New Roman" w:eastAsiaTheme="minorEastAsia" w:hAnsi="Times New Roman" w:cs="Times New Roman"/>
          <w:sz w:val="24"/>
          <w:szCs w:val="24"/>
        </w:rPr>
        <w:endnoteReference w:id="8"/>
      </w:r>
      <w:r w:rsidR="001A71F3">
        <w:rPr>
          <w:rFonts w:ascii="Times New Roman" w:hAnsi="Times New Roman" w:cs="Times New Roman"/>
          <w:sz w:val="24"/>
          <w:szCs w:val="24"/>
        </w:rPr>
        <w:t xml:space="preserve"> </w:t>
      </w:r>
      <w:r>
        <w:rPr>
          <w:rFonts w:ascii="Times New Roman" w:hAnsi="Times New Roman" w:cs="Times New Roman"/>
          <w:sz w:val="24"/>
          <w:szCs w:val="24"/>
        </w:rPr>
        <w:t xml:space="preserve">Table A1 Panel A further confirms our belief that the VRP provides information about economic uncertainty, which is not found in the commonly used measure of stock market uncertainty, </w:t>
      </w:r>
      <w:r w:rsidRPr="0083634B">
        <w:rPr>
          <w:rFonts w:ascii="Times New Roman" w:hAnsi="Times New Roman" w:cs="Times New Roman"/>
          <w:i/>
          <w:sz w:val="24"/>
          <w:szCs w:val="24"/>
        </w:rPr>
        <w:t>VIX</w:t>
      </w:r>
      <w:r w:rsidRPr="001A0411">
        <w:rPr>
          <w:rFonts w:ascii="Times New Roman" w:hAnsi="Times New Roman" w:cs="Times New Roman"/>
          <w:sz w:val="24"/>
          <w:szCs w:val="24"/>
          <w:vertAlign w:val="superscript"/>
        </w:rPr>
        <w:t>2</w:t>
      </w:r>
      <w:r>
        <w:rPr>
          <w:rFonts w:ascii="Times New Roman" w:eastAsiaTheme="minorEastAsia" w:hAnsi="Times New Roman" w:cs="Times New Roman"/>
          <w:color w:val="231F20"/>
          <w:sz w:val="24"/>
          <w:szCs w:val="24"/>
        </w:rPr>
        <w:t>. W</w:t>
      </w:r>
      <w:r>
        <w:rPr>
          <w:rFonts w:ascii="Times New Roman" w:hAnsi="Times New Roman" w:cs="Times New Roman"/>
          <w:sz w:val="24"/>
          <w:szCs w:val="24"/>
        </w:rPr>
        <w:t xml:space="preserve">hen loan demand </w:t>
      </w:r>
      <w:r>
        <w:rPr>
          <w:rFonts w:ascii="Times New Roman" w:eastAsiaTheme="minorEastAsia" w:hAnsi="Times New Roman" w:cs="Times New Roman"/>
          <w:sz w:val="24"/>
          <w:szCs w:val="24"/>
        </w:rPr>
        <w:t xml:space="preserve">and loan supply for large and medium firms are regressed on both </w:t>
      </w:r>
      <w:r w:rsidRPr="0083634B">
        <w:rPr>
          <w:rFonts w:ascii="Times New Roman" w:hAnsi="Times New Roman" w:cs="Times New Roman"/>
          <w:i/>
          <w:sz w:val="24"/>
          <w:szCs w:val="24"/>
        </w:rPr>
        <w:t>VIX</w:t>
      </w:r>
      <w:r w:rsidRPr="001A0411">
        <w:rPr>
          <w:rFonts w:ascii="Times New Roman" w:hAnsi="Times New Roman" w:cs="Times New Roman"/>
          <w:sz w:val="24"/>
          <w:szCs w:val="24"/>
          <w:vertAlign w:val="superscript"/>
        </w:rPr>
        <w:t>2</w:t>
      </w:r>
      <w:r>
        <w:rPr>
          <w:rFonts w:ascii="Times New Roman" w:eastAsiaTheme="minorEastAsia" w:hAnsi="Times New Roman" w:cs="Times New Roman"/>
          <w:color w:val="231F20"/>
          <w:sz w:val="24"/>
          <w:szCs w:val="24"/>
        </w:rPr>
        <w:t xml:space="preserve"> and </w:t>
      </w:r>
      <w:r w:rsidRPr="0083634B">
        <w:rPr>
          <w:rFonts w:ascii="Times New Roman" w:eastAsiaTheme="minorEastAsia" w:hAnsi="Times New Roman" w:cs="Times New Roman"/>
          <w:i/>
          <w:color w:val="231F20"/>
          <w:sz w:val="24"/>
          <w:szCs w:val="24"/>
        </w:rPr>
        <w:t>logVRP</w:t>
      </w:r>
      <w:r>
        <w:rPr>
          <w:rFonts w:ascii="Times New Roman" w:eastAsiaTheme="minorEastAsia" w:hAnsi="Times New Roman" w:cs="Times New Roman"/>
          <w:color w:val="231F20"/>
          <w:sz w:val="24"/>
          <w:szCs w:val="24"/>
        </w:rPr>
        <w:t xml:space="preserve">, only the coefficient of </w:t>
      </w:r>
      <w:r w:rsidRPr="0083634B">
        <w:rPr>
          <w:rFonts w:ascii="Times New Roman" w:eastAsiaTheme="minorEastAsia" w:hAnsi="Times New Roman" w:cs="Times New Roman"/>
          <w:i/>
          <w:color w:val="231F20"/>
          <w:sz w:val="24"/>
          <w:szCs w:val="24"/>
        </w:rPr>
        <w:t>logVRP</w:t>
      </w:r>
      <w:r>
        <w:rPr>
          <w:rFonts w:ascii="Times New Roman" w:eastAsiaTheme="minorEastAsia" w:hAnsi="Times New Roman" w:cs="Times New Roman"/>
          <w:color w:val="231F20"/>
          <w:sz w:val="24"/>
          <w:szCs w:val="24"/>
        </w:rPr>
        <w:t xml:space="preserve"> is statistically significant while that of </w:t>
      </w:r>
      <w:r w:rsidRPr="0083634B">
        <w:rPr>
          <w:rFonts w:ascii="Times New Roman" w:hAnsi="Times New Roman" w:cs="Times New Roman"/>
          <w:i/>
          <w:sz w:val="24"/>
          <w:szCs w:val="24"/>
        </w:rPr>
        <w:t>VIX</w:t>
      </w:r>
      <w:r w:rsidRPr="001A0411">
        <w:rPr>
          <w:rFonts w:ascii="Times New Roman" w:hAnsi="Times New Roman" w:cs="Times New Roman"/>
          <w:sz w:val="24"/>
          <w:szCs w:val="24"/>
          <w:vertAlign w:val="superscript"/>
        </w:rPr>
        <w:t>2</w:t>
      </w:r>
      <w:r>
        <w:rPr>
          <w:rFonts w:ascii="Times New Roman" w:eastAsiaTheme="minorEastAsia" w:hAnsi="Times New Roman" w:cs="Times New Roman"/>
          <w:color w:val="231F20"/>
          <w:sz w:val="24"/>
          <w:szCs w:val="24"/>
        </w:rPr>
        <w:t xml:space="preserve"> is not statistically significant. This is despite the fact that in a regression which uses</w:t>
      </w:r>
      <w:r>
        <w:rPr>
          <w:rFonts w:ascii="Times New Roman" w:eastAsiaTheme="minorEastAsia" w:hAnsi="Times New Roman" w:cs="Times New Roman"/>
          <w:sz w:val="24"/>
          <w:szCs w:val="24"/>
        </w:rPr>
        <w:t xml:space="preserve"> </w:t>
      </w:r>
      <w:r w:rsidRPr="0083634B">
        <w:rPr>
          <w:rFonts w:ascii="Times New Roman" w:hAnsi="Times New Roman" w:cs="Times New Roman"/>
          <w:i/>
          <w:sz w:val="24"/>
          <w:szCs w:val="24"/>
        </w:rPr>
        <w:t>VIX</w:t>
      </w:r>
      <w:r w:rsidRPr="001A0411">
        <w:rPr>
          <w:rFonts w:ascii="Times New Roman" w:hAnsi="Times New Roman" w:cs="Times New Roman"/>
          <w:sz w:val="24"/>
          <w:szCs w:val="24"/>
          <w:vertAlign w:val="superscript"/>
        </w:rPr>
        <w:t>2</w:t>
      </w:r>
      <w:r>
        <w:rPr>
          <w:rFonts w:ascii="Times New Roman" w:eastAsiaTheme="minorEastAsia" w:hAnsi="Times New Roman" w:cs="Times New Roman"/>
          <w:color w:val="231F20"/>
          <w:sz w:val="24"/>
          <w:szCs w:val="24"/>
        </w:rPr>
        <w:t xml:space="preserve"> as a measure of stock market uncertainty and in the absence of </w:t>
      </w:r>
      <w:r w:rsidRPr="0083634B">
        <w:rPr>
          <w:rFonts w:ascii="Times New Roman" w:eastAsiaTheme="minorEastAsia" w:hAnsi="Times New Roman" w:cs="Times New Roman"/>
          <w:i/>
          <w:color w:val="231F20"/>
          <w:sz w:val="24"/>
          <w:szCs w:val="24"/>
        </w:rPr>
        <w:t>logVRP</w:t>
      </w:r>
      <w:r>
        <w:rPr>
          <w:rFonts w:ascii="Times New Roman" w:eastAsiaTheme="minorEastAsia" w:hAnsi="Times New Roman" w:cs="Times New Roman"/>
          <w:sz w:val="24"/>
          <w:szCs w:val="24"/>
        </w:rPr>
        <w:t>, the former</w:t>
      </w:r>
      <w:r>
        <w:rPr>
          <w:rFonts w:ascii="Times New Roman" w:eastAsiaTheme="minorEastAsia" w:hAnsi="Times New Roman" w:cs="Times New Roman"/>
          <w:color w:val="231F20"/>
          <w:sz w:val="24"/>
          <w:szCs w:val="24"/>
        </w:rPr>
        <w:t xml:space="preserve"> could predict both loan demand and supply.</w:t>
      </w:r>
    </w:p>
    <w:p w14:paraId="3966B3A4" w14:textId="4FD43FD6" w:rsidR="007C3344" w:rsidRPr="001C0292" w:rsidRDefault="007C3344" w:rsidP="00D44BAE">
      <w:pPr>
        <w:autoSpaceDE w:val="0"/>
        <w:autoSpaceDN w:val="0"/>
        <w:adjustRightInd w:val="0"/>
        <w:spacing w:after="0" w:line="480" w:lineRule="auto"/>
        <w:ind w:firstLine="720"/>
        <w:jc w:val="both"/>
        <w:rPr>
          <w:rFonts w:ascii="Times New Roman" w:eastAsiaTheme="minorEastAsia" w:hAnsi="Times New Roman" w:cs="Times New Roman"/>
          <w:color w:val="231F20"/>
          <w:sz w:val="24"/>
          <w:szCs w:val="24"/>
        </w:rPr>
      </w:pPr>
      <w:r w:rsidRPr="005478A3">
        <w:rPr>
          <w:rFonts w:ascii="Times New Roman" w:eastAsiaTheme="minorEastAsia" w:hAnsi="Times New Roman" w:cs="Times New Roman"/>
          <w:color w:val="231F20"/>
          <w:sz w:val="24"/>
          <w:szCs w:val="24"/>
        </w:rPr>
        <w:lastRenderedPageBreak/>
        <w:t xml:space="preserve">Panel B </w:t>
      </w:r>
      <w:r>
        <w:rPr>
          <w:rFonts w:ascii="Times New Roman" w:eastAsiaTheme="minorEastAsia" w:hAnsi="Times New Roman" w:cs="Times New Roman"/>
          <w:color w:val="231F20"/>
          <w:sz w:val="24"/>
          <w:szCs w:val="24"/>
        </w:rPr>
        <w:t xml:space="preserve">of Table A1 </w:t>
      </w:r>
      <w:r w:rsidRPr="005478A3">
        <w:rPr>
          <w:rFonts w:ascii="Times New Roman" w:eastAsiaTheme="minorEastAsia" w:hAnsi="Times New Roman" w:cs="Times New Roman"/>
          <w:color w:val="231F20"/>
          <w:sz w:val="24"/>
          <w:szCs w:val="24"/>
        </w:rPr>
        <w:t xml:space="preserve">reports the predictive power of </w:t>
      </w:r>
      <w:r w:rsidRPr="005478A3">
        <w:rPr>
          <w:rFonts w:ascii="Times New Roman" w:eastAsiaTheme="minorEastAsia" w:hAnsi="Times New Roman" w:cs="Times New Roman"/>
          <w:i/>
          <w:color w:val="231F20"/>
          <w:sz w:val="24"/>
          <w:szCs w:val="24"/>
        </w:rPr>
        <w:t>logVRP</w:t>
      </w:r>
      <w:r w:rsidRPr="005478A3">
        <w:rPr>
          <w:rFonts w:ascii="Times New Roman" w:eastAsiaTheme="minorEastAsia" w:hAnsi="Times New Roman" w:cs="Times New Roman"/>
          <w:color w:val="231F20"/>
          <w:sz w:val="24"/>
          <w:szCs w:val="24"/>
        </w:rPr>
        <w:t xml:space="preserve"> vis-à-vis the news-based uncertainty measure of Baker, Bloom and Davis (2016) for which we find that </w:t>
      </w:r>
      <w:r w:rsidRPr="005478A3">
        <w:rPr>
          <w:rFonts w:ascii="Times New Roman" w:eastAsiaTheme="minorEastAsia" w:hAnsi="Times New Roman" w:cs="Times New Roman"/>
          <w:i/>
          <w:color w:val="231F20"/>
          <w:sz w:val="24"/>
          <w:szCs w:val="24"/>
        </w:rPr>
        <w:t>logVRP</w:t>
      </w:r>
      <w:r w:rsidRPr="005478A3">
        <w:rPr>
          <w:rFonts w:ascii="Times New Roman" w:eastAsiaTheme="minorEastAsia" w:hAnsi="Times New Roman" w:cs="Times New Roman"/>
          <w:color w:val="231F20"/>
          <w:sz w:val="24"/>
          <w:szCs w:val="24"/>
        </w:rPr>
        <w:t xml:space="preserve"> displays superior explanatory power over both loan demand and supply. In Panel C, when we compare the predictive power of </w:t>
      </w:r>
      <w:r w:rsidRPr="005478A3">
        <w:rPr>
          <w:rFonts w:ascii="Times New Roman" w:eastAsiaTheme="minorEastAsia" w:hAnsi="Times New Roman" w:cs="Times New Roman"/>
          <w:i/>
          <w:color w:val="231F20"/>
          <w:sz w:val="24"/>
          <w:szCs w:val="24"/>
        </w:rPr>
        <w:t>logVRP</w:t>
      </w:r>
      <w:r w:rsidRPr="005478A3">
        <w:rPr>
          <w:rFonts w:ascii="Times New Roman" w:eastAsiaTheme="minorEastAsia" w:hAnsi="Times New Roman" w:cs="Times New Roman"/>
          <w:color w:val="231F20"/>
          <w:sz w:val="24"/>
          <w:szCs w:val="24"/>
        </w:rPr>
        <w:t xml:space="preserve"> with that of the macroeconomic uncertainty measure of Jurado, Ludvigson and Ng (2015), we find both measures of uncertainty predict loan demand and supply at the 5% significance level. </w:t>
      </w:r>
      <w:r w:rsidRPr="005478A3">
        <w:rPr>
          <w:rFonts w:ascii="Times New Roman" w:hAnsi="Times New Roman" w:cs="Times New Roman"/>
          <w:sz w:val="24"/>
        </w:rPr>
        <w:t xml:space="preserve">Interestingly, unlike </w:t>
      </w:r>
      <w:r w:rsidRPr="005478A3">
        <w:rPr>
          <w:rFonts w:ascii="Times New Roman" w:hAnsi="Times New Roman" w:cs="Times New Roman"/>
          <w:i/>
          <w:sz w:val="24"/>
        </w:rPr>
        <w:t>logVRP</w:t>
      </w:r>
      <w:r w:rsidRPr="005478A3">
        <w:rPr>
          <w:rFonts w:ascii="Times New Roman" w:hAnsi="Times New Roman" w:cs="Times New Roman"/>
          <w:sz w:val="24"/>
        </w:rPr>
        <w:t xml:space="preserve">, the macroeconomic uncertainty measure is derived from 132 macroeconomic and financial variables. On balance, these results suggest that </w:t>
      </w:r>
      <w:r w:rsidRPr="005478A3">
        <w:rPr>
          <w:rFonts w:ascii="Times New Roman" w:hAnsi="Times New Roman" w:cs="Times New Roman"/>
          <w:i/>
          <w:sz w:val="24"/>
        </w:rPr>
        <w:t>logVRP</w:t>
      </w:r>
      <w:r w:rsidRPr="005478A3">
        <w:rPr>
          <w:rFonts w:ascii="Times New Roman" w:hAnsi="Times New Roman" w:cs="Times New Roman"/>
          <w:sz w:val="24"/>
        </w:rPr>
        <w:t xml:space="preserve"> has important predictive power over loan demand and supply compared to other measures of economic uncertainty.</w:t>
      </w:r>
    </w:p>
    <w:p w14:paraId="47CC9B85" w14:textId="77777777" w:rsidR="005C263A" w:rsidRDefault="005C263A"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34067458" w14:textId="5891F863" w:rsidR="007C3344" w:rsidRDefault="00C93A04" w:rsidP="00D44BAE">
      <w:pPr>
        <w:autoSpaceDE w:val="0"/>
        <w:autoSpaceDN w:val="0"/>
        <w:adjustRightInd w:val="0"/>
        <w:spacing w:after="0" w:line="480" w:lineRule="auto"/>
        <w:jc w:val="both"/>
        <w:rPr>
          <w:rFonts w:ascii="Times New Roman" w:hAnsi="Times New Roman" w:cs="Times New Roman"/>
          <w:b/>
          <w:color w:val="231F20"/>
          <w:sz w:val="24"/>
          <w:szCs w:val="24"/>
        </w:rPr>
      </w:pPr>
      <w:r w:rsidRPr="001604E6">
        <w:rPr>
          <w:rFonts w:ascii="Times New Roman" w:hAnsi="Times New Roman" w:cs="Times New Roman"/>
          <w:b/>
          <w:color w:val="231F20"/>
          <w:sz w:val="24"/>
          <w:szCs w:val="24"/>
        </w:rPr>
        <w:t>3. DATA</w:t>
      </w:r>
    </w:p>
    <w:p w14:paraId="72F2D1D7" w14:textId="77777777" w:rsidR="005C263A" w:rsidRPr="001604E6" w:rsidRDefault="005C263A"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76AA1EAB" w14:textId="3BE3084A" w:rsidR="007C3344" w:rsidRPr="00B46D02" w:rsidRDefault="007C3344" w:rsidP="00D44BAE">
      <w:pPr>
        <w:autoSpaceDE w:val="0"/>
        <w:autoSpaceDN w:val="0"/>
        <w:adjustRightInd w:val="0"/>
        <w:spacing w:after="0" w:line="480" w:lineRule="auto"/>
        <w:jc w:val="both"/>
        <w:rPr>
          <w:rFonts w:ascii="Times New Roman" w:hAnsi="Times New Roman" w:cs="Times New Roman"/>
          <w:b/>
          <w:i/>
          <w:color w:val="231F20"/>
          <w:sz w:val="24"/>
          <w:szCs w:val="24"/>
        </w:rPr>
      </w:pPr>
      <w:r w:rsidRPr="00B46D02">
        <w:rPr>
          <w:rFonts w:ascii="Times New Roman" w:hAnsi="Times New Roman" w:cs="Times New Roman"/>
          <w:b/>
          <w:i/>
          <w:color w:val="231F20"/>
          <w:sz w:val="24"/>
          <w:szCs w:val="24"/>
        </w:rPr>
        <w:t xml:space="preserve">3.1 Loan </w:t>
      </w:r>
      <w:r w:rsidR="00B46D02" w:rsidRPr="00B46D02">
        <w:rPr>
          <w:rFonts w:ascii="Times New Roman" w:hAnsi="Times New Roman" w:cs="Times New Roman"/>
          <w:b/>
          <w:i/>
          <w:color w:val="231F20"/>
          <w:sz w:val="24"/>
          <w:szCs w:val="24"/>
        </w:rPr>
        <w:t>D</w:t>
      </w:r>
      <w:r w:rsidRPr="00B46D02">
        <w:rPr>
          <w:rFonts w:ascii="Times New Roman" w:hAnsi="Times New Roman" w:cs="Times New Roman"/>
          <w:b/>
          <w:i/>
          <w:color w:val="231F20"/>
          <w:sz w:val="24"/>
          <w:szCs w:val="24"/>
        </w:rPr>
        <w:t>ata</w:t>
      </w:r>
    </w:p>
    <w:p w14:paraId="48E18BE7" w14:textId="77777777" w:rsidR="00B46D02" w:rsidRPr="009C6D3D" w:rsidRDefault="00B46D02"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776789FE" w14:textId="04693897" w:rsidR="007C3344" w:rsidRDefault="007C3344" w:rsidP="00D44BAE">
      <w:pPr>
        <w:autoSpaceDE w:val="0"/>
        <w:autoSpaceDN w:val="0"/>
        <w:adjustRightInd w:val="0"/>
        <w:spacing w:after="0" w:line="480" w:lineRule="auto"/>
        <w:jc w:val="both"/>
        <w:rPr>
          <w:rFonts w:ascii="Times New Roman" w:hAnsi="Times New Roman" w:cs="Times New Roman"/>
          <w:color w:val="231F20"/>
          <w:sz w:val="24"/>
          <w:szCs w:val="24"/>
        </w:rPr>
      </w:pPr>
      <w:r>
        <w:rPr>
          <w:rFonts w:ascii="Times New Roman" w:hAnsi="Times New Roman" w:cs="Times New Roman"/>
          <w:color w:val="231F20"/>
          <w:sz w:val="24"/>
          <w:szCs w:val="24"/>
        </w:rPr>
        <w:tab/>
        <w:t xml:space="preserve">The key sources of data used in the analysis are derived from four different datasets with each dataset covering different characteristics of the bank lending market. Our strategy for studying the effect of economic uncertainty on bank lending is to show these effects are robust and are consistently documented in the four different types of loan datasets. The first data is the Federal Reserve’s Senior Loan Officer Opinion Survey (SLOOS) of Bank Lending Practices, a quarterly survey of major banks throughout the U.S. This survey queries banks about changes in their lending standards during the quarter preceding the date the survey is conducted for major categories of loans to households and businesses beginning with the April 1990 survey. It also asks banks about changes in demand for most of those types of loans starting with the </w:t>
      </w:r>
      <w:r>
        <w:rPr>
          <w:rFonts w:ascii="Times New Roman" w:hAnsi="Times New Roman" w:cs="Times New Roman"/>
          <w:color w:val="231F20"/>
          <w:sz w:val="24"/>
          <w:szCs w:val="24"/>
        </w:rPr>
        <w:lastRenderedPageBreak/>
        <w:t xml:space="preserve">October 1991 survey. We only focus on their responses to the questions regarding </w:t>
      </w:r>
      <w:r w:rsidRPr="005005F7">
        <w:rPr>
          <w:rFonts w:ascii="Times New Roman" w:hAnsi="Times New Roman" w:cs="Times New Roman"/>
          <w:color w:val="231F20"/>
          <w:sz w:val="24"/>
          <w:szCs w:val="24"/>
        </w:rPr>
        <w:t>C&amp;I loans</w:t>
      </w:r>
      <w:r>
        <w:rPr>
          <w:rFonts w:ascii="Times New Roman" w:hAnsi="Times New Roman" w:cs="Times New Roman"/>
          <w:color w:val="231F20"/>
          <w:sz w:val="24"/>
          <w:szCs w:val="24"/>
        </w:rPr>
        <w:t>.</w:t>
      </w:r>
      <w:r w:rsidR="001A71F3">
        <w:rPr>
          <w:rStyle w:val="af7"/>
          <w:rFonts w:ascii="Times New Roman" w:hAnsi="Times New Roman" w:cs="Times New Roman"/>
          <w:color w:val="231F20"/>
          <w:sz w:val="24"/>
          <w:szCs w:val="24"/>
        </w:rPr>
        <w:endnoteReference w:id="9"/>
      </w:r>
      <w:r w:rsidR="001A71F3">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There are </w:t>
      </w:r>
      <w:r w:rsidRPr="005D4D9C">
        <w:rPr>
          <w:rFonts w:ascii="Times New Roman" w:hAnsi="Times New Roman" w:cs="Times New Roman"/>
          <w:color w:val="231F20"/>
          <w:sz w:val="24"/>
          <w:szCs w:val="24"/>
        </w:rPr>
        <w:t>73 domestic banks and 24 U.S. branches and agencies of foreign banks</w:t>
      </w:r>
      <w:r>
        <w:rPr>
          <w:rFonts w:ascii="Times New Roman" w:hAnsi="Times New Roman" w:cs="Times New Roman"/>
          <w:color w:val="231F20"/>
          <w:sz w:val="24"/>
          <w:szCs w:val="24"/>
        </w:rPr>
        <w:t xml:space="preserve"> participate in the January 2016 survey. While the number of participating banks varies over time, those banks are usually the largest in each of the 12 Federal Reserve Districts.</w:t>
      </w:r>
      <w:r w:rsidR="001A71F3">
        <w:rPr>
          <w:rStyle w:val="af7"/>
          <w:rFonts w:ascii="Times New Roman" w:hAnsi="Times New Roman" w:cs="Times New Roman"/>
          <w:color w:val="231F20"/>
          <w:sz w:val="24"/>
          <w:szCs w:val="24"/>
        </w:rPr>
        <w:endnoteReference w:id="10"/>
      </w:r>
      <w:r w:rsidR="001A71F3">
        <w:rPr>
          <w:rFonts w:ascii="Times New Roman" w:hAnsi="Times New Roman" w:cs="Times New Roman"/>
          <w:color w:val="231F20"/>
          <w:sz w:val="24"/>
          <w:szCs w:val="24"/>
        </w:rPr>
        <w:t xml:space="preserve"> </w:t>
      </w:r>
      <w:r w:rsidRPr="000F22DA">
        <w:rPr>
          <w:rFonts w:ascii="Times New Roman" w:hAnsi="Times New Roman" w:cs="Times New Roman"/>
          <w:color w:val="231F20"/>
          <w:sz w:val="24"/>
          <w:szCs w:val="24"/>
        </w:rPr>
        <w:t xml:space="preserve">Answers of foreign </w:t>
      </w:r>
      <w:r>
        <w:rPr>
          <w:rFonts w:ascii="Times New Roman" w:hAnsi="Times New Roman" w:cs="Times New Roman"/>
          <w:color w:val="231F20"/>
          <w:sz w:val="24"/>
          <w:szCs w:val="24"/>
        </w:rPr>
        <w:t>bank</w:t>
      </w:r>
      <w:r w:rsidRPr="000F22DA">
        <w:rPr>
          <w:rFonts w:ascii="Times New Roman" w:hAnsi="Times New Roman" w:cs="Times New Roman"/>
          <w:color w:val="231F20"/>
          <w:sz w:val="24"/>
          <w:szCs w:val="24"/>
        </w:rPr>
        <w:t xml:space="preserve">s </w:t>
      </w:r>
      <w:r>
        <w:rPr>
          <w:rFonts w:ascii="Times New Roman" w:hAnsi="Times New Roman" w:cs="Times New Roman"/>
          <w:color w:val="231F20"/>
          <w:sz w:val="24"/>
          <w:szCs w:val="24"/>
        </w:rPr>
        <w:t>are</w:t>
      </w:r>
      <w:r w:rsidRPr="000F22DA">
        <w:rPr>
          <w:rFonts w:ascii="Times New Roman" w:hAnsi="Times New Roman" w:cs="Times New Roman"/>
          <w:color w:val="231F20"/>
          <w:sz w:val="24"/>
          <w:szCs w:val="24"/>
        </w:rPr>
        <w:t xml:space="preserve"> not used in the analysis</w:t>
      </w:r>
      <w:r>
        <w:rPr>
          <w:rFonts w:ascii="Times New Roman" w:hAnsi="Times New Roman" w:cs="Times New Roman"/>
          <w:color w:val="231F20"/>
          <w:sz w:val="24"/>
          <w:szCs w:val="24"/>
        </w:rPr>
        <w:t>. The data sample is from 1990Q2 to 2016Q1, which covers banks’ stances concerning lending policies between 1990Q1 and 2015Q4.</w:t>
      </w:r>
    </w:p>
    <w:p w14:paraId="5A25C97C" w14:textId="2F22E451" w:rsidR="007C3344" w:rsidRPr="00CA5DA3" w:rsidRDefault="007C3344" w:rsidP="00D44BAE">
      <w:pPr>
        <w:autoSpaceDE w:val="0"/>
        <w:autoSpaceDN w:val="0"/>
        <w:adjustRightInd w:val="0"/>
        <w:spacing w:after="0" w:line="480" w:lineRule="auto"/>
        <w:ind w:firstLineChars="297" w:firstLine="713"/>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The second dataset is the </w:t>
      </w:r>
      <w:r>
        <w:rPr>
          <w:rFonts w:ascii="Times New Roman" w:hAnsi="Times New Roman" w:cs="Times New Roman"/>
          <w:sz w:val="24"/>
          <w:szCs w:val="24"/>
        </w:rPr>
        <w:t xml:space="preserve">LPC LoanConnector </w:t>
      </w:r>
      <w:r w:rsidRPr="00CA5DA3">
        <w:rPr>
          <w:rFonts w:ascii="Times New Roman" w:hAnsi="Times New Roman" w:cs="Times New Roman"/>
          <w:sz w:val="24"/>
          <w:szCs w:val="24"/>
        </w:rPr>
        <w:t>database</w:t>
      </w:r>
      <w:r w:rsidRPr="00CA5DA3">
        <w:rPr>
          <w:rFonts w:ascii="Times New Roman" w:hAnsi="Times New Roman" w:cs="Times New Roman"/>
          <w:color w:val="231F20"/>
          <w:sz w:val="24"/>
          <w:szCs w:val="24"/>
        </w:rPr>
        <w:t xml:space="preserve"> on loan syndication provided by Thomson Reuters. We extract information on </w:t>
      </w:r>
      <w:r>
        <w:rPr>
          <w:rFonts w:ascii="Times New Roman" w:hAnsi="Times New Roman" w:cs="Times New Roman"/>
          <w:color w:val="231F20"/>
          <w:sz w:val="24"/>
          <w:szCs w:val="24"/>
        </w:rPr>
        <w:t xml:space="preserve">the U.S. </w:t>
      </w:r>
      <w:r w:rsidRPr="00CA5DA3">
        <w:rPr>
          <w:rFonts w:ascii="Times New Roman" w:hAnsi="Times New Roman" w:cs="Times New Roman"/>
          <w:color w:val="231F20"/>
          <w:sz w:val="24"/>
          <w:szCs w:val="24"/>
        </w:rPr>
        <w:t>syndicated loan</w:t>
      </w:r>
      <w:r>
        <w:rPr>
          <w:rFonts w:ascii="Times New Roman" w:hAnsi="Times New Roman" w:cs="Times New Roman"/>
          <w:color w:val="231F20"/>
          <w:sz w:val="24"/>
          <w:szCs w:val="24"/>
        </w:rPr>
        <w:t xml:space="preserve"> market</w:t>
      </w:r>
      <w:r w:rsidRPr="00CA5DA3">
        <w:rPr>
          <w:rFonts w:ascii="Times New Roman" w:hAnsi="Times New Roman" w:cs="Times New Roman"/>
          <w:color w:val="231F20"/>
          <w:sz w:val="24"/>
          <w:szCs w:val="24"/>
        </w:rPr>
        <w:t xml:space="preserve"> from this database. </w:t>
      </w:r>
      <w:r>
        <w:rPr>
          <w:rFonts w:ascii="Times New Roman" w:hAnsi="Times New Roman" w:cs="Times New Roman"/>
          <w:color w:val="231F20"/>
          <w:sz w:val="24"/>
          <w:szCs w:val="24"/>
        </w:rPr>
        <w:t>Loans in our</w:t>
      </w:r>
      <w:r w:rsidRPr="00CA5DA3">
        <w:rPr>
          <w:rFonts w:ascii="Times New Roman" w:hAnsi="Times New Roman" w:cs="Times New Roman"/>
          <w:sz w:val="24"/>
          <w:szCs w:val="24"/>
          <w:lang w:eastAsia="zh-TW"/>
        </w:rPr>
        <w:t xml:space="preserve"> sample must meet the following criteria: i) U.S.-dollar denominated loans; </w:t>
      </w:r>
      <w:r>
        <w:rPr>
          <w:rFonts w:ascii="Times New Roman" w:hAnsi="Times New Roman" w:cs="Times New Roman"/>
          <w:sz w:val="24"/>
          <w:szCs w:val="24"/>
          <w:lang w:eastAsia="zh-TW"/>
        </w:rPr>
        <w:t>ii</w:t>
      </w:r>
      <w:r w:rsidRPr="00CA5DA3">
        <w:rPr>
          <w:rFonts w:ascii="Times New Roman" w:hAnsi="Times New Roman" w:cs="Times New Roman"/>
          <w:sz w:val="24"/>
          <w:szCs w:val="24"/>
          <w:lang w:eastAsia="zh-TW"/>
        </w:rPr>
        <w:t xml:space="preserve">) </w:t>
      </w:r>
      <w:r>
        <w:rPr>
          <w:rFonts w:ascii="Times New Roman" w:hAnsi="Times New Roman" w:cs="Times New Roman"/>
          <w:sz w:val="24"/>
          <w:szCs w:val="24"/>
          <w:lang w:eastAsia="zh-TW"/>
        </w:rPr>
        <w:t>d</w:t>
      </w:r>
      <w:r w:rsidRPr="00CA5DA3">
        <w:rPr>
          <w:rFonts w:ascii="Times New Roman" w:hAnsi="Times New Roman" w:cs="Times New Roman"/>
          <w:sz w:val="24"/>
          <w:szCs w:val="24"/>
          <w:lang w:eastAsia="zh-TW"/>
        </w:rPr>
        <w:t>istribution method is syndication or club deal; ii</w:t>
      </w:r>
      <w:r>
        <w:rPr>
          <w:rFonts w:ascii="Times New Roman" w:hAnsi="Times New Roman" w:cs="Times New Roman"/>
          <w:sz w:val="24"/>
          <w:szCs w:val="24"/>
          <w:lang w:eastAsia="zh-TW"/>
        </w:rPr>
        <w:t>i</w:t>
      </w:r>
      <w:r w:rsidRPr="00CA5DA3">
        <w:rPr>
          <w:rFonts w:ascii="Times New Roman" w:hAnsi="Times New Roman" w:cs="Times New Roman"/>
          <w:sz w:val="24"/>
          <w:szCs w:val="24"/>
          <w:lang w:eastAsia="zh-TW"/>
        </w:rPr>
        <w:t>) syndicated in the U.S.; i</w:t>
      </w:r>
      <w:r>
        <w:rPr>
          <w:rFonts w:ascii="Times New Roman" w:hAnsi="Times New Roman" w:cs="Times New Roman"/>
          <w:sz w:val="24"/>
          <w:szCs w:val="24"/>
          <w:lang w:eastAsia="zh-TW"/>
        </w:rPr>
        <w:t>v</w:t>
      </w:r>
      <w:r w:rsidRPr="00CA5DA3">
        <w:rPr>
          <w:rFonts w:ascii="Times New Roman" w:hAnsi="Times New Roman" w:cs="Times New Roman"/>
          <w:sz w:val="24"/>
          <w:szCs w:val="24"/>
          <w:lang w:eastAsia="zh-TW"/>
        </w:rPr>
        <w:t>) syndicated by banks; v) belong to term loans or revolving loans</w:t>
      </w:r>
      <w:r>
        <w:rPr>
          <w:rFonts w:ascii="Times New Roman" w:hAnsi="Times New Roman" w:cs="Times New Roman"/>
          <w:sz w:val="24"/>
          <w:szCs w:val="24"/>
          <w:lang w:eastAsia="zh-TW"/>
        </w:rPr>
        <w:t>; and vi) facility start date is between 1990 and 2015</w:t>
      </w:r>
      <w:r w:rsidRPr="00CA5DA3">
        <w:rPr>
          <w:rFonts w:ascii="Times New Roman" w:hAnsi="Times New Roman" w:cs="Times New Roman"/>
          <w:sz w:val="24"/>
          <w:szCs w:val="24"/>
          <w:lang w:eastAsia="zh-TW"/>
        </w:rPr>
        <w:t>.</w:t>
      </w:r>
    </w:p>
    <w:p w14:paraId="76AF8FC2" w14:textId="38957948" w:rsidR="001A71F3"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The third dataset is the </w:t>
      </w:r>
      <w:r>
        <w:rPr>
          <w:rFonts w:ascii="Times New Roman" w:hAnsi="Times New Roman" w:cs="Times New Roman"/>
          <w:sz w:val="24"/>
          <w:szCs w:val="24"/>
        </w:rPr>
        <w:t xml:space="preserve">Federal Reserve’s Survey of Terms of Business Lending (STBL). </w:t>
      </w:r>
      <w:r w:rsidRPr="0022244B">
        <w:rPr>
          <w:rFonts w:ascii="Times New Roman" w:hAnsi="Times New Roman" w:cs="Times New Roman"/>
          <w:sz w:val="24"/>
          <w:szCs w:val="24"/>
        </w:rPr>
        <w:t xml:space="preserve"> </w:t>
      </w:r>
      <w:r w:rsidRPr="00C65731">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STBL data</w:t>
      </w:r>
      <w:r w:rsidRPr="00C657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provide </w:t>
      </w:r>
      <w:r w:rsidRPr="00C65731">
        <w:rPr>
          <w:rFonts w:ascii="Times New Roman" w:hAnsi="Times New Roman" w:cs="Times New Roman"/>
          <w:color w:val="000000"/>
          <w:sz w:val="24"/>
          <w:szCs w:val="24"/>
        </w:rPr>
        <w:t>information concerning price</w:t>
      </w:r>
      <w:r>
        <w:rPr>
          <w:rFonts w:ascii="Times New Roman" w:hAnsi="Times New Roman" w:cs="Times New Roman"/>
          <w:color w:val="000000"/>
          <w:sz w:val="24"/>
          <w:szCs w:val="24"/>
        </w:rPr>
        <w:t>,</w:t>
      </w:r>
      <w:r w:rsidRPr="00C65731">
        <w:rPr>
          <w:rFonts w:ascii="Times New Roman" w:hAnsi="Times New Roman" w:cs="Times New Roman"/>
          <w:color w:val="000000"/>
          <w:sz w:val="24"/>
          <w:szCs w:val="24"/>
        </w:rPr>
        <w:t xml:space="preserve"> certain non</w:t>
      </w:r>
      <w:r>
        <w:rPr>
          <w:rFonts w:ascii="Times New Roman" w:hAnsi="Times New Roman" w:cs="Times New Roman"/>
          <w:color w:val="000000"/>
          <w:sz w:val="24"/>
          <w:szCs w:val="24"/>
        </w:rPr>
        <w:t>-</w:t>
      </w:r>
      <w:r w:rsidRPr="00C65731">
        <w:rPr>
          <w:rFonts w:ascii="Times New Roman" w:hAnsi="Times New Roman" w:cs="Times New Roman"/>
          <w:color w:val="000000"/>
          <w:sz w:val="24"/>
          <w:szCs w:val="24"/>
        </w:rPr>
        <w:t xml:space="preserve">price terms of </w:t>
      </w:r>
      <w:r>
        <w:rPr>
          <w:rFonts w:ascii="Times New Roman" w:hAnsi="Times New Roman" w:cs="Times New Roman"/>
          <w:color w:val="000000"/>
          <w:sz w:val="24"/>
          <w:szCs w:val="24"/>
        </w:rPr>
        <w:t xml:space="preserve">C&amp;I </w:t>
      </w:r>
      <w:r w:rsidRPr="00C65731">
        <w:rPr>
          <w:rFonts w:ascii="Times New Roman" w:hAnsi="Times New Roman" w:cs="Times New Roman"/>
          <w:color w:val="000000"/>
          <w:sz w:val="24"/>
          <w:szCs w:val="24"/>
        </w:rPr>
        <w:t>loans</w:t>
      </w:r>
      <w:r>
        <w:rPr>
          <w:rFonts w:ascii="Times New Roman" w:hAnsi="Times New Roman" w:cs="Times New Roman"/>
          <w:color w:val="000000"/>
          <w:sz w:val="24"/>
          <w:szCs w:val="24"/>
        </w:rPr>
        <w:t xml:space="preserve"> and the gross </w:t>
      </w:r>
      <w:r w:rsidRPr="0085304D">
        <w:rPr>
          <w:rFonts w:ascii="Times New Roman" w:hAnsi="Times New Roman" w:cs="Times New Roman"/>
          <w:i/>
          <w:color w:val="000000"/>
          <w:sz w:val="24"/>
          <w:szCs w:val="24"/>
        </w:rPr>
        <w:t>new</w:t>
      </w:r>
      <w:r>
        <w:rPr>
          <w:rFonts w:ascii="Times New Roman" w:hAnsi="Times New Roman" w:cs="Times New Roman"/>
          <w:color w:val="000000"/>
          <w:sz w:val="24"/>
          <w:szCs w:val="24"/>
        </w:rPr>
        <w:t xml:space="preserve"> C&amp;I loans (in US dollars)</w:t>
      </w:r>
      <w:r w:rsidRPr="00C65731">
        <w:rPr>
          <w:rFonts w:ascii="Times New Roman" w:hAnsi="Times New Roman" w:cs="Times New Roman"/>
          <w:color w:val="000000"/>
          <w:sz w:val="24"/>
          <w:szCs w:val="24"/>
        </w:rPr>
        <w:t xml:space="preserve"> made to businesses during the first full business week of the mid-month of each quarter (February, May, August, and November). </w:t>
      </w:r>
      <w:r>
        <w:rPr>
          <w:rFonts w:ascii="Times New Roman" w:hAnsi="Times New Roman" w:cs="Times New Roman"/>
          <w:color w:val="000000"/>
          <w:sz w:val="24"/>
          <w:szCs w:val="24"/>
        </w:rPr>
        <w:t xml:space="preserve">This information is available for all commercial banks, domestic banks, large domestic banks, small domestic banks, and US branches and agencies of foreign banks. The sample period is from 1997Q2 to 2015Q4. The panel for the survey is a stratified sample although the data are at the aggregate level. During the sample period, </w:t>
      </w:r>
      <w:r>
        <w:rPr>
          <w:rFonts w:ascii="Times New Roman" w:hAnsi="Times New Roman" w:cs="Times New Roman"/>
          <w:color w:val="231F20"/>
          <w:sz w:val="24"/>
          <w:szCs w:val="24"/>
        </w:rPr>
        <w:t>t</w:t>
      </w:r>
      <w:r w:rsidRPr="00B32485">
        <w:rPr>
          <w:rFonts w:ascii="Times New Roman" w:hAnsi="Times New Roman" w:cs="Times New Roman"/>
          <w:color w:val="231F20"/>
          <w:sz w:val="24"/>
          <w:szCs w:val="24"/>
        </w:rPr>
        <w:t>he authorized panel size for the survey</w:t>
      </w:r>
      <w:r>
        <w:rPr>
          <w:rFonts w:ascii="Times New Roman" w:hAnsi="Times New Roman" w:cs="Times New Roman"/>
          <w:color w:val="231F20"/>
          <w:sz w:val="24"/>
          <w:szCs w:val="24"/>
        </w:rPr>
        <w:t xml:space="preserve"> is 348</w:t>
      </w:r>
      <w:r w:rsidRPr="005D4D9C">
        <w:rPr>
          <w:rFonts w:ascii="Times New Roman" w:hAnsi="Times New Roman" w:cs="Times New Roman"/>
          <w:color w:val="231F20"/>
          <w:sz w:val="24"/>
          <w:szCs w:val="24"/>
        </w:rPr>
        <w:t xml:space="preserve"> domestic banks and </w:t>
      </w:r>
      <w:r>
        <w:rPr>
          <w:rFonts w:ascii="Times New Roman" w:hAnsi="Times New Roman" w:cs="Times New Roman"/>
          <w:color w:val="231F20"/>
          <w:sz w:val="24"/>
          <w:szCs w:val="24"/>
        </w:rPr>
        <w:t>50</w:t>
      </w:r>
      <w:r w:rsidRPr="005D4D9C">
        <w:rPr>
          <w:rFonts w:ascii="Times New Roman" w:hAnsi="Times New Roman" w:cs="Times New Roman"/>
          <w:color w:val="231F20"/>
          <w:sz w:val="24"/>
          <w:szCs w:val="24"/>
        </w:rPr>
        <w:t xml:space="preserve"> U.S. branches and agencies of foreign banks</w:t>
      </w:r>
      <w:r>
        <w:rPr>
          <w:rFonts w:ascii="Times New Roman" w:hAnsi="Times New Roman" w:cs="Times New Roman"/>
          <w:color w:val="231F20"/>
          <w:sz w:val="24"/>
          <w:szCs w:val="24"/>
        </w:rPr>
        <w:t xml:space="preserve">. </w:t>
      </w:r>
      <w:r>
        <w:rPr>
          <w:rFonts w:ascii="Times New Roman" w:hAnsi="Times New Roman" w:cs="Times New Roman"/>
          <w:color w:val="000000"/>
          <w:sz w:val="24"/>
          <w:szCs w:val="24"/>
        </w:rPr>
        <w:t xml:space="preserve">Our analysis focuses on the answers of domestic banks. One important distinction between the STBL data and the SLOOS data is that the former provides quantitative information on lending terms during the first business </w:t>
      </w:r>
      <w:r>
        <w:rPr>
          <w:rFonts w:ascii="Times New Roman" w:hAnsi="Times New Roman" w:cs="Times New Roman"/>
          <w:color w:val="000000"/>
          <w:sz w:val="24"/>
          <w:szCs w:val="24"/>
        </w:rPr>
        <w:lastRenderedPageBreak/>
        <w:t>week of the mid-month of each quarter, while the latter provides qualitative information on the changes in banks’ lending standards for the past three months (i.e. last quarter) from the time the survey is conducted.</w:t>
      </w:r>
      <w:r w:rsidR="001A71F3">
        <w:rPr>
          <w:rStyle w:val="af7"/>
          <w:rFonts w:ascii="Times New Roman" w:hAnsi="Times New Roman" w:cs="Times New Roman"/>
          <w:color w:val="000000"/>
          <w:sz w:val="24"/>
          <w:szCs w:val="24"/>
        </w:rPr>
        <w:endnoteReference w:id="11"/>
      </w:r>
    </w:p>
    <w:p w14:paraId="482AED07" w14:textId="3D917EEC"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lang w:eastAsia="zh-TW"/>
        </w:rPr>
      </w:pPr>
      <w:r>
        <w:rPr>
          <w:rFonts w:ascii="Times New Roman" w:hAnsi="Times New Roman" w:cs="Times New Roman" w:hint="eastAsia"/>
          <w:color w:val="231F20"/>
          <w:sz w:val="24"/>
          <w:szCs w:val="24"/>
          <w:lang w:eastAsia="zh-TW"/>
        </w:rPr>
        <w:t>The final dat</w:t>
      </w:r>
      <w:r>
        <w:rPr>
          <w:rFonts w:ascii="Times New Roman" w:hAnsi="Times New Roman" w:cs="Times New Roman"/>
          <w:color w:val="231F20"/>
          <w:sz w:val="24"/>
          <w:szCs w:val="24"/>
          <w:lang w:eastAsia="zh-TW"/>
        </w:rPr>
        <w:t>a</w:t>
      </w:r>
      <w:r>
        <w:rPr>
          <w:rFonts w:ascii="Times New Roman" w:hAnsi="Times New Roman" w:cs="Times New Roman" w:hint="eastAsia"/>
          <w:color w:val="231F20"/>
          <w:sz w:val="24"/>
          <w:szCs w:val="24"/>
          <w:lang w:eastAsia="zh-TW"/>
        </w:rPr>
        <w:t xml:space="preserve">set is </w:t>
      </w:r>
      <w:r>
        <w:rPr>
          <w:rFonts w:ascii="Times New Roman" w:hAnsi="Times New Roman" w:cs="Times New Roman"/>
          <w:color w:val="231F20"/>
          <w:sz w:val="24"/>
          <w:szCs w:val="24"/>
          <w:lang w:eastAsia="zh-TW"/>
        </w:rPr>
        <w:t xml:space="preserve">the Flow of Funds data published by the Federal Reserve Board. Each quarter the Federal Reserve gathers capital market flows data from a variety of internal and commercial sources. Following </w:t>
      </w:r>
      <w:r w:rsidRPr="00B00AA8">
        <w:rPr>
          <w:rFonts w:ascii="Times New Roman" w:hAnsi="Times New Roman" w:cs="Times New Roman"/>
          <w:color w:val="231F20"/>
          <w:sz w:val="24"/>
          <w:szCs w:val="24"/>
          <w:lang w:eastAsia="zh-TW"/>
        </w:rPr>
        <w:t>Kashyap, Stein, and Wilcox</w:t>
      </w:r>
      <w:r>
        <w:rPr>
          <w:rFonts w:ascii="Times New Roman" w:hAnsi="Times New Roman" w:cs="Times New Roman"/>
          <w:color w:val="231F20"/>
          <w:sz w:val="24"/>
          <w:szCs w:val="24"/>
          <w:lang w:eastAsia="zh-TW"/>
        </w:rPr>
        <w:t xml:space="preserve"> (1993) and Becker and Ivashina (2014), we use the dataset to construct two time series which </w:t>
      </w:r>
      <w:r w:rsidRPr="00F706BA">
        <w:rPr>
          <w:rFonts w:ascii="Times New Roman" w:hAnsi="Times New Roman" w:cs="Times New Roman"/>
          <w:color w:val="231F20"/>
          <w:sz w:val="24"/>
          <w:szCs w:val="24"/>
          <w:lang w:eastAsia="zh-TW"/>
        </w:rPr>
        <w:t xml:space="preserve">represent </w:t>
      </w:r>
      <w:r>
        <w:rPr>
          <w:rFonts w:ascii="Times New Roman" w:hAnsi="Times New Roman" w:cs="Times New Roman"/>
          <w:color w:val="231F20"/>
          <w:sz w:val="24"/>
          <w:szCs w:val="24"/>
          <w:lang w:eastAsia="zh-TW"/>
        </w:rPr>
        <w:t xml:space="preserve">two different classes of aggregate non-farm, non-financial corporate debt. The bank debt series is the sum of </w:t>
      </w:r>
      <w:r w:rsidRPr="008127DA">
        <w:rPr>
          <w:rFonts w:ascii="Times New Roman" w:hAnsi="Times New Roman" w:cs="Times New Roman"/>
          <w:color w:val="231F20"/>
          <w:sz w:val="24"/>
          <w:szCs w:val="24"/>
          <w:lang w:eastAsia="zh-TW"/>
        </w:rPr>
        <w:t>Depository Institution</w:t>
      </w:r>
      <w:r>
        <w:rPr>
          <w:rFonts w:ascii="Times New Roman" w:hAnsi="Times New Roman" w:cs="Times New Roman"/>
          <w:color w:val="231F20"/>
          <w:sz w:val="24"/>
          <w:szCs w:val="24"/>
          <w:lang w:eastAsia="zh-TW"/>
        </w:rPr>
        <w:t xml:space="preserve"> Loans Not Elsewhere Classified and Other Loans and Advances. The public debt series is the sum of Corporate Bonds and Commercial Paper. The sample period is from 1990Q1 to 2015Q4. We use these two series of corporate debt to quantify the relative fluctuations in demand and supply for bank credit.</w:t>
      </w:r>
    </w:p>
    <w:p w14:paraId="6C0223ED" w14:textId="77777777" w:rsid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31D40095" w14:textId="2EAAC672" w:rsidR="007C3344" w:rsidRDefault="007C3344" w:rsidP="00D44BAE">
      <w:pPr>
        <w:autoSpaceDE w:val="0"/>
        <w:autoSpaceDN w:val="0"/>
        <w:adjustRightInd w:val="0"/>
        <w:spacing w:after="0" w:line="480" w:lineRule="auto"/>
        <w:jc w:val="both"/>
        <w:rPr>
          <w:rFonts w:ascii="Times New Roman" w:hAnsi="Times New Roman" w:cs="Times New Roman"/>
          <w:b/>
          <w:color w:val="231F20"/>
          <w:sz w:val="24"/>
          <w:szCs w:val="24"/>
        </w:rPr>
      </w:pPr>
      <w:r w:rsidRPr="00B46D02">
        <w:rPr>
          <w:rFonts w:ascii="Times New Roman" w:hAnsi="Times New Roman" w:cs="Times New Roman"/>
          <w:b/>
          <w:i/>
          <w:color w:val="231F20"/>
          <w:sz w:val="24"/>
          <w:szCs w:val="24"/>
        </w:rPr>
        <w:t xml:space="preserve">3.2 Measures of </w:t>
      </w:r>
      <w:r w:rsidR="00B46D02" w:rsidRPr="00B46D02">
        <w:rPr>
          <w:rFonts w:ascii="Times New Roman" w:hAnsi="Times New Roman" w:cs="Times New Roman"/>
          <w:b/>
          <w:i/>
          <w:color w:val="231F20"/>
          <w:sz w:val="24"/>
          <w:szCs w:val="24"/>
        </w:rPr>
        <w:t>L</w:t>
      </w:r>
      <w:r w:rsidRPr="00B46D02">
        <w:rPr>
          <w:rFonts w:ascii="Times New Roman" w:hAnsi="Times New Roman" w:cs="Times New Roman"/>
          <w:b/>
          <w:i/>
          <w:color w:val="231F20"/>
          <w:sz w:val="24"/>
          <w:szCs w:val="24"/>
        </w:rPr>
        <w:t xml:space="preserve">oan </w:t>
      </w:r>
      <w:r w:rsidR="00B46D02" w:rsidRPr="00B46D02">
        <w:rPr>
          <w:rFonts w:ascii="Times New Roman" w:hAnsi="Times New Roman" w:cs="Times New Roman"/>
          <w:b/>
          <w:i/>
          <w:color w:val="231F20"/>
          <w:sz w:val="24"/>
          <w:szCs w:val="24"/>
        </w:rPr>
        <w:t>S</w:t>
      </w:r>
      <w:r w:rsidRPr="00B46D02">
        <w:rPr>
          <w:rFonts w:ascii="Times New Roman" w:hAnsi="Times New Roman" w:cs="Times New Roman"/>
          <w:b/>
          <w:i/>
          <w:color w:val="231F20"/>
          <w:sz w:val="24"/>
          <w:szCs w:val="24"/>
        </w:rPr>
        <w:t xml:space="preserve">upply, </w:t>
      </w:r>
      <w:r w:rsidR="00B46D02" w:rsidRPr="00B46D02">
        <w:rPr>
          <w:rFonts w:ascii="Times New Roman" w:hAnsi="Times New Roman" w:cs="Times New Roman"/>
          <w:b/>
          <w:i/>
          <w:color w:val="231F20"/>
          <w:sz w:val="24"/>
          <w:szCs w:val="24"/>
        </w:rPr>
        <w:t>L</w:t>
      </w:r>
      <w:r w:rsidRPr="00B46D02">
        <w:rPr>
          <w:rFonts w:ascii="Times New Roman" w:hAnsi="Times New Roman" w:cs="Times New Roman"/>
          <w:b/>
          <w:i/>
          <w:color w:val="231F20"/>
          <w:sz w:val="24"/>
          <w:szCs w:val="24"/>
        </w:rPr>
        <w:t xml:space="preserve">oan </w:t>
      </w:r>
      <w:r w:rsidR="00B46D02" w:rsidRPr="00B46D02">
        <w:rPr>
          <w:rFonts w:ascii="Times New Roman" w:hAnsi="Times New Roman" w:cs="Times New Roman"/>
          <w:b/>
          <w:i/>
          <w:color w:val="231F20"/>
          <w:sz w:val="24"/>
          <w:szCs w:val="24"/>
        </w:rPr>
        <w:t>D</w:t>
      </w:r>
      <w:r w:rsidRPr="00B46D02">
        <w:rPr>
          <w:rFonts w:ascii="Times New Roman" w:hAnsi="Times New Roman" w:cs="Times New Roman"/>
          <w:b/>
          <w:i/>
          <w:color w:val="231F20"/>
          <w:sz w:val="24"/>
          <w:szCs w:val="24"/>
        </w:rPr>
        <w:t xml:space="preserve">emand and </w:t>
      </w:r>
      <w:r w:rsidR="00B46D02" w:rsidRPr="00B46D02">
        <w:rPr>
          <w:rFonts w:ascii="Times New Roman" w:hAnsi="Times New Roman" w:cs="Times New Roman"/>
          <w:b/>
          <w:i/>
          <w:color w:val="231F20"/>
          <w:sz w:val="24"/>
          <w:szCs w:val="24"/>
        </w:rPr>
        <w:t>Loan Sprea</w:t>
      </w:r>
      <w:r w:rsidRPr="00B46D02">
        <w:rPr>
          <w:rFonts w:ascii="Times New Roman" w:hAnsi="Times New Roman" w:cs="Times New Roman"/>
          <w:b/>
          <w:i/>
          <w:color w:val="231F20"/>
          <w:sz w:val="24"/>
          <w:szCs w:val="24"/>
        </w:rPr>
        <w:t>ds</w:t>
      </w:r>
    </w:p>
    <w:p w14:paraId="688BC8A5" w14:textId="77777777" w:rsidR="00A05831" w:rsidRP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2D272235" w14:textId="77777777"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In contrast to more quantitative surveys on commercial loan rates, the SLOOS is more qualitative in nature. Loan officers are asked whether their standards for approving commercial credit have tightened or eased since the quarter before:</w:t>
      </w:r>
    </w:p>
    <w:p w14:paraId="51580912" w14:textId="5BA1D2DE" w:rsidR="001A71F3" w:rsidRDefault="007C3344" w:rsidP="00D44BAE">
      <w:pPr>
        <w:autoSpaceDE w:val="0"/>
        <w:autoSpaceDN w:val="0"/>
        <w:adjustRightInd w:val="0"/>
        <w:spacing w:after="0" w:line="480" w:lineRule="auto"/>
        <w:ind w:firstLineChars="297" w:firstLine="713"/>
        <w:jc w:val="both"/>
        <w:rPr>
          <w:rFonts w:ascii="Times New Roman" w:hAnsi="Times New Roman" w:cs="Times New Roman"/>
          <w:color w:val="231F20"/>
          <w:sz w:val="24"/>
          <w:szCs w:val="24"/>
        </w:rPr>
      </w:pPr>
      <w:r>
        <w:rPr>
          <w:rFonts w:ascii="Times New Roman" w:hAnsi="Times New Roman" w:cs="Times New Roman"/>
          <w:color w:val="231F20"/>
          <w:sz w:val="24"/>
          <w:szCs w:val="24"/>
        </w:rPr>
        <w:tab/>
        <w:t xml:space="preserve">“Over the past three months, how have </w:t>
      </w:r>
      <w:r w:rsidRPr="00AC4746">
        <w:rPr>
          <w:rFonts w:ascii="Times New Roman" w:hAnsi="Times New Roman" w:cs="Times New Roman"/>
          <w:i/>
          <w:color w:val="231F20"/>
          <w:sz w:val="24"/>
          <w:szCs w:val="24"/>
        </w:rPr>
        <w:t xml:space="preserve">your banks’ credit standards </w:t>
      </w:r>
      <w:r>
        <w:rPr>
          <w:rFonts w:ascii="Times New Roman" w:hAnsi="Times New Roman" w:cs="Times New Roman"/>
          <w:color w:val="231F20"/>
          <w:sz w:val="24"/>
          <w:szCs w:val="24"/>
        </w:rPr>
        <w:t xml:space="preserve">for approving loan applications for C&amp;I loans or credit lines – excluding those to finance mergers and acquisitions – </w:t>
      </w:r>
      <w:r w:rsidRPr="00636A75">
        <w:rPr>
          <w:rFonts w:ascii="Times New Roman" w:hAnsi="Times New Roman" w:cs="Times New Roman"/>
          <w:color w:val="231F20"/>
          <w:sz w:val="24"/>
          <w:szCs w:val="24"/>
        </w:rPr>
        <w:t>to large and middle market firms (and to small firms) changed</w:t>
      </w:r>
      <w:r>
        <w:rPr>
          <w:rFonts w:ascii="Times New Roman" w:hAnsi="Times New Roman" w:cs="Times New Roman"/>
          <w:color w:val="231F20"/>
          <w:sz w:val="24"/>
          <w:szCs w:val="24"/>
        </w:rPr>
        <w:t>?”</w:t>
      </w:r>
      <w:r w:rsidR="001A71F3">
        <w:rPr>
          <w:rStyle w:val="af7"/>
          <w:rFonts w:ascii="Times New Roman" w:hAnsi="Times New Roman" w:cs="Times New Roman"/>
          <w:color w:val="231F20"/>
          <w:sz w:val="24"/>
          <w:szCs w:val="24"/>
        </w:rPr>
        <w:endnoteReference w:id="12"/>
      </w:r>
    </w:p>
    <w:p w14:paraId="3960CBC2" w14:textId="1C36F9D9" w:rsidR="007C3344" w:rsidRDefault="007C3344" w:rsidP="00D44BAE">
      <w:pPr>
        <w:autoSpaceDE w:val="0"/>
        <w:autoSpaceDN w:val="0"/>
        <w:adjustRightInd w:val="0"/>
        <w:spacing w:after="0" w:line="480" w:lineRule="auto"/>
        <w:ind w:firstLineChars="297" w:firstLine="713"/>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The importance of credit standards stems from the unique nature of the bank lending market. Unlike other markets where prices do all the adjusting to keep the </w:t>
      </w:r>
      <w:r>
        <w:rPr>
          <w:rFonts w:ascii="Times New Roman" w:hAnsi="Times New Roman" w:cs="Times New Roman"/>
          <w:color w:val="231F20"/>
          <w:sz w:val="24"/>
          <w:szCs w:val="24"/>
        </w:rPr>
        <w:lastRenderedPageBreak/>
        <w:t>market clear, loan rates may be secondary to standards of credit worthiness and other non-price terms in the allocation of bank credit. Here, banks’ “credit standards” include both price and non-price lending terms, such as loan volume, collateral requirements, non-interest rate charges, loan limits, covenants and maturity. Bassett et al. (2014) utilize changes in these bank lending standards as a proxy for changes in credit supply. On the demand side, the question asked is:</w:t>
      </w:r>
    </w:p>
    <w:p w14:paraId="5175B19C" w14:textId="77777777"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w:t>
      </w:r>
      <w:r w:rsidRPr="00636A75">
        <w:rPr>
          <w:rFonts w:ascii="Times New Roman" w:hAnsi="Times New Roman" w:cs="Times New Roman"/>
          <w:color w:val="231F20"/>
          <w:sz w:val="24"/>
          <w:szCs w:val="24"/>
        </w:rPr>
        <w:t xml:space="preserve">Apart from normal seasonal variation, how has </w:t>
      </w:r>
      <w:r w:rsidRPr="00AC4746">
        <w:rPr>
          <w:rFonts w:ascii="Times New Roman" w:hAnsi="Times New Roman" w:cs="Times New Roman"/>
          <w:i/>
          <w:color w:val="231F20"/>
          <w:sz w:val="24"/>
          <w:szCs w:val="24"/>
        </w:rPr>
        <w:t>demand for C&amp;I loans</w:t>
      </w:r>
      <w:r w:rsidRPr="00636A75">
        <w:rPr>
          <w:rFonts w:ascii="Times New Roman" w:hAnsi="Times New Roman" w:cs="Times New Roman"/>
          <w:color w:val="231F20"/>
          <w:sz w:val="24"/>
          <w:szCs w:val="24"/>
        </w:rPr>
        <w:t xml:space="preserve"> changed over the past </w:t>
      </w:r>
      <w:r>
        <w:rPr>
          <w:rFonts w:ascii="Times New Roman" w:hAnsi="Times New Roman" w:cs="Times New Roman"/>
          <w:color w:val="231F20"/>
          <w:sz w:val="24"/>
          <w:szCs w:val="24"/>
        </w:rPr>
        <w:t>three</w:t>
      </w:r>
      <w:r w:rsidRPr="00636A75">
        <w:rPr>
          <w:rFonts w:ascii="Times New Roman" w:hAnsi="Times New Roman" w:cs="Times New Roman"/>
          <w:color w:val="231F20"/>
          <w:sz w:val="24"/>
          <w:szCs w:val="24"/>
        </w:rPr>
        <w:t xml:space="preserve"> months? (Please consider only funds actually disbursed as opposed to requests for new or increased lines of credit.)</w:t>
      </w:r>
      <w:r>
        <w:rPr>
          <w:rFonts w:ascii="Times New Roman" w:hAnsi="Times New Roman" w:cs="Times New Roman"/>
          <w:color w:val="231F20"/>
          <w:sz w:val="24"/>
          <w:szCs w:val="24"/>
        </w:rPr>
        <w:t>”</w:t>
      </w:r>
    </w:p>
    <w:p w14:paraId="2B2B893C" w14:textId="77777777"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Participating banks answer both questions using a qualitative scale ranging from 1 to 5. In the case of lending policies, the possible answers are 1=eased considerably; 2=eased somewhat; 3=about unchanged; 4=tightened somewhat; and 5=tightened considerably. As for the changes in loan demand, the possible answers are 1=increased considerably; 2=increased somewhat; 3=about unchanged; 4=decreased somewhat; and 5=decreased considerably.</w:t>
      </w:r>
    </w:p>
    <w:p w14:paraId="403C9B4A" w14:textId="7CCB7871"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Loan supply is proxied by computing the net percentage of domestic banks tightening credit standards for C&amp;I loans to large and medium firms. This is the number of loan officers reporting tightening standards (i.e. the combined response for scales 4 and 5) less the number reporting easing (i.e. the combined response for scales 1 and 2) divided by the total number reporting. To distinguish changes in loan supply for large and medium firms from small firms, we use a different suffix for the loan supply variable (i.e. </w:t>
      </w:r>
      <w:r w:rsidRPr="00D34020">
        <w:rPr>
          <w:rFonts w:ascii="Times New Roman" w:hAnsi="Times New Roman" w:cs="Times New Roman"/>
          <w:i/>
          <w:color w:val="231F20"/>
          <w:sz w:val="24"/>
          <w:szCs w:val="24"/>
        </w:rPr>
        <w:t>Standard_LM</w:t>
      </w:r>
      <w:r>
        <w:rPr>
          <w:rFonts w:ascii="Times New Roman" w:hAnsi="Times New Roman" w:cs="Times New Roman"/>
          <w:color w:val="231F20"/>
          <w:sz w:val="24"/>
          <w:szCs w:val="24"/>
        </w:rPr>
        <w:t xml:space="preserve"> as opposed to </w:t>
      </w:r>
      <w:r w:rsidRPr="00D34020">
        <w:rPr>
          <w:rFonts w:ascii="Times New Roman" w:hAnsi="Times New Roman" w:cs="Times New Roman"/>
          <w:i/>
          <w:color w:val="231F20"/>
          <w:sz w:val="24"/>
          <w:szCs w:val="24"/>
        </w:rPr>
        <w:t>Standard_S</w:t>
      </w:r>
      <w:r>
        <w:rPr>
          <w:rFonts w:ascii="Times New Roman" w:hAnsi="Times New Roman" w:cs="Times New Roman"/>
          <w:color w:val="231F20"/>
          <w:sz w:val="24"/>
          <w:szCs w:val="24"/>
        </w:rPr>
        <w:t>). Loan demand is proxied by computing the net percentage of domestic banks reporting stronger demand for C&amp;I loans from large and medium firms. This is the number of loan officers reporting increased loan demand (i.e. the combined response for scale</w:t>
      </w:r>
      <w:r w:rsidRPr="00D95FA5">
        <w:rPr>
          <w:rFonts w:ascii="Times New Roman" w:hAnsi="Times New Roman" w:cs="Times New Roman"/>
          <w:bCs/>
          <w:color w:val="231F20"/>
          <w:sz w:val="24"/>
          <w:szCs w:val="24"/>
        </w:rPr>
        <w:t>s</w:t>
      </w:r>
      <w:r>
        <w:rPr>
          <w:rFonts w:ascii="Times New Roman" w:hAnsi="Times New Roman" w:cs="Times New Roman"/>
          <w:color w:val="231F20"/>
          <w:sz w:val="24"/>
          <w:szCs w:val="24"/>
        </w:rPr>
        <w:t xml:space="preserve"> 1 and 2) less the number </w:t>
      </w:r>
      <w:r>
        <w:rPr>
          <w:rFonts w:ascii="Times New Roman" w:hAnsi="Times New Roman" w:cs="Times New Roman"/>
          <w:color w:val="231F20"/>
          <w:sz w:val="24"/>
          <w:szCs w:val="24"/>
        </w:rPr>
        <w:lastRenderedPageBreak/>
        <w:t>reporting decreased demand (i.e. the combined response for scale</w:t>
      </w:r>
      <w:r>
        <w:rPr>
          <w:rFonts w:ascii="Times New Roman" w:hAnsi="Times New Roman" w:cs="Times New Roman"/>
          <w:b/>
          <w:bCs/>
          <w:color w:val="231F20"/>
          <w:sz w:val="24"/>
          <w:szCs w:val="24"/>
        </w:rPr>
        <w:t>s</w:t>
      </w:r>
      <w:r>
        <w:rPr>
          <w:rFonts w:ascii="Times New Roman" w:hAnsi="Times New Roman" w:cs="Times New Roman"/>
          <w:color w:val="231F20"/>
          <w:sz w:val="24"/>
          <w:szCs w:val="24"/>
        </w:rPr>
        <w:t xml:space="preserve"> 4 and 5) divided by the total number reporting. Changes in loan demand for large and medium firms are denoted by </w:t>
      </w:r>
      <w:r w:rsidRPr="00D34020">
        <w:rPr>
          <w:rFonts w:ascii="Times New Roman" w:hAnsi="Times New Roman" w:cs="Times New Roman"/>
          <w:i/>
          <w:color w:val="231F20"/>
          <w:sz w:val="24"/>
          <w:szCs w:val="24"/>
        </w:rPr>
        <w:t>Demand_LM</w:t>
      </w:r>
      <w:r>
        <w:rPr>
          <w:rFonts w:ascii="Times New Roman" w:hAnsi="Times New Roman" w:cs="Times New Roman"/>
          <w:color w:val="231F20"/>
          <w:sz w:val="24"/>
          <w:szCs w:val="24"/>
        </w:rPr>
        <w:t xml:space="preserve">, while that for small firms is denoted by </w:t>
      </w:r>
      <w:r w:rsidRPr="00D34020">
        <w:rPr>
          <w:rFonts w:ascii="Times New Roman" w:hAnsi="Times New Roman" w:cs="Times New Roman"/>
          <w:i/>
          <w:color w:val="231F20"/>
          <w:sz w:val="24"/>
          <w:szCs w:val="24"/>
        </w:rPr>
        <w:t>Demand_S</w:t>
      </w:r>
      <w:r>
        <w:rPr>
          <w:rFonts w:ascii="Times New Roman" w:hAnsi="Times New Roman" w:cs="Times New Roman"/>
          <w:color w:val="231F20"/>
          <w:sz w:val="24"/>
          <w:szCs w:val="24"/>
        </w:rPr>
        <w:t>.</w:t>
      </w:r>
    </w:p>
    <w:p w14:paraId="701E2D36" w14:textId="77777777"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We also consider loan pricing (i.e. loan spreads) inferred from the question concerning changes in loan supply arising from tightening price-related credit standards for C&amp;I loans to large and medium firms. For this purpose, we utilize the survey question:</w:t>
      </w:r>
    </w:p>
    <w:p w14:paraId="50B96DD2" w14:textId="77777777" w:rsidR="007C3344" w:rsidRDefault="007C3344" w:rsidP="00D44BAE">
      <w:pPr>
        <w:autoSpaceDE w:val="0"/>
        <w:autoSpaceDN w:val="0"/>
        <w:adjustRightInd w:val="0"/>
        <w:spacing w:after="0" w:line="480" w:lineRule="auto"/>
        <w:ind w:firstLine="720"/>
        <w:jc w:val="both"/>
        <w:rPr>
          <w:rFonts w:ascii="Times New Roman" w:hAnsi="Times New Roman" w:cs="Times New Roman"/>
          <w:color w:val="000000"/>
          <w:sz w:val="24"/>
          <w:szCs w:val="24"/>
        </w:rPr>
      </w:pPr>
      <w:r w:rsidRPr="003B670F">
        <w:rPr>
          <w:rFonts w:ascii="Times New Roman" w:hAnsi="Times New Roman" w:cs="Times New Roman"/>
          <w:color w:val="000000"/>
          <w:sz w:val="24"/>
          <w:szCs w:val="24"/>
        </w:rPr>
        <w:t>“For applications for C&amp;I loans or credit lines</w:t>
      </w:r>
      <w:r>
        <w:rPr>
          <w:rFonts w:ascii="Times New Roman" w:hAnsi="Times New Roman" w:cs="Times New Roman"/>
          <w:color w:val="231F20"/>
          <w:sz w:val="24"/>
          <w:szCs w:val="24"/>
        </w:rPr>
        <w:t xml:space="preserve"> – </w:t>
      </w:r>
      <w:r w:rsidRPr="003B670F">
        <w:rPr>
          <w:rFonts w:ascii="Times New Roman" w:hAnsi="Times New Roman" w:cs="Times New Roman"/>
          <w:color w:val="000000"/>
          <w:sz w:val="24"/>
          <w:szCs w:val="24"/>
        </w:rPr>
        <w:t>other than those to be used to finance mergers and acquisitions</w:t>
      </w:r>
      <w:r>
        <w:rPr>
          <w:rFonts w:ascii="Times New Roman" w:hAnsi="Times New Roman" w:cs="Times New Roman"/>
          <w:color w:val="231F20"/>
          <w:sz w:val="24"/>
          <w:szCs w:val="24"/>
        </w:rPr>
        <w:t xml:space="preserve"> – </w:t>
      </w:r>
      <w:r w:rsidRPr="003B670F">
        <w:rPr>
          <w:rFonts w:ascii="Times New Roman" w:hAnsi="Times New Roman" w:cs="Times New Roman"/>
          <w:color w:val="000000"/>
          <w:sz w:val="24"/>
          <w:szCs w:val="24"/>
        </w:rPr>
        <w:t xml:space="preserve">from large and middle-market firms and from small firms that your bank currently is willing to approve, how have the </w:t>
      </w:r>
      <w:r w:rsidRPr="003B670F">
        <w:rPr>
          <w:rFonts w:ascii="Times New Roman" w:hAnsi="Times New Roman" w:cs="Times New Roman"/>
          <w:i/>
          <w:color w:val="000000"/>
          <w:sz w:val="24"/>
          <w:szCs w:val="24"/>
        </w:rPr>
        <w:t>terms of those loans</w:t>
      </w:r>
      <w:r w:rsidRPr="003B670F">
        <w:rPr>
          <w:rFonts w:ascii="Times New Roman" w:hAnsi="Times New Roman" w:cs="Times New Roman"/>
          <w:color w:val="000000"/>
          <w:sz w:val="24"/>
          <w:szCs w:val="24"/>
        </w:rPr>
        <w:t xml:space="preserve"> changed over the past three months?</w:t>
      </w:r>
      <w:r>
        <w:rPr>
          <w:rFonts w:ascii="Times New Roman" w:hAnsi="Times New Roman" w:cs="Times New Roman"/>
          <w:color w:val="000000"/>
          <w:sz w:val="24"/>
          <w:szCs w:val="24"/>
        </w:rPr>
        <w:t xml:space="preserve">” </w:t>
      </w:r>
    </w:p>
    <w:p w14:paraId="74B6FF35" w14:textId="32E6F69F" w:rsidR="007C3344" w:rsidRDefault="007C3344" w:rsidP="00D44BAE">
      <w:pPr>
        <w:autoSpaceDE w:val="0"/>
        <w:autoSpaceDN w:val="0"/>
        <w:adjustRightInd w:val="0"/>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Specifically, the term of the loans that we use is the spread</w:t>
      </w:r>
      <w:r w:rsidRPr="003B670F">
        <w:rPr>
          <w:rFonts w:ascii="Times New Roman" w:hAnsi="Times New Roman" w:cs="Times New Roman"/>
          <w:color w:val="000000"/>
          <w:sz w:val="24"/>
          <w:szCs w:val="24"/>
        </w:rPr>
        <w:t xml:space="preserve"> of loan rates over </w:t>
      </w:r>
      <w:r>
        <w:rPr>
          <w:rFonts w:ascii="Times New Roman" w:hAnsi="Times New Roman" w:cs="Times New Roman"/>
          <w:color w:val="000000"/>
          <w:sz w:val="24"/>
          <w:szCs w:val="24"/>
        </w:rPr>
        <w:t>the participating</w:t>
      </w:r>
      <w:r w:rsidRPr="003B670F">
        <w:rPr>
          <w:rFonts w:ascii="Times New Roman" w:hAnsi="Times New Roman" w:cs="Times New Roman"/>
          <w:color w:val="000000"/>
          <w:sz w:val="24"/>
          <w:szCs w:val="24"/>
        </w:rPr>
        <w:t xml:space="preserve"> </w:t>
      </w:r>
      <w:r w:rsidRPr="00EF1002">
        <w:rPr>
          <w:rFonts w:ascii="Times New Roman" w:hAnsi="Times New Roman" w:cs="Times New Roman"/>
          <w:color w:val="000000"/>
          <w:sz w:val="24"/>
          <w:szCs w:val="24"/>
        </w:rPr>
        <w:t>bank’s</w:t>
      </w:r>
      <w:r w:rsidRPr="003B670F">
        <w:rPr>
          <w:rFonts w:ascii="Times New Roman" w:hAnsi="Times New Roman" w:cs="Times New Roman"/>
          <w:color w:val="000000"/>
          <w:sz w:val="24"/>
          <w:szCs w:val="24"/>
        </w:rPr>
        <w:t xml:space="preserve"> cost of funds</w:t>
      </w:r>
      <w:r>
        <w:rPr>
          <w:rFonts w:ascii="Times New Roman" w:hAnsi="Times New Roman" w:cs="Times New Roman"/>
          <w:color w:val="000000"/>
          <w:sz w:val="24"/>
          <w:szCs w:val="24"/>
        </w:rPr>
        <w:t xml:space="preserve">. </w:t>
      </w:r>
      <w:r w:rsidRPr="008A26F9">
        <w:rPr>
          <w:rFonts w:ascii="Times New Roman" w:hAnsi="Times New Roman" w:cs="Times New Roman"/>
          <w:color w:val="000000"/>
          <w:sz w:val="24"/>
          <w:szCs w:val="24"/>
        </w:rPr>
        <w:t>As such wider spreads or an increase in spreads</w:t>
      </w:r>
      <w:r>
        <w:rPr>
          <w:rFonts w:ascii="Times New Roman" w:hAnsi="Times New Roman" w:cs="Times New Roman"/>
          <w:color w:val="000000"/>
          <w:sz w:val="24"/>
          <w:szCs w:val="24"/>
        </w:rPr>
        <w:t xml:space="preserve"> signify </w:t>
      </w:r>
      <w:r w:rsidRPr="003B670F">
        <w:rPr>
          <w:rFonts w:ascii="Times New Roman" w:hAnsi="Times New Roman" w:cs="Times New Roman"/>
          <w:color w:val="000000"/>
          <w:sz w:val="24"/>
          <w:szCs w:val="24"/>
        </w:rPr>
        <w:t>tightened</w:t>
      </w:r>
      <w:r>
        <w:rPr>
          <w:rFonts w:ascii="Times New Roman" w:hAnsi="Times New Roman" w:cs="Times New Roman"/>
          <w:color w:val="000000"/>
          <w:sz w:val="24"/>
          <w:szCs w:val="24"/>
        </w:rPr>
        <w:t xml:space="preserve"> (or increased) pricing credit terms while </w:t>
      </w:r>
      <w:r w:rsidRPr="003B670F">
        <w:rPr>
          <w:rFonts w:ascii="Times New Roman" w:hAnsi="Times New Roman" w:cs="Times New Roman"/>
          <w:color w:val="000000"/>
          <w:sz w:val="24"/>
          <w:szCs w:val="24"/>
        </w:rPr>
        <w:t>narrower spreads</w:t>
      </w:r>
      <w:r>
        <w:rPr>
          <w:rFonts w:ascii="Times New Roman" w:hAnsi="Times New Roman" w:cs="Times New Roman"/>
          <w:color w:val="000000"/>
          <w:sz w:val="24"/>
          <w:szCs w:val="24"/>
        </w:rPr>
        <w:t xml:space="preserve"> signify </w:t>
      </w:r>
      <w:r w:rsidRPr="003B670F">
        <w:rPr>
          <w:rFonts w:ascii="Times New Roman" w:hAnsi="Times New Roman" w:cs="Times New Roman"/>
          <w:color w:val="000000"/>
          <w:sz w:val="24"/>
          <w:szCs w:val="24"/>
        </w:rPr>
        <w:t>eased</w:t>
      </w:r>
      <w:r>
        <w:rPr>
          <w:rFonts w:ascii="Times New Roman" w:hAnsi="Times New Roman" w:cs="Times New Roman"/>
          <w:color w:val="000000"/>
          <w:sz w:val="24"/>
          <w:szCs w:val="24"/>
        </w:rPr>
        <w:t xml:space="preserve"> (or decreased) pricing credit terms. The possible answers to this question are similar to those of the lending policies. The loan supply variable which is associated with pricing credit terms is defined as the net percentage of domestic banks increasing spread of loan rates over banks’ cost of funds to firms, with large and medium firms, and small firms denoted by </w:t>
      </w:r>
      <w:r w:rsidRPr="00EB7F7B">
        <w:rPr>
          <w:rFonts w:ascii="Times New Roman" w:hAnsi="Times New Roman" w:cs="Times New Roman"/>
          <w:i/>
          <w:color w:val="000000"/>
          <w:sz w:val="24"/>
          <w:szCs w:val="24"/>
        </w:rPr>
        <w:t>Spr_LM</w:t>
      </w:r>
      <w:r>
        <w:rPr>
          <w:rFonts w:ascii="Times New Roman" w:hAnsi="Times New Roman" w:cs="Times New Roman"/>
          <w:color w:val="000000"/>
          <w:sz w:val="24"/>
          <w:szCs w:val="24"/>
        </w:rPr>
        <w:t xml:space="preserve"> and </w:t>
      </w:r>
      <w:r w:rsidRPr="00EB7F7B">
        <w:rPr>
          <w:rFonts w:ascii="Times New Roman" w:hAnsi="Times New Roman" w:cs="Times New Roman"/>
          <w:i/>
          <w:color w:val="000000"/>
          <w:sz w:val="24"/>
          <w:szCs w:val="24"/>
        </w:rPr>
        <w:t>Spr_S</w:t>
      </w:r>
      <w:r>
        <w:rPr>
          <w:rFonts w:ascii="Times New Roman" w:hAnsi="Times New Roman" w:cs="Times New Roman"/>
          <w:color w:val="000000"/>
          <w:sz w:val="24"/>
          <w:szCs w:val="24"/>
        </w:rPr>
        <w:t xml:space="preserve">, respectively. The STBL survey provides the actual measure of loan spreads (here denoted as </w:t>
      </w:r>
      <w:r w:rsidRPr="00EB7F7B">
        <w:rPr>
          <w:rFonts w:ascii="Times New Roman" w:hAnsi="Times New Roman" w:cs="Times New Roman"/>
          <w:i/>
          <w:color w:val="000000"/>
          <w:sz w:val="24"/>
          <w:szCs w:val="24"/>
        </w:rPr>
        <w:t>Loan_Spr</w:t>
      </w:r>
      <w:r>
        <w:rPr>
          <w:rFonts w:ascii="Times New Roman" w:hAnsi="Times New Roman" w:cs="Times New Roman"/>
          <w:color w:val="000000"/>
          <w:sz w:val="24"/>
          <w:szCs w:val="24"/>
        </w:rPr>
        <w:t>) which is the domestic banks’ C&amp;I loan rate spread over intended federal funds rate. For the LPC loan syndication data, the loan spread is a weighted average measure of the loan rate spread over LIBOR (</w:t>
      </w:r>
      <w:r w:rsidRPr="00352D86">
        <w:rPr>
          <w:rFonts w:ascii="Times New Roman" w:hAnsi="Times New Roman" w:cs="Times New Roman"/>
          <w:i/>
          <w:color w:val="000000"/>
          <w:sz w:val="24"/>
          <w:szCs w:val="24"/>
        </w:rPr>
        <w:t>Spr_Synd</w:t>
      </w:r>
      <w:r>
        <w:rPr>
          <w:rFonts w:ascii="Times New Roman" w:hAnsi="Times New Roman" w:cs="Times New Roman"/>
          <w:color w:val="000000"/>
          <w:sz w:val="24"/>
          <w:szCs w:val="24"/>
        </w:rPr>
        <w:t>).</w:t>
      </w:r>
    </w:p>
    <w:p w14:paraId="0DBB9D9D" w14:textId="77777777" w:rsid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2B698001" w14:textId="30522126" w:rsidR="007C3344" w:rsidRDefault="007C3344" w:rsidP="00D44BAE">
      <w:pPr>
        <w:autoSpaceDE w:val="0"/>
        <w:autoSpaceDN w:val="0"/>
        <w:adjustRightInd w:val="0"/>
        <w:spacing w:after="0" w:line="480" w:lineRule="auto"/>
        <w:jc w:val="both"/>
        <w:rPr>
          <w:rFonts w:ascii="Times New Roman" w:hAnsi="Times New Roman" w:cs="Times New Roman"/>
          <w:b/>
          <w:color w:val="231F20"/>
          <w:sz w:val="24"/>
          <w:szCs w:val="24"/>
        </w:rPr>
      </w:pPr>
      <w:r w:rsidRPr="00B46D02">
        <w:rPr>
          <w:rFonts w:ascii="Times New Roman" w:hAnsi="Times New Roman" w:cs="Times New Roman"/>
          <w:b/>
          <w:i/>
          <w:color w:val="231F20"/>
          <w:sz w:val="24"/>
          <w:szCs w:val="24"/>
        </w:rPr>
        <w:t xml:space="preserve">3.3 Other </w:t>
      </w:r>
      <w:r w:rsidR="00B46D02" w:rsidRPr="00B46D02">
        <w:rPr>
          <w:rFonts w:ascii="Times New Roman" w:hAnsi="Times New Roman" w:cs="Times New Roman"/>
          <w:b/>
          <w:i/>
          <w:color w:val="231F20"/>
          <w:sz w:val="24"/>
          <w:szCs w:val="24"/>
        </w:rPr>
        <w:t>Non-Price Loan Te</w:t>
      </w:r>
      <w:r w:rsidRPr="00B46D02">
        <w:rPr>
          <w:rFonts w:ascii="Times New Roman" w:hAnsi="Times New Roman" w:cs="Times New Roman"/>
          <w:b/>
          <w:i/>
          <w:color w:val="231F20"/>
          <w:sz w:val="24"/>
          <w:szCs w:val="24"/>
        </w:rPr>
        <w:t xml:space="preserve">rms and </w:t>
      </w:r>
      <w:r w:rsidR="00B46D02" w:rsidRPr="00B46D02">
        <w:rPr>
          <w:rFonts w:ascii="Times New Roman" w:hAnsi="Times New Roman" w:cs="Times New Roman"/>
          <w:b/>
          <w:i/>
          <w:color w:val="231F20"/>
          <w:sz w:val="24"/>
          <w:szCs w:val="24"/>
        </w:rPr>
        <w:t>Loan Vo</w:t>
      </w:r>
      <w:r w:rsidRPr="00B46D02">
        <w:rPr>
          <w:rFonts w:ascii="Times New Roman" w:hAnsi="Times New Roman" w:cs="Times New Roman"/>
          <w:b/>
          <w:i/>
          <w:color w:val="231F20"/>
          <w:sz w:val="24"/>
          <w:szCs w:val="24"/>
        </w:rPr>
        <w:t>lume</w:t>
      </w:r>
    </w:p>
    <w:p w14:paraId="59CE7469" w14:textId="77777777" w:rsidR="00A05831" w:rsidRP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096061A3" w14:textId="19F5972C"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Other than loan demand, supply, and spreads, we also evaluate the effects of market uncertainty on the loan volume, loan size, loan maturity, and the proportion of loan that is secured by collateral.  For the loan volume, we gather the change in aggregate outstanding C&amp;I loans measured in billion dollars which is denoted </w:t>
      </w:r>
      <w:r w:rsidRPr="00B1283D">
        <w:rPr>
          <w:rFonts w:ascii="Times New Roman" w:hAnsi="Times New Roman" w:cs="Times New Roman"/>
          <w:color w:val="231F20"/>
          <w:sz w:val="24"/>
          <w:szCs w:val="24"/>
        </w:rPr>
        <w:t>Δ</w:t>
      </w:r>
      <w:r w:rsidRPr="00371F93">
        <w:rPr>
          <w:rFonts w:ascii="Times New Roman" w:hAnsi="Times New Roman" w:cs="Times New Roman"/>
          <w:i/>
          <w:color w:val="231F20"/>
          <w:sz w:val="24"/>
          <w:szCs w:val="24"/>
        </w:rPr>
        <w:t>CI_Loan</w:t>
      </w:r>
      <w:r w:rsidRPr="00371F93">
        <w:rPr>
          <w:rFonts w:ascii="Times New Roman" w:hAnsi="Times New Roman" w:cs="Times New Roman"/>
          <w:color w:val="231F20"/>
          <w:sz w:val="24"/>
          <w:szCs w:val="24"/>
        </w:rPr>
        <w:t xml:space="preserve"> </w:t>
      </w:r>
      <w:r>
        <w:rPr>
          <w:rFonts w:ascii="Times New Roman" w:hAnsi="Times New Roman" w:cs="Times New Roman"/>
          <w:color w:val="231F20"/>
          <w:sz w:val="24"/>
          <w:szCs w:val="24"/>
        </w:rPr>
        <w:t>from the Federal Reserve Statistical Release H8. An equivalent measure of loan volume is the total syndicated loan volume (</w:t>
      </w:r>
      <w:r w:rsidRPr="006532B5">
        <w:rPr>
          <w:rFonts w:ascii="Times New Roman" w:hAnsi="Times New Roman" w:cs="Times New Roman"/>
          <w:i/>
          <w:color w:val="231F20"/>
          <w:sz w:val="24"/>
          <w:szCs w:val="24"/>
        </w:rPr>
        <w:t>Synd_Loan</w:t>
      </w:r>
      <w:r>
        <w:rPr>
          <w:rFonts w:ascii="Times New Roman" w:hAnsi="Times New Roman" w:cs="Times New Roman"/>
          <w:color w:val="231F20"/>
          <w:sz w:val="24"/>
          <w:szCs w:val="24"/>
        </w:rPr>
        <w:t>) which is measured in billion dollars and obtained from the LPC. The credit standard</w:t>
      </w:r>
      <w:r w:rsidRPr="00984DA0">
        <w:rPr>
          <w:rFonts w:ascii="Times New Roman" w:hAnsi="Times New Roman" w:cs="Times New Roman"/>
          <w:bCs/>
          <w:color w:val="231F20"/>
          <w:sz w:val="24"/>
          <w:szCs w:val="24"/>
        </w:rPr>
        <w:t>s</w:t>
      </w:r>
      <w:r w:rsidRPr="004B6B32">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relating to non-price loan terms which are obtained from the SLOOS and pertain to large and medium firms are the following: the net percentage of domestic banks which </w:t>
      </w:r>
      <w:r w:rsidRPr="00EF1002">
        <w:rPr>
          <w:rFonts w:ascii="Times New Roman" w:hAnsi="Times New Roman" w:cs="Times New Roman"/>
          <w:color w:val="231F20"/>
          <w:sz w:val="24"/>
          <w:szCs w:val="24"/>
        </w:rPr>
        <w:t>tighten</w:t>
      </w:r>
      <w:r w:rsidRPr="00EF1002">
        <w:rPr>
          <w:rFonts w:ascii="Times New Roman" w:hAnsi="Times New Roman" w:cs="Times New Roman"/>
          <w:bCs/>
          <w:color w:val="231F20"/>
          <w:sz w:val="24"/>
          <w:szCs w:val="24"/>
        </w:rPr>
        <w:t>s the</w:t>
      </w:r>
      <w:r>
        <w:rPr>
          <w:rFonts w:ascii="Times New Roman" w:hAnsi="Times New Roman" w:cs="Times New Roman"/>
          <w:color w:val="231F20"/>
          <w:sz w:val="24"/>
          <w:szCs w:val="24"/>
        </w:rPr>
        <w:t xml:space="preserve"> standard on maximum size of credit lines (</w:t>
      </w:r>
      <w:r w:rsidRPr="00484159">
        <w:rPr>
          <w:rFonts w:ascii="Times New Roman" w:hAnsi="Times New Roman" w:cs="Times New Roman"/>
          <w:i/>
          <w:color w:val="231F20"/>
          <w:sz w:val="24"/>
          <w:szCs w:val="24"/>
        </w:rPr>
        <w:t>LoanSize_LM</w:t>
      </w:r>
      <w:r>
        <w:rPr>
          <w:rFonts w:ascii="Times New Roman" w:hAnsi="Times New Roman" w:cs="Times New Roman"/>
          <w:color w:val="231F20"/>
          <w:sz w:val="24"/>
          <w:szCs w:val="24"/>
        </w:rPr>
        <w:t xml:space="preserve">), </w:t>
      </w:r>
      <w:r w:rsidRPr="006B4A3A">
        <w:rPr>
          <w:rFonts w:ascii="Times New Roman" w:hAnsi="Times New Roman" w:cs="Times New Roman"/>
          <w:color w:val="231F20"/>
          <w:sz w:val="24"/>
          <w:szCs w:val="24"/>
        </w:rPr>
        <w:t>tightens the standard</w:t>
      </w:r>
      <w:r>
        <w:rPr>
          <w:rFonts w:ascii="Times New Roman" w:hAnsi="Times New Roman" w:cs="Times New Roman"/>
          <w:color w:val="231F20"/>
          <w:sz w:val="24"/>
          <w:szCs w:val="24"/>
        </w:rPr>
        <w:t xml:space="preserve"> on maximum maturity of loans or credit lines (</w:t>
      </w:r>
      <w:r w:rsidRPr="00484159">
        <w:rPr>
          <w:rFonts w:ascii="Times New Roman" w:hAnsi="Times New Roman" w:cs="Times New Roman"/>
          <w:i/>
          <w:color w:val="231F20"/>
          <w:sz w:val="24"/>
          <w:szCs w:val="24"/>
        </w:rPr>
        <w:t>Maturity_LM</w:t>
      </w:r>
      <w:r>
        <w:rPr>
          <w:rFonts w:ascii="Times New Roman" w:hAnsi="Times New Roman" w:cs="Times New Roman"/>
          <w:color w:val="231F20"/>
          <w:sz w:val="24"/>
          <w:szCs w:val="24"/>
        </w:rPr>
        <w:t xml:space="preserve">), and </w:t>
      </w:r>
      <w:r w:rsidRPr="006B4A3A">
        <w:rPr>
          <w:rFonts w:ascii="Times New Roman" w:hAnsi="Times New Roman" w:cs="Times New Roman"/>
          <w:color w:val="231F20"/>
          <w:sz w:val="24"/>
          <w:szCs w:val="24"/>
        </w:rPr>
        <w:t>tightens the standard</w:t>
      </w:r>
      <w:r>
        <w:rPr>
          <w:rFonts w:ascii="Times New Roman" w:hAnsi="Times New Roman" w:cs="Times New Roman"/>
          <w:color w:val="231F20"/>
          <w:sz w:val="24"/>
          <w:szCs w:val="24"/>
        </w:rPr>
        <w:t xml:space="preserve"> on collateralization requirement (</w:t>
      </w:r>
      <w:r w:rsidRPr="00484159">
        <w:rPr>
          <w:rFonts w:ascii="Times New Roman" w:hAnsi="Times New Roman" w:cs="Times New Roman"/>
          <w:i/>
          <w:color w:val="231F20"/>
          <w:sz w:val="24"/>
          <w:szCs w:val="24"/>
        </w:rPr>
        <w:t>Secured_LM</w:t>
      </w:r>
      <w:r>
        <w:rPr>
          <w:rFonts w:ascii="Times New Roman" w:hAnsi="Times New Roman" w:cs="Times New Roman"/>
          <w:color w:val="231F20"/>
          <w:sz w:val="24"/>
          <w:szCs w:val="24"/>
        </w:rPr>
        <w:t xml:space="preserve">). The equivalent of these variables obtained from the STBL are the </w:t>
      </w:r>
      <w:r w:rsidRPr="00105F0C">
        <w:rPr>
          <w:rFonts w:ascii="Times New Roman" w:hAnsi="Times New Roman" w:cs="Times New Roman"/>
          <w:color w:val="231F20"/>
          <w:sz w:val="24"/>
          <w:szCs w:val="24"/>
        </w:rPr>
        <w:t>average</w:t>
      </w:r>
      <w:r>
        <w:rPr>
          <w:rFonts w:ascii="Times New Roman" w:hAnsi="Times New Roman" w:cs="Times New Roman"/>
          <w:color w:val="231F20"/>
          <w:sz w:val="24"/>
          <w:szCs w:val="24"/>
        </w:rPr>
        <w:t xml:space="preserve"> loan size (</w:t>
      </w:r>
      <w:r w:rsidRPr="00105F0C">
        <w:rPr>
          <w:rFonts w:ascii="Times New Roman" w:hAnsi="Times New Roman" w:cs="Times New Roman"/>
          <w:i/>
          <w:color w:val="231F20"/>
          <w:sz w:val="24"/>
          <w:szCs w:val="24"/>
        </w:rPr>
        <w:t>LoanSize</w:t>
      </w:r>
      <w:r>
        <w:rPr>
          <w:rFonts w:ascii="Times New Roman" w:hAnsi="Times New Roman" w:cs="Times New Roman"/>
          <w:color w:val="231F20"/>
          <w:sz w:val="24"/>
          <w:szCs w:val="24"/>
        </w:rPr>
        <w:t>) measured in thousands of dollars, the average maturity days weighted by loan amount (</w:t>
      </w:r>
      <w:r w:rsidRPr="00105F0C">
        <w:rPr>
          <w:rFonts w:ascii="Times New Roman" w:hAnsi="Times New Roman" w:cs="Times New Roman"/>
          <w:i/>
          <w:color w:val="231F20"/>
          <w:sz w:val="24"/>
          <w:szCs w:val="24"/>
        </w:rPr>
        <w:t>Maturity</w:t>
      </w:r>
      <w:r>
        <w:rPr>
          <w:rFonts w:ascii="Times New Roman" w:hAnsi="Times New Roman" w:cs="Times New Roman"/>
          <w:color w:val="231F20"/>
          <w:sz w:val="24"/>
          <w:szCs w:val="24"/>
        </w:rPr>
        <w:t>), and the percentage of loan amount secured by collateral (</w:t>
      </w:r>
      <w:r w:rsidRPr="00105F0C">
        <w:rPr>
          <w:rFonts w:ascii="Times New Roman" w:hAnsi="Times New Roman" w:cs="Times New Roman"/>
          <w:i/>
          <w:color w:val="231F20"/>
          <w:sz w:val="24"/>
          <w:szCs w:val="24"/>
        </w:rPr>
        <w:t>Secured</w:t>
      </w:r>
      <w:r>
        <w:rPr>
          <w:rFonts w:ascii="Times New Roman" w:hAnsi="Times New Roman" w:cs="Times New Roman"/>
          <w:color w:val="231F20"/>
          <w:sz w:val="24"/>
          <w:szCs w:val="24"/>
        </w:rPr>
        <w:t xml:space="preserve">). The equivalent of these variables in the syndicated loan market are the </w:t>
      </w:r>
      <w:r w:rsidRPr="00105F0C">
        <w:rPr>
          <w:rFonts w:ascii="Times New Roman" w:hAnsi="Times New Roman" w:cs="Times New Roman"/>
          <w:color w:val="231F20"/>
          <w:sz w:val="24"/>
          <w:szCs w:val="24"/>
        </w:rPr>
        <w:t>average</w:t>
      </w:r>
      <w:r>
        <w:rPr>
          <w:rFonts w:ascii="Times New Roman" w:hAnsi="Times New Roman" w:cs="Times New Roman"/>
          <w:color w:val="231F20"/>
          <w:sz w:val="24"/>
          <w:szCs w:val="24"/>
        </w:rPr>
        <w:t xml:space="preserve"> loan size (</w:t>
      </w:r>
      <w:r w:rsidRPr="00105F0C">
        <w:rPr>
          <w:rFonts w:ascii="Times New Roman" w:hAnsi="Times New Roman" w:cs="Times New Roman"/>
          <w:i/>
          <w:color w:val="231F20"/>
          <w:sz w:val="24"/>
          <w:szCs w:val="24"/>
        </w:rPr>
        <w:t>LoanSize</w:t>
      </w:r>
      <w:r>
        <w:rPr>
          <w:rFonts w:ascii="Times New Roman" w:hAnsi="Times New Roman" w:cs="Times New Roman"/>
          <w:i/>
          <w:color w:val="231F20"/>
          <w:sz w:val="24"/>
          <w:szCs w:val="24"/>
        </w:rPr>
        <w:t>_Synd</w:t>
      </w:r>
      <w:r>
        <w:rPr>
          <w:rFonts w:ascii="Times New Roman" w:hAnsi="Times New Roman" w:cs="Times New Roman"/>
          <w:color w:val="231F20"/>
          <w:sz w:val="24"/>
          <w:szCs w:val="24"/>
        </w:rPr>
        <w:t>) measured in millions of dollars, the average maturity months weighted by loan amount (</w:t>
      </w:r>
      <w:r w:rsidRPr="00105F0C">
        <w:rPr>
          <w:rFonts w:ascii="Times New Roman" w:hAnsi="Times New Roman" w:cs="Times New Roman"/>
          <w:i/>
          <w:color w:val="231F20"/>
          <w:sz w:val="24"/>
          <w:szCs w:val="24"/>
        </w:rPr>
        <w:t>Maturity</w:t>
      </w:r>
      <w:r>
        <w:rPr>
          <w:rFonts w:ascii="Times New Roman" w:hAnsi="Times New Roman" w:cs="Times New Roman"/>
          <w:i/>
          <w:color w:val="231F20"/>
          <w:sz w:val="24"/>
          <w:szCs w:val="24"/>
        </w:rPr>
        <w:t>_Synd</w:t>
      </w:r>
      <w:r>
        <w:rPr>
          <w:rFonts w:ascii="Times New Roman" w:hAnsi="Times New Roman" w:cs="Times New Roman"/>
          <w:color w:val="231F20"/>
          <w:sz w:val="24"/>
          <w:szCs w:val="24"/>
        </w:rPr>
        <w:t>), and the percentage of loan amount secured by collateral (</w:t>
      </w:r>
      <w:r w:rsidRPr="00105F0C">
        <w:rPr>
          <w:rFonts w:ascii="Times New Roman" w:hAnsi="Times New Roman" w:cs="Times New Roman"/>
          <w:i/>
          <w:color w:val="231F20"/>
          <w:sz w:val="24"/>
          <w:szCs w:val="24"/>
        </w:rPr>
        <w:t>Secured</w:t>
      </w:r>
      <w:r>
        <w:rPr>
          <w:rFonts w:ascii="Times New Roman" w:hAnsi="Times New Roman" w:cs="Times New Roman"/>
          <w:i/>
          <w:color w:val="231F20"/>
          <w:sz w:val="24"/>
          <w:szCs w:val="24"/>
        </w:rPr>
        <w:t>_Synd</w:t>
      </w:r>
      <w:r>
        <w:rPr>
          <w:rFonts w:ascii="Times New Roman" w:hAnsi="Times New Roman" w:cs="Times New Roman"/>
          <w:color w:val="231F20"/>
          <w:sz w:val="24"/>
          <w:szCs w:val="24"/>
        </w:rPr>
        <w:t>).</w:t>
      </w:r>
    </w:p>
    <w:p w14:paraId="0E76BA39" w14:textId="77777777" w:rsid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518E5154" w14:textId="5E7596E7" w:rsidR="007C3344" w:rsidRDefault="007C3344" w:rsidP="00D44BAE">
      <w:pPr>
        <w:autoSpaceDE w:val="0"/>
        <w:autoSpaceDN w:val="0"/>
        <w:adjustRightInd w:val="0"/>
        <w:spacing w:after="0" w:line="480" w:lineRule="auto"/>
        <w:jc w:val="both"/>
        <w:rPr>
          <w:rFonts w:ascii="Times New Roman" w:hAnsi="Times New Roman" w:cs="Times New Roman"/>
          <w:b/>
          <w:color w:val="231F20"/>
          <w:sz w:val="24"/>
          <w:szCs w:val="24"/>
        </w:rPr>
      </w:pPr>
      <w:r w:rsidRPr="00B46D02">
        <w:rPr>
          <w:rFonts w:ascii="Times New Roman" w:hAnsi="Times New Roman" w:cs="Times New Roman"/>
          <w:b/>
          <w:i/>
          <w:color w:val="231F20"/>
          <w:sz w:val="24"/>
          <w:szCs w:val="24"/>
        </w:rPr>
        <w:t xml:space="preserve">3.4 Macroeconomic </w:t>
      </w:r>
      <w:r w:rsidR="00B46D02" w:rsidRPr="00B46D02">
        <w:rPr>
          <w:rFonts w:ascii="Times New Roman" w:hAnsi="Times New Roman" w:cs="Times New Roman"/>
          <w:b/>
          <w:i/>
          <w:color w:val="231F20"/>
          <w:sz w:val="24"/>
          <w:szCs w:val="24"/>
        </w:rPr>
        <w:t>V</w:t>
      </w:r>
      <w:r w:rsidRPr="00B46D02">
        <w:rPr>
          <w:rFonts w:ascii="Times New Roman" w:hAnsi="Times New Roman" w:cs="Times New Roman"/>
          <w:b/>
          <w:i/>
          <w:color w:val="231F20"/>
          <w:sz w:val="24"/>
          <w:szCs w:val="24"/>
        </w:rPr>
        <w:t xml:space="preserve">ariables and </w:t>
      </w:r>
      <w:r w:rsidR="00B46D02" w:rsidRPr="00B46D02">
        <w:rPr>
          <w:rFonts w:ascii="Times New Roman" w:hAnsi="Times New Roman" w:cs="Times New Roman"/>
          <w:b/>
          <w:i/>
          <w:color w:val="231F20"/>
          <w:sz w:val="24"/>
          <w:szCs w:val="24"/>
        </w:rPr>
        <w:t>Other Control Va</w:t>
      </w:r>
      <w:r w:rsidRPr="00B46D02">
        <w:rPr>
          <w:rFonts w:ascii="Times New Roman" w:hAnsi="Times New Roman" w:cs="Times New Roman"/>
          <w:b/>
          <w:i/>
          <w:color w:val="231F20"/>
          <w:sz w:val="24"/>
          <w:szCs w:val="24"/>
        </w:rPr>
        <w:t>riables</w:t>
      </w:r>
    </w:p>
    <w:p w14:paraId="602B04BE" w14:textId="77777777" w:rsidR="00A05831" w:rsidRP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5BD2D64F" w14:textId="78F73CED" w:rsidR="007C3344" w:rsidRDefault="007C3344" w:rsidP="00D44BAE">
      <w:pPr>
        <w:autoSpaceDE w:val="0"/>
        <w:autoSpaceDN w:val="0"/>
        <w:adjustRightInd w:val="0"/>
        <w:spacing w:after="0" w:line="480" w:lineRule="auto"/>
        <w:ind w:firstLine="720"/>
        <w:jc w:val="both"/>
        <w:rPr>
          <w:rFonts w:ascii="Times New Roman" w:hAnsi="Times New Roman" w:cs="Times New Roman"/>
          <w:sz w:val="24"/>
          <w:szCs w:val="24"/>
          <w:lang w:val="en"/>
        </w:rPr>
      </w:pPr>
      <w:r>
        <w:rPr>
          <w:rFonts w:ascii="Times New Roman" w:hAnsi="Times New Roman" w:cs="Times New Roman"/>
          <w:color w:val="231F20"/>
          <w:sz w:val="24"/>
          <w:szCs w:val="24"/>
        </w:rPr>
        <w:t>Empirical research on bank lending shows that in practice aggregate macroeconomic variables influence both loan demand and supply. We include the federal funds rate (</w:t>
      </w:r>
      <w:r w:rsidRPr="00B35AF2">
        <w:rPr>
          <w:rFonts w:ascii="Times New Roman" w:hAnsi="Times New Roman" w:cs="Times New Roman"/>
          <w:i/>
          <w:color w:val="231F20"/>
          <w:sz w:val="24"/>
          <w:szCs w:val="24"/>
        </w:rPr>
        <w:t>FF_Rate</w:t>
      </w:r>
      <w:r>
        <w:rPr>
          <w:rFonts w:ascii="Times New Roman" w:hAnsi="Times New Roman" w:cs="Times New Roman"/>
          <w:color w:val="231F20"/>
          <w:sz w:val="24"/>
          <w:szCs w:val="24"/>
        </w:rPr>
        <w:t xml:space="preserve">), which is a commonly used measure of monetary policy, </w:t>
      </w:r>
      <w:r>
        <w:rPr>
          <w:rFonts w:ascii="Times New Roman" w:hAnsi="Times New Roman" w:cs="Times New Roman"/>
          <w:color w:val="231F20"/>
          <w:sz w:val="24"/>
          <w:szCs w:val="24"/>
        </w:rPr>
        <w:lastRenderedPageBreak/>
        <w:t>the GDP growth rate (</w:t>
      </w:r>
      <w:r w:rsidRPr="00C93137">
        <w:rPr>
          <w:rFonts w:ascii="Times New Roman" w:hAnsi="Times New Roman" w:cs="Times New Roman"/>
          <w:i/>
          <w:color w:val="231F20"/>
          <w:sz w:val="24"/>
          <w:szCs w:val="24"/>
        </w:rPr>
        <w:t>GDP</w:t>
      </w:r>
      <w:r>
        <w:rPr>
          <w:rFonts w:ascii="Times New Roman" w:hAnsi="Times New Roman" w:cs="Times New Roman"/>
          <w:color w:val="231F20"/>
          <w:sz w:val="24"/>
          <w:szCs w:val="24"/>
        </w:rPr>
        <w:t>) as a measure of business cycle condition, and inflation (</w:t>
      </w:r>
      <w:r w:rsidRPr="00C93137">
        <w:rPr>
          <w:rFonts w:ascii="Times New Roman" w:hAnsi="Times New Roman" w:cs="Times New Roman"/>
          <w:i/>
          <w:color w:val="231F20"/>
          <w:sz w:val="24"/>
          <w:szCs w:val="24"/>
        </w:rPr>
        <w:t>CPI</w:t>
      </w:r>
      <w:r>
        <w:rPr>
          <w:rFonts w:ascii="Times New Roman" w:hAnsi="Times New Roman" w:cs="Times New Roman"/>
          <w:color w:val="231F20"/>
          <w:sz w:val="24"/>
          <w:szCs w:val="24"/>
        </w:rPr>
        <w:t>). In addition, we control for credit spreads (</w:t>
      </w:r>
      <w:r w:rsidRPr="00C93137">
        <w:rPr>
          <w:rFonts w:ascii="Times New Roman" w:hAnsi="Times New Roman" w:cs="Times New Roman"/>
          <w:i/>
          <w:color w:val="231F20"/>
          <w:sz w:val="24"/>
          <w:szCs w:val="24"/>
        </w:rPr>
        <w:t>Credit_Spr</w:t>
      </w:r>
      <w:r>
        <w:rPr>
          <w:rFonts w:ascii="Times New Roman" w:hAnsi="Times New Roman" w:cs="Times New Roman"/>
          <w:color w:val="231F20"/>
          <w:sz w:val="24"/>
          <w:szCs w:val="24"/>
        </w:rPr>
        <w:t xml:space="preserve">) which is defined as the difference between the yields of Baa and Aaa corporate bonds. </w:t>
      </w:r>
      <w:r w:rsidRPr="00D95FA5">
        <w:rPr>
          <w:rFonts w:ascii="Times New Roman" w:hAnsi="Times New Roman" w:cs="Times New Roman"/>
          <w:color w:val="231F20"/>
          <w:sz w:val="24"/>
          <w:szCs w:val="24"/>
        </w:rPr>
        <w:t>Angbazo, Mei, and Saunders</w:t>
      </w:r>
      <w:r>
        <w:rPr>
          <w:rFonts w:ascii="Times New Roman" w:hAnsi="Times New Roman" w:cs="Times New Roman"/>
          <w:color w:val="231F20"/>
          <w:sz w:val="24"/>
          <w:szCs w:val="24"/>
        </w:rPr>
        <w:t xml:space="preserve"> (1998) show that </w:t>
      </w:r>
      <w:r w:rsidRPr="009B012E">
        <w:rPr>
          <w:rFonts w:ascii="Times New Roman" w:hAnsi="Times New Roman" w:cs="Times New Roman"/>
          <w:sz w:val="24"/>
          <w:szCs w:val="24"/>
        </w:rPr>
        <w:t xml:space="preserve">the loan spreads </w:t>
      </w:r>
      <w:r>
        <w:rPr>
          <w:rFonts w:ascii="Times New Roman" w:hAnsi="Times New Roman" w:cs="Times New Roman"/>
          <w:sz w:val="24"/>
          <w:szCs w:val="24"/>
        </w:rPr>
        <w:t>are sensitive to changes in</w:t>
      </w:r>
      <w:r w:rsidRPr="009B012E">
        <w:rPr>
          <w:rFonts w:ascii="Times New Roman" w:hAnsi="Times New Roman" w:cs="Times New Roman"/>
          <w:sz w:val="24"/>
          <w:szCs w:val="24"/>
        </w:rPr>
        <w:t xml:space="preserve"> spreads in</w:t>
      </w:r>
      <w:r>
        <w:rPr>
          <w:rFonts w:ascii="Times New Roman" w:hAnsi="Times New Roman" w:cs="Times New Roman"/>
          <w:sz w:val="24"/>
          <w:szCs w:val="24"/>
        </w:rPr>
        <w:t xml:space="preserve"> </w:t>
      </w:r>
      <w:r w:rsidRPr="009B012E">
        <w:rPr>
          <w:rFonts w:ascii="Times New Roman" w:hAnsi="Times New Roman" w:cs="Times New Roman"/>
          <w:sz w:val="24"/>
          <w:szCs w:val="24"/>
        </w:rPr>
        <w:t>the (competing) corporate bond market</w:t>
      </w:r>
      <w:r w:rsidRPr="00161789">
        <w:rPr>
          <w:rFonts w:ascii="Times New Roman" w:hAnsi="Times New Roman" w:cs="Times New Roman"/>
          <w:sz w:val="24"/>
          <w:szCs w:val="24"/>
        </w:rPr>
        <w:t xml:space="preserve">. </w:t>
      </w:r>
      <w:r>
        <w:rPr>
          <w:rFonts w:ascii="Times New Roman" w:hAnsi="Times New Roman" w:cs="Times New Roman"/>
          <w:sz w:val="24"/>
          <w:szCs w:val="24"/>
        </w:rPr>
        <w:t>We also include t</w:t>
      </w:r>
      <w:r w:rsidRPr="00161789">
        <w:rPr>
          <w:rFonts w:ascii="Times New Roman" w:hAnsi="Times New Roman" w:cs="Times New Roman"/>
          <w:sz w:val="24"/>
          <w:szCs w:val="24"/>
        </w:rPr>
        <w:t>he term spread</w:t>
      </w:r>
      <w:r>
        <w:rPr>
          <w:rFonts w:ascii="Times New Roman" w:hAnsi="Times New Roman" w:cs="Times New Roman"/>
          <w:sz w:val="24"/>
          <w:szCs w:val="24"/>
        </w:rPr>
        <w:t xml:space="preserve"> (</w:t>
      </w:r>
      <w:r w:rsidRPr="00C93137">
        <w:rPr>
          <w:rFonts w:ascii="Times New Roman" w:hAnsi="Times New Roman" w:cs="Times New Roman"/>
          <w:i/>
          <w:sz w:val="24"/>
          <w:szCs w:val="24"/>
        </w:rPr>
        <w:t>Term_Spr</w:t>
      </w:r>
      <w:r>
        <w:rPr>
          <w:rFonts w:ascii="Times New Roman" w:hAnsi="Times New Roman" w:cs="Times New Roman"/>
          <w:sz w:val="24"/>
          <w:szCs w:val="24"/>
        </w:rPr>
        <w:t>) which is defined as the difference between 10-year and 1-year Treasury yields since it is</w:t>
      </w:r>
      <w:r w:rsidRPr="00161789">
        <w:rPr>
          <w:rFonts w:ascii="Times New Roman" w:hAnsi="Times New Roman" w:cs="Times New Roman"/>
          <w:sz w:val="24"/>
          <w:szCs w:val="24"/>
        </w:rPr>
        <w:t xml:space="preserve"> well regarded </w:t>
      </w:r>
      <w:r>
        <w:rPr>
          <w:rFonts w:ascii="Times New Roman" w:hAnsi="Times New Roman" w:cs="Times New Roman"/>
          <w:sz w:val="24"/>
          <w:szCs w:val="24"/>
        </w:rPr>
        <w:t>as</w:t>
      </w:r>
      <w:r w:rsidRPr="00161789">
        <w:rPr>
          <w:rFonts w:ascii="Times New Roman" w:hAnsi="Times New Roman" w:cs="Times New Roman"/>
          <w:sz w:val="24"/>
          <w:szCs w:val="24"/>
        </w:rPr>
        <w:t xml:space="preserve"> a </w:t>
      </w:r>
      <w:r w:rsidRPr="00161789">
        <w:rPr>
          <w:rFonts w:ascii="Times New Roman" w:hAnsi="Times New Roman" w:cs="Times New Roman"/>
          <w:sz w:val="24"/>
          <w:szCs w:val="24"/>
          <w:lang w:val="en"/>
        </w:rPr>
        <w:t>leading indicator and possesse</w:t>
      </w:r>
      <w:r>
        <w:rPr>
          <w:rFonts w:ascii="Times New Roman" w:hAnsi="Times New Roman" w:cs="Times New Roman"/>
          <w:sz w:val="24"/>
          <w:szCs w:val="24"/>
          <w:lang w:val="en"/>
        </w:rPr>
        <w:t>s</w:t>
      </w:r>
      <w:r w:rsidRPr="00161789">
        <w:rPr>
          <w:rFonts w:ascii="Times New Roman" w:hAnsi="Times New Roman" w:cs="Times New Roman"/>
          <w:sz w:val="24"/>
          <w:szCs w:val="24"/>
          <w:lang w:val="en"/>
        </w:rPr>
        <w:t xml:space="preserve"> information on future economic conditions.</w:t>
      </w:r>
      <w:r>
        <w:rPr>
          <w:rFonts w:ascii="Times New Roman" w:hAnsi="Times New Roman" w:cs="Times New Roman"/>
          <w:sz w:val="24"/>
          <w:szCs w:val="24"/>
          <w:lang w:val="en"/>
        </w:rPr>
        <w:t xml:space="preserve"> Finally, we also control for consumers’ sentiment about the economy using the University of Michigan Consumer Sentiment Index (</w:t>
      </w:r>
      <w:r w:rsidRPr="00C93137">
        <w:rPr>
          <w:rFonts w:ascii="Times New Roman" w:hAnsi="Times New Roman" w:cs="Times New Roman"/>
          <w:i/>
          <w:sz w:val="24"/>
          <w:szCs w:val="24"/>
          <w:lang w:val="en"/>
        </w:rPr>
        <w:t>CS</w:t>
      </w:r>
      <w:r>
        <w:rPr>
          <w:rFonts w:ascii="Times New Roman" w:hAnsi="Times New Roman" w:cs="Times New Roman"/>
          <w:i/>
          <w:sz w:val="24"/>
          <w:szCs w:val="24"/>
          <w:lang w:val="en"/>
        </w:rPr>
        <w:t>I</w:t>
      </w:r>
      <w:r>
        <w:rPr>
          <w:rFonts w:ascii="Times New Roman" w:hAnsi="Times New Roman" w:cs="Times New Roman"/>
          <w:sz w:val="24"/>
          <w:szCs w:val="24"/>
          <w:lang w:val="en"/>
        </w:rPr>
        <w:t xml:space="preserve">). </w:t>
      </w:r>
      <w:r w:rsidRPr="002F235B">
        <w:rPr>
          <w:rFonts w:ascii="Times New Roman" w:hAnsi="Times New Roman" w:cs="Times New Roman"/>
          <w:sz w:val="24"/>
          <w:szCs w:val="24"/>
          <w:lang w:val="en"/>
        </w:rPr>
        <w:t xml:space="preserve">These control variables have been commonly used in the </w:t>
      </w:r>
      <w:r>
        <w:rPr>
          <w:rFonts w:ascii="Times New Roman" w:hAnsi="Times New Roman" w:cs="Times New Roman"/>
          <w:sz w:val="24"/>
          <w:szCs w:val="24"/>
          <w:lang w:val="en"/>
        </w:rPr>
        <w:t>literature</w:t>
      </w:r>
      <w:r w:rsidRPr="002F235B">
        <w:rPr>
          <w:rFonts w:ascii="Times New Roman" w:hAnsi="Times New Roman" w:cs="Times New Roman"/>
          <w:sz w:val="24"/>
          <w:szCs w:val="24"/>
          <w:lang w:val="en"/>
        </w:rPr>
        <w:t xml:space="preserve"> (e.g., </w:t>
      </w:r>
      <w:r>
        <w:rPr>
          <w:rFonts w:ascii="Times New Roman" w:hAnsi="Times New Roman" w:cs="Times New Roman"/>
          <w:sz w:val="24"/>
          <w:szCs w:val="24"/>
          <w:lang w:val="en"/>
        </w:rPr>
        <w:t xml:space="preserve">Berger and Udell 2004, Black and Rosen 2016, </w:t>
      </w:r>
      <w:r w:rsidRPr="00CB3090">
        <w:rPr>
          <w:rFonts w:ascii="Times New Roman" w:hAnsi="Times New Roman" w:cs="Times New Roman"/>
          <w:sz w:val="24"/>
          <w:szCs w:val="24"/>
          <w:lang w:val="en"/>
        </w:rPr>
        <w:t>Buch, Eickmeier, and Prieto</w:t>
      </w:r>
      <w:r>
        <w:rPr>
          <w:rFonts w:ascii="Times New Roman" w:hAnsi="Times New Roman" w:cs="Times New Roman"/>
          <w:sz w:val="24"/>
          <w:szCs w:val="24"/>
          <w:lang w:val="en"/>
        </w:rPr>
        <w:t xml:space="preserve"> 2014, Lown and Morgan 2006, </w:t>
      </w:r>
      <w:r w:rsidRPr="00CF2C16">
        <w:rPr>
          <w:rFonts w:ascii="Times New Roman" w:hAnsi="Times New Roman" w:cs="Times New Roman"/>
          <w:sz w:val="24"/>
          <w:szCs w:val="24"/>
          <w:lang w:val="en"/>
        </w:rPr>
        <w:t>Vickery 2008</w:t>
      </w:r>
      <w:r>
        <w:rPr>
          <w:rFonts w:ascii="Times New Roman" w:hAnsi="Times New Roman" w:cs="Times New Roman"/>
          <w:sz w:val="24"/>
          <w:szCs w:val="24"/>
          <w:lang w:val="en"/>
        </w:rPr>
        <w:t>)</w:t>
      </w:r>
      <w:r w:rsidRPr="002F235B">
        <w:rPr>
          <w:rFonts w:ascii="Times New Roman" w:hAnsi="Times New Roman" w:cs="Times New Roman"/>
          <w:sz w:val="24"/>
          <w:szCs w:val="24"/>
          <w:lang w:val="en"/>
        </w:rPr>
        <w:t>.</w:t>
      </w:r>
      <w:r>
        <w:rPr>
          <w:rFonts w:ascii="Times New Roman" w:hAnsi="Times New Roman" w:cs="Times New Roman"/>
          <w:sz w:val="24"/>
          <w:szCs w:val="24"/>
          <w:lang w:val="en"/>
        </w:rPr>
        <w:t xml:space="preserve"> The definitions and sources of all variables used in this article are reported in Table A2.</w:t>
      </w:r>
    </w:p>
    <w:p w14:paraId="427489E3" w14:textId="77777777" w:rsidR="007C3344" w:rsidRDefault="007C3344" w:rsidP="00D44BAE">
      <w:pPr>
        <w:autoSpaceDE w:val="0"/>
        <w:autoSpaceDN w:val="0"/>
        <w:adjustRightInd w:val="0"/>
        <w:spacing w:after="0" w:line="480" w:lineRule="auto"/>
        <w:ind w:firstLineChars="291" w:firstLine="698"/>
        <w:jc w:val="both"/>
        <w:rPr>
          <w:rFonts w:ascii="Times New Roman" w:hAnsi="Times New Roman" w:cs="Times New Roman"/>
          <w:sz w:val="24"/>
          <w:szCs w:val="24"/>
          <w:lang w:val="en"/>
        </w:rPr>
      </w:pPr>
      <w:r>
        <w:rPr>
          <w:rFonts w:ascii="Times New Roman" w:hAnsi="Times New Roman" w:cs="Times New Roman"/>
          <w:sz w:val="24"/>
          <w:szCs w:val="24"/>
          <w:lang w:val="en"/>
        </w:rPr>
        <w:t xml:space="preserve">Preliminary regression of the change in loan volume on </w:t>
      </w:r>
      <w:r w:rsidRPr="006D7142">
        <w:rPr>
          <w:rFonts w:ascii="Times New Roman" w:hAnsi="Times New Roman" w:cs="Times New Roman"/>
          <w:i/>
          <w:sz w:val="24"/>
          <w:szCs w:val="24"/>
          <w:lang w:val="en"/>
        </w:rPr>
        <w:t>logVRP</w:t>
      </w:r>
      <w:r>
        <w:rPr>
          <w:rFonts w:ascii="Times New Roman" w:hAnsi="Times New Roman" w:cs="Times New Roman"/>
          <w:sz w:val="24"/>
          <w:szCs w:val="24"/>
          <w:lang w:val="en"/>
        </w:rPr>
        <w:t xml:space="preserve"> and macroeconomic control variables indicate that many of the control variables are not statistically significant at conventional significance levels. The lack of statistical significance in the macroeconomic variables could be caused by the multicollinearity problem (the correlations between these variables are shown in Panel A of Table 2). To circumvent this issue, we perform principal component analysis (PCA) on all the control variables and obtain six orthogonal factors, which we use as control covariates in subsequent regressions.</w:t>
      </w:r>
    </w:p>
    <w:p w14:paraId="4561B283" w14:textId="77777777" w:rsid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0BDAA69B" w14:textId="410472E3" w:rsidR="007C3344" w:rsidRDefault="007C3344" w:rsidP="00D44BAE">
      <w:pPr>
        <w:autoSpaceDE w:val="0"/>
        <w:autoSpaceDN w:val="0"/>
        <w:adjustRightInd w:val="0"/>
        <w:spacing w:after="0" w:line="480" w:lineRule="auto"/>
        <w:jc w:val="both"/>
        <w:rPr>
          <w:rFonts w:ascii="Times New Roman" w:hAnsi="Times New Roman" w:cs="Times New Roman"/>
          <w:b/>
          <w:color w:val="231F20"/>
          <w:sz w:val="24"/>
          <w:szCs w:val="24"/>
        </w:rPr>
      </w:pPr>
      <w:r w:rsidRPr="00B46D02">
        <w:rPr>
          <w:rFonts w:ascii="Times New Roman" w:hAnsi="Times New Roman" w:cs="Times New Roman"/>
          <w:b/>
          <w:i/>
          <w:color w:val="231F20"/>
          <w:sz w:val="24"/>
          <w:szCs w:val="24"/>
        </w:rPr>
        <w:t>3.5 Descriptive Statistics</w:t>
      </w:r>
    </w:p>
    <w:p w14:paraId="62B839FE" w14:textId="77777777" w:rsidR="00A05831" w:rsidRPr="00A05831" w:rsidRDefault="00A05831" w:rsidP="00D44BAE">
      <w:pPr>
        <w:autoSpaceDE w:val="0"/>
        <w:autoSpaceDN w:val="0"/>
        <w:adjustRightInd w:val="0"/>
        <w:spacing w:after="0" w:line="480" w:lineRule="auto"/>
        <w:jc w:val="both"/>
        <w:rPr>
          <w:rFonts w:ascii="Times New Roman" w:hAnsi="Times New Roman" w:cs="Times New Roman"/>
          <w:b/>
          <w:color w:val="231F20"/>
          <w:sz w:val="24"/>
          <w:szCs w:val="24"/>
        </w:rPr>
      </w:pPr>
    </w:p>
    <w:p w14:paraId="5E363351" w14:textId="11BEF9FB"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Table 1 contains basic statistics of the regression dataset. The average quarterly VRP is 18.26 (percentage-squared) which is very close to the mean value of 18.47 </w:t>
      </w:r>
      <w:r>
        <w:rPr>
          <w:rFonts w:ascii="Times New Roman" w:hAnsi="Times New Roman" w:cs="Times New Roman"/>
          <w:color w:val="231F20"/>
          <w:sz w:val="24"/>
          <w:szCs w:val="24"/>
        </w:rPr>
        <w:lastRenderedPageBreak/>
        <w:t>reported in Bali and Zhou (2016). The median VRP is 15.18 while the highest and lowest are 77.25 and 5.42, respectively. Its distribution becomes less skewed after taking a natural logarithm.</w:t>
      </w:r>
      <w:r w:rsidRPr="000B631A">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The average </w:t>
      </w:r>
      <w:r w:rsidRPr="00504933">
        <w:rPr>
          <w:rFonts w:ascii="Times New Roman" w:hAnsi="Times New Roman" w:cs="Times New Roman"/>
          <w:i/>
          <w:color w:val="231F20"/>
          <w:sz w:val="24"/>
          <w:szCs w:val="24"/>
        </w:rPr>
        <w:t>Standard_LM</w:t>
      </w:r>
      <w:r>
        <w:rPr>
          <w:rFonts w:ascii="Times New Roman" w:hAnsi="Times New Roman" w:cs="Times New Roman"/>
          <w:color w:val="231F20"/>
          <w:sz w:val="24"/>
          <w:szCs w:val="24"/>
        </w:rPr>
        <w:t xml:space="preserve"> is 5.91%, which implies that on average domestic banks are tightening credit standards for C&amp;I loans to large and medium firms; they seem to only tighten their standards on loan size and loan collateral. The average </w:t>
      </w:r>
      <w:r w:rsidRPr="00504933">
        <w:rPr>
          <w:rFonts w:ascii="Times New Roman" w:hAnsi="Times New Roman" w:cs="Times New Roman"/>
          <w:i/>
          <w:color w:val="231F20"/>
          <w:sz w:val="24"/>
          <w:szCs w:val="24"/>
        </w:rPr>
        <w:t>Demand_LM</w:t>
      </w:r>
      <w:r>
        <w:rPr>
          <w:rFonts w:ascii="Times New Roman" w:hAnsi="Times New Roman" w:cs="Times New Roman"/>
          <w:color w:val="231F20"/>
          <w:sz w:val="24"/>
          <w:szCs w:val="24"/>
        </w:rPr>
        <w:t xml:space="preserve"> is -0.2%, suggesting that for the period 1991Q3-2015Q4, on average domestic banks observe a </w:t>
      </w:r>
      <w:r w:rsidRPr="00917D9D">
        <w:rPr>
          <w:rFonts w:ascii="Times New Roman" w:hAnsi="Times New Roman" w:cs="Times New Roman"/>
          <w:color w:val="231F20"/>
          <w:sz w:val="24"/>
          <w:szCs w:val="24"/>
        </w:rPr>
        <w:t>slight</w:t>
      </w:r>
      <w:r>
        <w:rPr>
          <w:rFonts w:ascii="Times New Roman" w:hAnsi="Times New Roman" w:cs="Times New Roman"/>
          <w:color w:val="231F20"/>
          <w:sz w:val="24"/>
          <w:szCs w:val="24"/>
        </w:rPr>
        <w:t xml:space="preserve"> decline in loan demand. In Table 1, we can also find that the distributions of the variables from SLOOS are more skewed than that from the other data sources. The possible reason may be because </w:t>
      </w:r>
      <w:r w:rsidRPr="008929A9">
        <w:rPr>
          <w:rFonts w:ascii="Times New Roman" w:hAnsi="Times New Roman" w:cs="Times New Roman"/>
          <w:color w:val="231F20"/>
          <w:sz w:val="24"/>
          <w:szCs w:val="24"/>
        </w:rPr>
        <w:t xml:space="preserve">the SLOOS is more qualitative in </w:t>
      </w:r>
      <w:r>
        <w:rPr>
          <w:rFonts w:ascii="Times New Roman" w:hAnsi="Times New Roman" w:cs="Times New Roman"/>
          <w:color w:val="231F20"/>
          <w:sz w:val="24"/>
          <w:szCs w:val="24"/>
        </w:rPr>
        <w:t>nature. For this reason, we also use LPC, STBL, and Flow of Funds data to confirm our results albeit the SLOOS data are extensively used in previous studies.</w:t>
      </w:r>
    </w:p>
    <w:p w14:paraId="605B8E4E" w14:textId="7FC5DBB3" w:rsidR="007C3344" w:rsidRDefault="007C3344" w:rsidP="00D44BAE">
      <w:pPr>
        <w:autoSpaceDE w:val="0"/>
        <w:autoSpaceDN w:val="0"/>
        <w:adjustRightInd w:val="0"/>
        <w:spacing w:after="0" w:line="480" w:lineRule="auto"/>
        <w:ind w:firstLine="720"/>
        <w:jc w:val="both"/>
        <w:rPr>
          <w:rFonts w:ascii="Times New Roman" w:hAnsi="Times New Roman" w:cs="Times New Roman"/>
          <w:sz w:val="24"/>
          <w:szCs w:val="24"/>
          <w:lang w:val="en"/>
        </w:rPr>
      </w:pPr>
      <w:r>
        <w:rPr>
          <w:rFonts w:ascii="Times New Roman" w:hAnsi="Times New Roman" w:cs="Times New Roman"/>
          <w:color w:val="231F20"/>
          <w:sz w:val="24"/>
          <w:szCs w:val="24"/>
        </w:rPr>
        <w:t xml:space="preserve">Table 2 presents the correlation matrix for the </w:t>
      </w:r>
      <w:r w:rsidRPr="0090395E">
        <w:rPr>
          <w:rFonts w:ascii="Times New Roman" w:hAnsi="Times New Roman" w:cs="Times New Roman"/>
          <w:color w:val="231F20"/>
          <w:sz w:val="24"/>
          <w:szCs w:val="24"/>
        </w:rPr>
        <w:t xml:space="preserve">variables of interest. </w:t>
      </w:r>
      <w:r>
        <w:rPr>
          <w:rFonts w:ascii="Times New Roman" w:hAnsi="Times New Roman" w:cs="Times New Roman"/>
          <w:color w:val="231F20"/>
          <w:sz w:val="24"/>
          <w:szCs w:val="24"/>
        </w:rPr>
        <w:t>In Panel A t</w:t>
      </w:r>
      <w:r w:rsidRPr="0090395E">
        <w:rPr>
          <w:rFonts w:ascii="Times New Roman" w:hAnsi="Times New Roman" w:cs="Times New Roman"/>
          <w:color w:val="231F20"/>
          <w:sz w:val="24"/>
          <w:szCs w:val="24"/>
        </w:rPr>
        <w:t xml:space="preserve">he </w:t>
      </w:r>
      <w:r>
        <w:rPr>
          <w:rFonts w:ascii="Times New Roman" w:hAnsi="Times New Roman" w:cs="Times New Roman"/>
          <w:color w:val="231F20"/>
          <w:sz w:val="24"/>
          <w:szCs w:val="24"/>
        </w:rPr>
        <w:t xml:space="preserve">correlation (0.63) between our </w:t>
      </w:r>
      <w:r w:rsidRPr="0090395E">
        <w:rPr>
          <w:rFonts w:ascii="Times New Roman" w:hAnsi="Times New Roman" w:cs="Times New Roman"/>
          <w:color w:val="231F20"/>
          <w:sz w:val="24"/>
          <w:szCs w:val="24"/>
        </w:rPr>
        <w:t xml:space="preserve">two loan </w:t>
      </w:r>
      <w:r>
        <w:rPr>
          <w:rFonts w:ascii="Times New Roman" w:hAnsi="Times New Roman" w:cs="Times New Roman"/>
          <w:color w:val="231F20"/>
          <w:sz w:val="24"/>
          <w:szCs w:val="24"/>
        </w:rPr>
        <w:t>volume</w:t>
      </w:r>
      <w:r w:rsidRPr="0090395E">
        <w:rPr>
          <w:rFonts w:ascii="Times New Roman" w:hAnsi="Times New Roman" w:cs="Times New Roman"/>
          <w:color w:val="231F20"/>
          <w:sz w:val="24"/>
          <w:szCs w:val="24"/>
        </w:rPr>
        <w:t xml:space="preserve"> measures, </w:t>
      </w:r>
      <w:r w:rsidRPr="0090395E">
        <w:rPr>
          <w:rFonts w:ascii="Times New Roman" w:hAnsi="Times New Roman" w:cs="Times New Roman"/>
          <w:i/>
          <w:iCs/>
          <w:color w:val="000000"/>
          <w:sz w:val="24"/>
          <w:szCs w:val="24"/>
        </w:rPr>
        <w:t>∆CI_Loan</w:t>
      </w:r>
      <w:r w:rsidRPr="0090395E">
        <w:rPr>
          <w:rFonts w:ascii="Times New Roman" w:hAnsi="Times New Roman" w:cs="Times New Roman"/>
          <w:color w:val="231F20"/>
          <w:sz w:val="24"/>
          <w:szCs w:val="24"/>
        </w:rPr>
        <w:t xml:space="preserve"> and </w:t>
      </w:r>
      <w:r w:rsidRPr="003727A0">
        <w:rPr>
          <w:rFonts w:ascii="Times New Roman" w:hAnsi="Times New Roman" w:cs="Times New Roman" w:hint="eastAsia"/>
          <w:i/>
          <w:iCs/>
          <w:color w:val="000000"/>
          <w:szCs w:val="24"/>
        </w:rPr>
        <w:t>Synd_Loan</w:t>
      </w:r>
      <w:r>
        <w:rPr>
          <w:rFonts w:ascii="Times New Roman" w:hAnsi="Times New Roman" w:cs="Times New Roman"/>
          <w:color w:val="231F20"/>
          <w:sz w:val="24"/>
          <w:szCs w:val="24"/>
        </w:rPr>
        <w:t xml:space="preserve">, are positive and significant. Bank lending standards and loan demand display a negative and significant relationship (-0.7). The uncertainty measure, </w:t>
      </w:r>
      <w:r w:rsidRPr="00BA4E86">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is negatively related to loan volume, </w:t>
      </w:r>
      <w:r w:rsidRPr="0090395E">
        <w:rPr>
          <w:rFonts w:ascii="Times New Roman" w:hAnsi="Times New Roman" w:cs="Times New Roman"/>
          <w:i/>
          <w:iCs/>
          <w:color w:val="000000"/>
          <w:sz w:val="24"/>
          <w:szCs w:val="24"/>
        </w:rPr>
        <w:t>∆CI_Loan</w:t>
      </w:r>
      <w:r w:rsidRPr="0090395E">
        <w:rPr>
          <w:rFonts w:ascii="Times New Roman" w:hAnsi="Times New Roman" w:cs="Times New Roman"/>
          <w:color w:val="231F20"/>
          <w:sz w:val="24"/>
          <w:szCs w:val="24"/>
        </w:rPr>
        <w:t xml:space="preserve"> and </w:t>
      </w:r>
      <w:r w:rsidRPr="003727A0">
        <w:rPr>
          <w:rFonts w:ascii="Times New Roman" w:hAnsi="Times New Roman" w:cs="Times New Roman" w:hint="eastAsia"/>
          <w:i/>
          <w:iCs/>
          <w:color w:val="000000"/>
          <w:szCs w:val="24"/>
        </w:rPr>
        <w:t>Synd_Loan</w:t>
      </w:r>
      <w:r w:rsidRPr="00BA4E86">
        <w:rPr>
          <w:rFonts w:ascii="Times New Roman" w:hAnsi="Times New Roman" w:cs="Times New Roman"/>
          <w:iCs/>
          <w:color w:val="000000"/>
          <w:szCs w:val="24"/>
        </w:rPr>
        <w:t>,</w:t>
      </w:r>
      <w:r w:rsidRPr="00BA4E86">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and loan demand. The correlations are -0.41, -0.39, and -0.53, respectively, and they are all statistically significant at the 1% level. As well, </w:t>
      </w:r>
      <w:r w:rsidRPr="00BA4E86">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is highly correlated with bank lending standards and loan spreads (correlations are 0.59 and 0.67, respectively). These are all consistent with our expectations and imply that heightened economic uncertainty will dampen both bank credit demand and supply. Table 2 shows the correlations between our six control variables and as be seen in the table, most of these variables are highly correlated. High correlations between these variables would mean the regression suffers from the multicollinearity problem, so therefore we use PCA to </w:t>
      </w:r>
      <w:r>
        <w:rPr>
          <w:rFonts w:ascii="Times New Roman" w:hAnsi="Times New Roman" w:cs="Times New Roman"/>
          <w:sz w:val="24"/>
          <w:szCs w:val="24"/>
          <w:lang w:val="en"/>
        </w:rPr>
        <w:t xml:space="preserve">deal with it. In Panel B of Table 2, we show the correlations between the variables of interest and the six orthogonal </w:t>
      </w:r>
      <w:r>
        <w:rPr>
          <w:rFonts w:ascii="Times New Roman" w:hAnsi="Times New Roman" w:cs="Times New Roman"/>
          <w:sz w:val="24"/>
          <w:szCs w:val="24"/>
          <w:lang w:val="en"/>
        </w:rPr>
        <w:lastRenderedPageBreak/>
        <w:t>factors obtained from PCA. It is apparent that the bank lending variables and market uncertainty are most correlated with the second and third principal components (</w:t>
      </w:r>
      <w:r w:rsidRPr="001727C5">
        <w:rPr>
          <w:rFonts w:ascii="Times New Roman" w:hAnsi="Times New Roman" w:cs="Times New Roman"/>
          <w:i/>
          <w:sz w:val="24"/>
          <w:szCs w:val="24"/>
          <w:lang w:val="en"/>
        </w:rPr>
        <w:t>Factor</w:t>
      </w:r>
      <w:r>
        <w:rPr>
          <w:rFonts w:ascii="Times New Roman" w:hAnsi="Times New Roman" w:cs="Times New Roman"/>
          <w:i/>
          <w:sz w:val="24"/>
          <w:szCs w:val="24"/>
          <w:lang w:val="en"/>
        </w:rPr>
        <w:t>2</w:t>
      </w:r>
      <w:r>
        <w:rPr>
          <w:rFonts w:ascii="Times New Roman" w:hAnsi="Times New Roman" w:cs="Times New Roman"/>
          <w:sz w:val="24"/>
          <w:szCs w:val="24"/>
          <w:lang w:val="en"/>
        </w:rPr>
        <w:t xml:space="preserve"> and </w:t>
      </w:r>
      <w:r w:rsidRPr="001727C5">
        <w:rPr>
          <w:rFonts w:ascii="Times New Roman" w:hAnsi="Times New Roman" w:cs="Times New Roman"/>
          <w:i/>
          <w:sz w:val="24"/>
          <w:szCs w:val="24"/>
          <w:lang w:val="en"/>
        </w:rPr>
        <w:t>Factor</w:t>
      </w:r>
      <w:r>
        <w:rPr>
          <w:rFonts w:ascii="Times New Roman" w:hAnsi="Times New Roman" w:cs="Times New Roman"/>
          <w:i/>
          <w:sz w:val="24"/>
          <w:szCs w:val="24"/>
          <w:lang w:val="en"/>
        </w:rPr>
        <w:t>3</w:t>
      </w:r>
      <w:r>
        <w:rPr>
          <w:rFonts w:ascii="Times New Roman" w:hAnsi="Times New Roman" w:cs="Times New Roman"/>
          <w:sz w:val="24"/>
          <w:szCs w:val="24"/>
          <w:lang w:val="en"/>
        </w:rPr>
        <w:t>).</w:t>
      </w:r>
    </w:p>
    <w:p w14:paraId="336F250C" w14:textId="77777777" w:rsidR="007C3344"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-Tables 1 and 2, and Figures 2 and 3 about here -</w:t>
      </w:r>
    </w:p>
    <w:p w14:paraId="49ED079D" w14:textId="648A6A05" w:rsidR="007C3344"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sidRPr="0090395E">
        <w:rPr>
          <w:rFonts w:ascii="Times New Roman" w:hAnsi="Times New Roman" w:cs="Times New Roman"/>
          <w:color w:val="231F20"/>
          <w:sz w:val="24"/>
          <w:szCs w:val="24"/>
        </w:rPr>
        <w:t>Figure 2 shows the time series</w:t>
      </w:r>
      <w:r>
        <w:rPr>
          <w:rFonts w:ascii="Times New Roman" w:hAnsi="Times New Roman" w:cs="Times New Roman"/>
          <w:color w:val="231F20"/>
          <w:sz w:val="24"/>
          <w:szCs w:val="24"/>
        </w:rPr>
        <w:t xml:space="preserve"> plot of the loan volume given by the change in C&amp;I loans obtained from the </w:t>
      </w:r>
      <w:r w:rsidRPr="00AA51F5">
        <w:rPr>
          <w:rFonts w:ascii="Times New Roman" w:hAnsi="Times New Roman" w:cs="Times New Roman"/>
          <w:color w:val="231F20"/>
          <w:sz w:val="24"/>
          <w:szCs w:val="24"/>
        </w:rPr>
        <w:t>Federal Reserve Statistical Release H8</w:t>
      </w:r>
      <w:r>
        <w:rPr>
          <w:rFonts w:ascii="Times New Roman" w:hAnsi="Times New Roman" w:cs="Times New Roman"/>
          <w:color w:val="231F20"/>
          <w:sz w:val="24"/>
          <w:szCs w:val="24"/>
        </w:rPr>
        <w:t xml:space="preserve"> and the quarterly syndicated loan volume. The two series are juxtaposed against the uncertainty measure given by </w:t>
      </w:r>
      <w:r w:rsidRPr="00053FDF">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It can be seen that there is an inverse relationship between the syndicated loan volume and uncertainty. This inverse relationship is not as apparent for the change in C&amp;I loans prior to 2000. Nevertheless in the period after 2000Q1, greater uncertainty is associated with </w:t>
      </w:r>
      <w:r w:rsidRPr="006B4A3A">
        <w:rPr>
          <w:rFonts w:ascii="Times New Roman" w:hAnsi="Times New Roman" w:cs="Times New Roman"/>
          <w:color w:val="231F20"/>
          <w:sz w:val="24"/>
          <w:szCs w:val="24"/>
        </w:rPr>
        <w:t>smaller changes</w:t>
      </w:r>
      <w:r>
        <w:rPr>
          <w:rFonts w:ascii="Times New Roman" w:hAnsi="Times New Roman" w:cs="Times New Roman"/>
          <w:color w:val="231F20"/>
          <w:sz w:val="24"/>
          <w:szCs w:val="24"/>
        </w:rPr>
        <w:t xml:space="preserve"> in C&amp;I loans. Figure 3 illustrates the dynamic of loan supply given by </w:t>
      </w:r>
      <w:r w:rsidRPr="00053FDF">
        <w:rPr>
          <w:rFonts w:ascii="Times New Roman" w:hAnsi="Times New Roman" w:cs="Times New Roman"/>
          <w:i/>
          <w:color w:val="231F20"/>
          <w:sz w:val="24"/>
          <w:szCs w:val="24"/>
        </w:rPr>
        <w:t>Standard_LM</w:t>
      </w:r>
      <w:r>
        <w:rPr>
          <w:rFonts w:ascii="Times New Roman" w:hAnsi="Times New Roman" w:cs="Times New Roman"/>
          <w:color w:val="231F20"/>
          <w:sz w:val="24"/>
          <w:szCs w:val="24"/>
        </w:rPr>
        <w:t xml:space="preserve">, loan demand given by </w:t>
      </w:r>
      <w:r w:rsidRPr="00053FDF">
        <w:rPr>
          <w:rFonts w:ascii="Times New Roman" w:hAnsi="Times New Roman" w:cs="Times New Roman"/>
          <w:i/>
          <w:color w:val="231F20"/>
          <w:sz w:val="24"/>
          <w:szCs w:val="24"/>
        </w:rPr>
        <w:t>Demand_LM</w:t>
      </w:r>
      <w:r>
        <w:rPr>
          <w:rFonts w:ascii="Times New Roman" w:hAnsi="Times New Roman" w:cs="Times New Roman"/>
          <w:color w:val="231F20"/>
          <w:sz w:val="24"/>
          <w:szCs w:val="24"/>
        </w:rPr>
        <w:t xml:space="preserve"> and the uncertainty measure, </w:t>
      </w:r>
      <w:r w:rsidRPr="00053FDF">
        <w:rPr>
          <w:rFonts w:ascii="Times New Roman" w:hAnsi="Times New Roman" w:cs="Times New Roman"/>
          <w:i/>
          <w:color w:val="231F20"/>
          <w:sz w:val="24"/>
          <w:szCs w:val="24"/>
        </w:rPr>
        <w:t>logVRP</w:t>
      </w:r>
      <w:r>
        <w:rPr>
          <w:rFonts w:ascii="Times New Roman" w:hAnsi="Times New Roman" w:cs="Times New Roman"/>
          <w:color w:val="231F20"/>
          <w:sz w:val="24"/>
          <w:szCs w:val="24"/>
        </w:rPr>
        <w:t>. An increase in credit standard which is associated with a fall in loan supply closely matches the fall in loan demand. At the same time, during periods when uncertainty peaks we observe a fall in loan demand and loan supply for which this is reflected by an increase in credit standard. The fall in loan demand is most acute over the 2001 recession and the global financial crisis.</w:t>
      </w:r>
    </w:p>
    <w:p w14:paraId="7697FD15" w14:textId="77777777" w:rsidR="005C263A" w:rsidRDefault="005C263A" w:rsidP="00D44BAE">
      <w:pPr>
        <w:spacing w:after="0" w:line="480" w:lineRule="auto"/>
        <w:rPr>
          <w:rFonts w:ascii="Times New Roman" w:hAnsi="Times New Roman" w:cs="Times New Roman"/>
          <w:b/>
          <w:color w:val="231F20"/>
          <w:sz w:val="24"/>
          <w:szCs w:val="24"/>
        </w:rPr>
      </w:pPr>
    </w:p>
    <w:p w14:paraId="2549EC1A" w14:textId="5DB4A7D8" w:rsidR="007C3344" w:rsidRPr="001604E6" w:rsidRDefault="00C93A04" w:rsidP="00D44BAE">
      <w:pPr>
        <w:spacing w:after="0" w:line="480" w:lineRule="auto"/>
        <w:rPr>
          <w:rFonts w:ascii="Times New Roman" w:hAnsi="Times New Roman" w:cs="Times New Roman"/>
          <w:b/>
          <w:color w:val="231F20"/>
          <w:sz w:val="24"/>
          <w:szCs w:val="24"/>
        </w:rPr>
      </w:pPr>
      <w:r w:rsidRPr="001604E6">
        <w:rPr>
          <w:rFonts w:ascii="Times New Roman" w:hAnsi="Times New Roman" w:cs="Times New Roman"/>
          <w:b/>
          <w:color w:val="231F20"/>
          <w:sz w:val="24"/>
          <w:szCs w:val="24"/>
        </w:rPr>
        <w:t>4. THE IMPACT OF UNCERTAINTY ON BANK LOANS</w:t>
      </w:r>
    </w:p>
    <w:p w14:paraId="2BADBC56" w14:textId="77777777" w:rsidR="005C263A" w:rsidRDefault="005C263A" w:rsidP="00D44BAE">
      <w:pPr>
        <w:spacing w:after="0" w:line="480" w:lineRule="auto"/>
        <w:rPr>
          <w:rFonts w:ascii="Times New Roman" w:hAnsi="Times New Roman" w:cs="Times New Roman"/>
          <w:b/>
          <w:color w:val="231F20"/>
          <w:sz w:val="24"/>
          <w:szCs w:val="24"/>
        </w:rPr>
      </w:pPr>
    </w:p>
    <w:p w14:paraId="1FF361A9" w14:textId="031B0F21" w:rsidR="007C3344" w:rsidRDefault="007C3344" w:rsidP="00D44BAE">
      <w:pPr>
        <w:spacing w:after="0" w:line="480" w:lineRule="auto"/>
        <w:rPr>
          <w:rFonts w:ascii="Times New Roman" w:hAnsi="Times New Roman" w:cs="Times New Roman"/>
          <w:b/>
          <w:color w:val="231F20"/>
          <w:sz w:val="24"/>
          <w:szCs w:val="24"/>
        </w:rPr>
      </w:pPr>
      <w:r w:rsidRPr="00B46D02">
        <w:rPr>
          <w:rFonts w:ascii="Times New Roman" w:hAnsi="Times New Roman" w:cs="Times New Roman"/>
          <w:b/>
          <w:i/>
          <w:color w:val="231F20"/>
          <w:sz w:val="24"/>
          <w:szCs w:val="24"/>
        </w:rPr>
        <w:t>4.1 Single-</w:t>
      </w:r>
      <w:r w:rsidR="00B46D02" w:rsidRPr="00B46D02">
        <w:rPr>
          <w:rFonts w:ascii="Times New Roman" w:hAnsi="Times New Roman" w:cs="Times New Roman"/>
          <w:b/>
          <w:i/>
          <w:color w:val="231F20"/>
          <w:sz w:val="24"/>
          <w:szCs w:val="24"/>
        </w:rPr>
        <w:t>Equation Regression Fr</w:t>
      </w:r>
      <w:r w:rsidRPr="00B46D02">
        <w:rPr>
          <w:rFonts w:ascii="Times New Roman" w:hAnsi="Times New Roman" w:cs="Times New Roman"/>
          <w:b/>
          <w:i/>
          <w:color w:val="231F20"/>
          <w:sz w:val="24"/>
          <w:szCs w:val="24"/>
        </w:rPr>
        <w:t>amework</w:t>
      </w:r>
    </w:p>
    <w:p w14:paraId="402018B0" w14:textId="77777777" w:rsidR="00B46D02" w:rsidRPr="00B46D02" w:rsidRDefault="00B46D02" w:rsidP="00D44BAE">
      <w:pPr>
        <w:spacing w:after="0" w:line="480" w:lineRule="auto"/>
        <w:rPr>
          <w:rFonts w:ascii="Times New Roman" w:hAnsi="Times New Roman" w:cs="Times New Roman"/>
          <w:b/>
          <w:color w:val="231F20"/>
          <w:sz w:val="24"/>
          <w:szCs w:val="24"/>
        </w:rPr>
      </w:pPr>
    </w:p>
    <w:p w14:paraId="56F65D6B" w14:textId="2EA420B3" w:rsidR="007C3344" w:rsidRDefault="007C3344" w:rsidP="00D44BAE">
      <w:pPr>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The basic empirical approach is to execute a time-series regression relating loan quantity, loan demand and supply, and loan spreads to uncertainty measure. Specifically, we estimate the following regression:</w:t>
      </w:r>
    </w:p>
    <w:p w14:paraId="446AC795" w14:textId="0D238B36" w:rsidR="007C3344" w:rsidRDefault="00C64E14" w:rsidP="00D44BAE">
      <w:pPr>
        <w:spacing w:after="0" w:line="480" w:lineRule="auto"/>
        <w:ind w:left="720" w:hanging="6"/>
        <w:jc w:val="both"/>
        <w:rPr>
          <w:rFonts w:ascii="Times New Roman" w:hAnsi="Times New Roman" w:cs="Times New Roman"/>
          <w:color w:val="231F20"/>
          <w:sz w:val="24"/>
          <w:szCs w:val="24"/>
        </w:rPr>
      </w:pPr>
      <m:oMath>
        <m:sSub>
          <m:sSubPr>
            <m:ctrlPr>
              <w:rPr>
                <w:rFonts w:ascii="Cambria Math" w:hAnsi="Cambria Math" w:cs="Times New Roman"/>
                <w:i/>
                <w:color w:val="231F20"/>
                <w:sz w:val="24"/>
                <w:szCs w:val="24"/>
              </w:rPr>
            </m:ctrlPr>
          </m:sSubPr>
          <m:e>
            <m:r>
              <m:rPr>
                <m:nor/>
              </m:rPr>
              <w:rPr>
                <w:rFonts w:ascii="Cambria Math" w:hAnsi="Times New Roman" w:cs="Times New Roman"/>
                <w:i/>
                <w:color w:val="231F20"/>
                <w:sz w:val="24"/>
                <w:szCs w:val="24"/>
              </w:rPr>
              <m:t>Y</m:t>
            </m:r>
          </m:e>
          <m:sub>
            <m:r>
              <m:rPr>
                <m:nor/>
              </m:rPr>
              <w:rPr>
                <w:rFonts w:ascii="Times New Roman" w:hAnsi="Times New Roman" w:cs="Times New Roman"/>
                <w:i/>
                <w:color w:val="231F20"/>
                <w:sz w:val="24"/>
                <w:szCs w:val="24"/>
              </w:rPr>
              <m:t>t</m:t>
            </m:r>
          </m:sub>
        </m:sSub>
        <m:r>
          <m:rPr>
            <m:nor/>
          </m:rPr>
          <w:rPr>
            <w:rFonts w:ascii="Times New Roman" w:hAnsi="Times New Roman" w:cs="Times New Roman"/>
            <w:i/>
            <w:color w:val="231F20"/>
            <w:sz w:val="24"/>
            <w:szCs w:val="24"/>
          </w:rPr>
          <m:t xml:space="preserve"> = α + β</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logVRP</m:t>
            </m:r>
          </m:e>
          <m:sub>
            <m:r>
              <m:rPr>
                <m:nor/>
              </m:rPr>
              <w:rPr>
                <w:rFonts w:ascii="Times New Roman" w:hAnsi="Times New Roman" w:cs="Times New Roman"/>
                <w:i/>
                <w:color w:val="231F20"/>
                <w:sz w:val="24"/>
                <w:szCs w:val="24"/>
              </w:rPr>
              <m:t>t-</m:t>
            </m:r>
            <m:r>
              <m:rPr>
                <m:nor/>
              </m:rPr>
              <w:rPr>
                <w:rFonts w:ascii="Times New Roman" w:hAnsi="Times New Roman" w:cs="Times New Roman"/>
                <w:color w:val="231F20"/>
                <w:sz w:val="24"/>
                <w:szCs w:val="24"/>
              </w:rPr>
              <m:t>1</m:t>
            </m:r>
          </m:sub>
        </m:sSub>
        <m:r>
          <m:rPr>
            <m:nor/>
          </m:rPr>
          <w:rPr>
            <w:rFonts w:ascii="Times New Roman" w:hAnsi="Times New Roman" w:cs="Times New Roman"/>
            <w:i/>
            <w:color w:val="231F20"/>
            <w:sz w:val="24"/>
            <w:szCs w:val="24"/>
          </w:rPr>
          <m:t xml:space="preserve">+ </m:t>
        </m:r>
        <m:r>
          <m:rPr>
            <m:nor/>
          </m:rPr>
          <w:rPr>
            <w:rFonts w:ascii="Times New Roman" w:hAnsi="Times New Roman" w:cs="Times New Roman"/>
            <w:b/>
            <w:i/>
            <w:color w:val="231F20"/>
            <w:sz w:val="24"/>
            <w:szCs w:val="24"/>
          </w:rPr>
          <m:t xml:space="preserve">XΓ </m:t>
        </m:r>
        <m:r>
          <m:rPr>
            <m:nor/>
          </m:rPr>
          <w:rPr>
            <w:rFonts w:ascii="Times New Roman"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ε</m:t>
            </m:r>
          </m:e>
          <m:sub>
            <m:r>
              <m:rPr>
                <m:nor/>
              </m:rPr>
              <w:rPr>
                <w:rFonts w:ascii="Times New Roman" w:hAnsi="Times New Roman" w:cs="Times New Roman"/>
                <w:i/>
                <w:color w:val="231F20"/>
                <w:sz w:val="24"/>
                <w:szCs w:val="24"/>
              </w:rPr>
              <m:t>t</m:t>
            </m:r>
          </m:sub>
        </m:sSub>
        <m:r>
          <m:rPr>
            <m:nor/>
          </m:rPr>
          <w:rPr>
            <w:rFonts w:ascii="Times New Roman" w:hAnsi="Times New Roman" w:cs="Times New Roman"/>
            <w:color w:val="231F20"/>
            <w:sz w:val="24"/>
            <w:szCs w:val="24"/>
          </w:rPr>
          <m:t>,</m:t>
        </m:r>
      </m:oMath>
      <w:r w:rsidR="007C3344">
        <w:rPr>
          <w:rFonts w:ascii="Times New Roman" w:eastAsiaTheme="minorEastAsia" w:hAnsi="Times New Roman" w:cs="Times New Roman"/>
          <w:color w:val="231F20"/>
          <w:sz w:val="24"/>
          <w:szCs w:val="24"/>
        </w:rPr>
        <w:t xml:space="preserve"> </w:t>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t>(1)</w:t>
      </w:r>
    </w:p>
    <w:p w14:paraId="4F7786AE" w14:textId="74F59AC8" w:rsidR="007C3344" w:rsidRPr="006B54E9" w:rsidRDefault="007C3344" w:rsidP="00D44BAE">
      <w:pPr>
        <w:spacing w:after="0" w:line="480" w:lineRule="auto"/>
        <w:jc w:val="both"/>
        <w:rPr>
          <w:rFonts w:ascii="Times New Roman" w:hAnsi="Times New Roman" w:cs="Times New Roman"/>
          <w:color w:val="231F20"/>
          <w:sz w:val="24"/>
          <w:szCs w:val="24"/>
        </w:rPr>
      </w:pPr>
      <w:r>
        <w:rPr>
          <w:rFonts w:ascii="Times New Roman" w:hAnsi="Times New Roman" w:cs="Times New Roman"/>
          <w:color w:val="231F20"/>
          <w:sz w:val="24"/>
          <w:szCs w:val="24"/>
        </w:rPr>
        <w:t>where</w:t>
      </w:r>
      <w:r>
        <w:rPr>
          <w:rFonts w:ascii="Times New Roman" w:eastAsiaTheme="minorEastAsia" w:hAnsi="Times New Roman" w:cs="Times New Roman"/>
          <w:color w:val="231F20"/>
          <w:sz w:val="24"/>
          <w:szCs w:val="24"/>
        </w:rPr>
        <w:t xml:space="preserve"> </w:t>
      </w:r>
      <m:oMath>
        <m:sSub>
          <m:sSubPr>
            <m:ctrlPr>
              <w:rPr>
                <w:rFonts w:ascii="Cambria Math" w:hAnsi="Cambria Math" w:cs="Times New Roman"/>
                <w:i/>
                <w:color w:val="231F20"/>
                <w:sz w:val="24"/>
                <w:szCs w:val="24"/>
              </w:rPr>
            </m:ctrlPr>
          </m:sSubPr>
          <m:e>
            <m:r>
              <m:rPr>
                <m:nor/>
              </m:rPr>
              <w:rPr>
                <w:rFonts w:ascii="Cambria Math" w:hAnsi="Times New Roman" w:cs="Times New Roman"/>
                <w:i/>
                <w:color w:val="231F20"/>
                <w:sz w:val="24"/>
                <w:szCs w:val="24"/>
              </w:rPr>
              <m:t>Y</m:t>
            </m:r>
          </m:e>
          <m:sub>
            <m:r>
              <m:rPr>
                <m:nor/>
              </m:rPr>
              <w:rPr>
                <w:rFonts w:ascii="Times New Roman" w:hAnsi="Times New Roman" w:cs="Times New Roman"/>
                <w:i/>
                <w:color w:val="231F20"/>
                <w:sz w:val="24"/>
                <w:szCs w:val="24"/>
              </w:rPr>
              <m:t>t</m:t>
            </m:r>
          </m:sub>
        </m:sSub>
      </m:oMath>
      <w:r>
        <w:rPr>
          <w:rFonts w:ascii="Times New Roman" w:hAnsi="Times New Roman" w:cs="Times New Roman" w:hint="eastAsia"/>
          <w:color w:val="231F20"/>
          <w:sz w:val="24"/>
          <w:szCs w:val="24"/>
          <w:lang w:eastAsia="zh-TW"/>
        </w:rPr>
        <w:t xml:space="preserve"> </w:t>
      </w:r>
      <w:r>
        <w:rPr>
          <w:rFonts w:ascii="Times New Roman" w:eastAsiaTheme="minorEastAsia" w:hAnsi="Times New Roman" w:cs="Times New Roman"/>
          <w:color w:val="231F20"/>
          <w:sz w:val="24"/>
          <w:szCs w:val="24"/>
        </w:rPr>
        <w:t xml:space="preserve">comprises </w:t>
      </w:r>
      <w:r w:rsidRPr="008A3A2F">
        <w:rPr>
          <w:rFonts w:ascii="Times New Roman" w:eastAsiaTheme="minorEastAsia" w:hAnsi="Times New Roman" w:cs="Times New Roman"/>
          <w:i/>
          <w:color w:val="231F20"/>
          <w:sz w:val="24"/>
          <w:szCs w:val="24"/>
        </w:rPr>
        <w:t xml:space="preserve">Loan </w:t>
      </w:r>
      <w:r>
        <w:rPr>
          <w:rFonts w:ascii="Times New Roman" w:eastAsiaTheme="minorEastAsia" w:hAnsi="Times New Roman" w:cs="Times New Roman"/>
          <w:i/>
          <w:color w:val="231F20"/>
          <w:sz w:val="24"/>
          <w:szCs w:val="24"/>
        </w:rPr>
        <w:t>quantity</w:t>
      </w:r>
      <w:r>
        <w:rPr>
          <w:rFonts w:ascii="Times New Roman" w:eastAsiaTheme="minorEastAsia" w:hAnsi="Times New Roman" w:cs="Times New Roman"/>
          <w:color w:val="231F20"/>
          <w:sz w:val="24"/>
          <w:szCs w:val="24"/>
        </w:rPr>
        <w:t xml:space="preserve"> = {∆</w:t>
      </w:r>
      <w:r w:rsidRPr="008A3A2F">
        <w:rPr>
          <w:rFonts w:ascii="Times New Roman" w:eastAsiaTheme="minorEastAsia" w:hAnsi="Times New Roman" w:cs="Times New Roman"/>
          <w:i/>
          <w:color w:val="231F20"/>
          <w:sz w:val="24"/>
          <w:szCs w:val="24"/>
        </w:rPr>
        <w:t>CI_Loan</w:t>
      </w:r>
      <w:r>
        <w:rPr>
          <w:rFonts w:ascii="Times New Roman" w:eastAsiaTheme="minorEastAsia" w:hAnsi="Times New Roman" w:cs="Times New Roman"/>
          <w:color w:val="231F20"/>
          <w:sz w:val="24"/>
          <w:szCs w:val="24"/>
        </w:rPr>
        <w:t xml:space="preserve">, </w:t>
      </w:r>
      <w:r w:rsidRPr="008A3A2F">
        <w:rPr>
          <w:rFonts w:ascii="Times New Roman" w:eastAsiaTheme="minorEastAsia" w:hAnsi="Times New Roman" w:cs="Times New Roman"/>
          <w:i/>
          <w:color w:val="231F20"/>
          <w:sz w:val="24"/>
          <w:szCs w:val="24"/>
        </w:rPr>
        <w:t>Synd_Loan</w:t>
      </w:r>
      <w:r>
        <w:rPr>
          <w:rFonts w:ascii="Times New Roman" w:eastAsiaTheme="minorEastAsia" w:hAnsi="Times New Roman" w:cs="Times New Roman"/>
          <w:color w:val="231F20"/>
          <w:sz w:val="24"/>
          <w:szCs w:val="24"/>
        </w:rPr>
        <w:t xml:space="preserve">}, </w:t>
      </w:r>
      <w:r w:rsidRPr="006002D5">
        <w:rPr>
          <w:rFonts w:ascii="Times New Roman" w:hAnsi="Times New Roman" w:cs="Times New Roman"/>
          <w:i/>
          <w:color w:val="231F20"/>
          <w:sz w:val="24"/>
          <w:szCs w:val="24"/>
        </w:rPr>
        <w:t>Standard_LM</w:t>
      </w:r>
      <w:r>
        <w:rPr>
          <w:rFonts w:ascii="Times New Roman" w:hAnsi="Times New Roman" w:cs="Times New Roman"/>
          <w:color w:val="231F20"/>
          <w:sz w:val="24"/>
          <w:szCs w:val="24"/>
        </w:rPr>
        <w:t xml:space="preserve"> (or </w:t>
      </w:r>
      <w:r w:rsidRPr="006002D5">
        <w:rPr>
          <w:rFonts w:ascii="Times New Roman" w:hAnsi="Times New Roman" w:cs="Times New Roman"/>
          <w:i/>
          <w:color w:val="231F20"/>
          <w:sz w:val="24"/>
          <w:szCs w:val="24"/>
        </w:rPr>
        <w:t>Standard_S</w:t>
      </w:r>
      <w:r>
        <w:rPr>
          <w:rFonts w:ascii="Times New Roman" w:hAnsi="Times New Roman" w:cs="Times New Roman"/>
          <w:color w:val="231F20"/>
          <w:sz w:val="24"/>
          <w:szCs w:val="24"/>
        </w:rPr>
        <w:t xml:space="preserve">) for loan supply and </w:t>
      </w:r>
      <w:r w:rsidRPr="006002D5">
        <w:rPr>
          <w:rFonts w:ascii="Times New Roman" w:hAnsi="Times New Roman" w:cs="Times New Roman"/>
          <w:i/>
          <w:color w:val="231F20"/>
          <w:sz w:val="24"/>
          <w:szCs w:val="24"/>
        </w:rPr>
        <w:t>Demand_LM</w:t>
      </w:r>
      <w:r>
        <w:rPr>
          <w:rFonts w:ascii="Times New Roman" w:hAnsi="Times New Roman" w:cs="Times New Roman"/>
          <w:color w:val="231F20"/>
          <w:sz w:val="24"/>
          <w:szCs w:val="24"/>
        </w:rPr>
        <w:t xml:space="preserve"> (or </w:t>
      </w:r>
      <w:r w:rsidRPr="006002D5">
        <w:rPr>
          <w:rFonts w:ascii="Times New Roman" w:hAnsi="Times New Roman" w:cs="Times New Roman"/>
          <w:i/>
          <w:color w:val="231F20"/>
          <w:sz w:val="24"/>
          <w:szCs w:val="24"/>
        </w:rPr>
        <w:t>Demand_S</w:t>
      </w:r>
      <w:r>
        <w:rPr>
          <w:rFonts w:ascii="Times New Roman" w:hAnsi="Times New Roman" w:cs="Times New Roman"/>
          <w:color w:val="231F20"/>
          <w:sz w:val="24"/>
          <w:szCs w:val="24"/>
        </w:rPr>
        <w:t xml:space="preserve">) for loan demand, and </w:t>
      </w:r>
      <w:r w:rsidRPr="00ED2773">
        <w:rPr>
          <w:rFonts w:ascii="Times New Roman" w:hAnsi="Times New Roman" w:cs="Times New Roman"/>
          <w:i/>
          <w:color w:val="231F20"/>
          <w:sz w:val="24"/>
          <w:szCs w:val="24"/>
        </w:rPr>
        <w:t>Loan Spread</w:t>
      </w:r>
      <w:r>
        <w:rPr>
          <w:rFonts w:ascii="Times New Roman" w:hAnsi="Times New Roman" w:cs="Times New Roman"/>
          <w:color w:val="231F20"/>
          <w:sz w:val="24"/>
          <w:szCs w:val="24"/>
        </w:rPr>
        <w:t xml:space="preserve"> = {</w:t>
      </w:r>
      <w:r w:rsidRPr="00ED2773">
        <w:rPr>
          <w:rFonts w:ascii="Times New Roman" w:hAnsi="Times New Roman" w:cs="Times New Roman"/>
          <w:i/>
          <w:color w:val="231F20"/>
          <w:sz w:val="24"/>
          <w:szCs w:val="24"/>
        </w:rPr>
        <w:t>Spr_LM</w:t>
      </w:r>
      <w:r>
        <w:rPr>
          <w:rFonts w:ascii="Times New Roman" w:hAnsi="Times New Roman" w:cs="Times New Roman"/>
          <w:color w:val="231F20"/>
          <w:sz w:val="24"/>
          <w:szCs w:val="24"/>
        </w:rPr>
        <w:t xml:space="preserve">, </w:t>
      </w:r>
      <w:r w:rsidRPr="00ED2773">
        <w:rPr>
          <w:rFonts w:ascii="Times New Roman" w:hAnsi="Times New Roman" w:cs="Times New Roman"/>
          <w:i/>
          <w:color w:val="231F20"/>
          <w:sz w:val="24"/>
          <w:szCs w:val="24"/>
        </w:rPr>
        <w:t>Spr_S</w:t>
      </w:r>
      <w:r>
        <w:rPr>
          <w:rFonts w:ascii="Times New Roman" w:hAnsi="Times New Roman" w:cs="Times New Roman"/>
          <w:color w:val="231F20"/>
          <w:sz w:val="24"/>
          <w:szCs w:val="24"/>
        </w:rPr>
        <w:t xml:space="preserve">, </w:t>
      </w:r>
      <w:r w:rsidRPr="00ED2773">
        <w:rPr>
          <w:rFonts w:ascii="Times New Roman" w:hAnsi="Times New Roman" w:cs="Times New Roman"/>
          <w:i/>
          <w:color w:val="231F20"/>
          <w:sz w:val="24"/>
          <w:szCs w:val="24"/>
        </w:rPr>
        <w:t>Loan_Spr</w:t>
      </w:r>
      <w:r>
        <w:rPr>
          <w:rFonts w:ascii="Times New Roman" w:hAnsi="Times New Roman" w:cs="Times New Roman"/>
          <w:color w:val="231F20"/>
          <w:sz w:val="24"/>
          <w:szCs w:val="24"/>
        </w:rPr>
        <w:t xml:space="preserve">, </w:t>
      </w:r>
      <w:r w:rsidRPr="00ED2773">
        <w:rPr>
          <w:rFonts w:ascii="Times New Roman" w:hAnsi="Times New Roman" w:cs="Times New Roman"/>
          <w:i/>
          <w:color w:val="231F20"/>
          <w:sz w:val="24"/>
          <w:szCs w:val="24"/>
        </w:rPr>
        <w:t>Spr_Synd</w:t>
      </w:r>
      <w:r>
        <w:rPr>
          <w:rFonts w:ascii="Times New Roman" w:hAnsi="Times New Roman" w:cs="Times New Roman"/>
          <w:color w:val="231F20"/>
          <w:sz w:val="24"/>
          <w:szCs w:val="24"/>
        </w:rPr>
        <w:t>}. Here,</w:t>
      </w:r>
      <w:r w:rsidRPr="008A3A2F">
        <w:rPr>
          <w:rFonts w:ascii="Times New Roman" w:eastAsiaTheme="minorEastAsia" w:hAnsi="Times New Roman" w:cs="Times New Roman"/>
          <w:b/>
          <w:i/>
          <w:color w:val="231F20"/>
          <w:sz w:val="24"/>
          <w:szCs w:val="24"/>
        </w:rPr>
        <w:t xml:space="preserve"> X</w:t>
      </w:r>
      <w:r>
        <w:rPr>
          <w:rFonts w:ascii="Times New Roman" w:eastAsiaTheme="minorEastAsia" w:hAnsi="Times New Roman" w:cs="Times New Roman"/>
          <w:color w:val="231F20"/>
          <w:sz w:val="24"/>
          <w:szCs w:val="24"/>
        </w:rPr>
        <w:t xml:space="preserve"> is the data matrix of six orthogonal factors which are obtained from the principal</w:t>
      </w:r>
      <w:r>
        <w:rPr>
          <w:rFonts w:ascii="Times New Roman" w:hAnsi="Times New Roman" w:cs="Times New Roman"/>
          <w:color w:val="231F20"/>
          <w:sz w:val="24"/>
          <w:szCs w:val="24"/>
        </w:rPr>
        <w:t xml:space="preserve"> component of the macroeconomic variables.  </w:t>
      </w:r>
      <w:r w:rsidRPr="008A3A2F">
        <w:rPr>
          <w:rFonts w:ascii="Times New Roman" w:hAnsi="Times New Roman" w:cs="Times New Roman"/>
          <w:b/>
          <w:i/>
          <w:color w:val="231F20"/>
          <w:sz w:val="24"/>
          <w:szCs w:val="24"/>
        </w:rPr>
        <w:t>Γ</w:t>
      </w:r>
      <w:r>
        <w:rPr>
          <w:rFonts w:ascii="Times New Roman" w:hAnsi="Times New Roman" w:cs="Times New Roman"/>
          <w:color w:val="231F20"/>
          <w:sz w:val="24"/>
          <w:szCs w:val="24"/>
        </w:rPr>
        <w:t xml:space="preserve"> is the corresponding vector of coefficients for the orthogonal factors. Using one quarter lag of </w:t>
      </w:r>
      <w:r w:rsidRPr="006B54E9">
        <w:rPr>
          <w:rFonts w:ascii="Times New Roman" w:hAnsi="Times New Roman" w:cs="Times New Roman"/>
          <w:i/>
          <w:color w:val="231F20"/>
          <w:sz w:val="24"/>
          <w:szCs w:val="24"/>
        </w:rPr>
        <w:t>log</w:t>
      </w:r>
      <m:oMath>
        <m:r>
          <w:rPr>
            <w:rFonts w:ascii="Cambria Math" w:hAnsi="Cambria Math" w:cs="Times New Roman"/>
            <w:color w:val="231F20"/>
            <w:sz w:val="24"/>
            <w:szCs w:val="24"/>
          </w:rPr>
          <m:t>VRP</m:t>
        </m:r>
      </m:oMath>
      <w:r>
        <w:rPr>
          <w:rFonts w:ascii="Times New Roman" w:hAnsi="Times New Roman" w:cs="Times New Roman"/>
          <w:i/>
          <w:color w:val="231F20"/>
          <w:sz w:val="24"/>
          <w:szCs w:val="24"/>
        </w:rPr>
        <w:t xml:space="preserve"> </w:t>
      </w:r>
      <w:r>
        <w:rPr>
          <w:rFonts w:ascii="Times New Roman" w:hAnsi="Times New Roman" w:cs="Times New Roman"/>
          <w:color w:val="231F20"/>
          <w:sz w:val="24"/>
          <w:szCs w:val="24"/>
        </w:rPr>
        <w:t>helps mitigate possible reverse causality of loan variables on the VRP. During a crisis period, uncertain credit availability presents a major source of uncertainty that could translate into a higher VRP. The above predictability regression framework is similar to that of Fama and French (1989). For robustness and to accommodate the lead-lag relationship between variables of interest, we also estimate a structural vector autoregressive model in Section 4.3.</w:t>
      </w:r>
    </w:p>
    <w:p w14:paraId="37769C1A" w14:textId="77777777" w:rsidR="007C3344" w:rsidRPr="001B73A3"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-Table 3 about here -</w:t>
      </w:r>
    </w:p>
    <w:p w14:paraId="5C4F5195" w14:textId="4EBA0A6E" w:rsidR="001A71F3" w:rsidRDefault="007C3344" w:rsidP="00D44BAE">
      <w:pPr>
        <w:spacing w:after="0" w:line="480" w:lineRule="auto"/>
        <w:ind w:firstLine="720"/>
        <w:jc w:val="both"/>
        <w:rPr>
          <w:rFonts w:ascii="Times New Roman" w:hAnsi="Times New Roman" w:cs="Times New Roman"/>
          <w:iCs/>
          <w:color w:val="000000"/>
          <w:sz w:val="24"/>
          <w:szCs w:val="24"/>
        </w:rPr>
      </w:pPr>
      <w:r w:rsidRPr="004447FB">
        <w:rPr>
          <w:rFonts w:ascii="Times New Roman" w:hAnsi="Times New Roman" w:cs="Times New Roman"/>
          <w:color w:val="231F20"/>
          <w:sz w:val="24"/>
          <w:szCs w:val="24"/>
        </w:rPr>
        <w:t xml:space="preserve">Table </w:t>
      </w:r>
      <w:r>
        <w:rPr>
          <w:rFonts w:ascii="Times New Roman" w:hAnsi="Times New Roman" w:cs="Times New Roman"/>
          <w:color w:val="231F20"/>
          <w:sz w:val="24"/>
          <w:szCs w:val="24"/>
        </w:rPr>
        <w:t xml:space="preserve">3 Panel A </w:t>
      </w:r>
      <w:r w:rsidRPr="004447FB">
        <w:rPr>
          <w:rFonts w:ascii="Times New Roman" w:hAnsi="Times New Roman" w:cs="Times New Roman"/>
          <w:color w:val="231F20"/>
          <w:sz w:val="24"/>
          <w:szCs w:val="24"/>
        </w:rPr>
        <w:t xml:space="preserve">shows the response of loan </w:t>
      </w:r>
      <w:r>
        <w:rPr>
          <w:rFonts w:ascii="Times New Roman" w:hAnsi="Times New Roman" w:cs="Times New Roman"/>
          <w:color w:val="231F20"/>
          <w:sz w:val="24"/>
          <w:szCs w:val="24"/>
        </w:rPr>
        <w:t>quantity</w:t>
      </w:r>
      <w:r w:rsidRPr="004447FB">
        <w:rPr>
          <w:rFonts w:ascii="Times New Roman" w:hAnsi="Times New Roman" w:cs="Times New Roman"/>
          <w:color w:val="231F20"/>
          <w:sz w:val="24"/>
          <w:szCs w:val="24"/>
        </w:rPr>
        <w:t xml:space="preserve"> as measu</w:t>
      </w:r>
      <w:r>
        <w:rPr>
          <w:rFonts w:ascii="Times New Roman" w:hAnsi="Times New Roman" w:cs="Times New Roman"/>
          <w:color w:val="231F20"/>
          <w:sz w:val="24"/>
          <w:szCs w:val="24"/>
        </w:rPr>
        <w:t>r</w:t>
      </w:r>
      <w:r w:rsidRPr="004447FB">
        <w:rPr>
          <w:rFonts w:ascii="Times New Roman" w:hAnsi="Times New Roman" w:cs="Times New Roman"/>
          <w:color w:val="231F20"/>
          <w:sz w:val="24"/>
          <w:szCs w:val="24"/>
        </w:rPr>
        <w:t xml:space="preserve">ed by </w:t>
      </w:r>
      <w:r w:rsidRPr="00DD29D9">
        <w:rPr>
          <w:rFonts w:ascii="Times New Roman" w:hAnsi="Times New Roman" w:cs="Times New Roman"/>
          <w:iCs/>
          <w:color w:val="000000"/>
          <w:sz w:val="24"/>
          <w:szCs w:val="24"/>
        </w:rPr>
        <w:t>∆</w:t>
      </w:r>
      <w:r w:rsidRPr="004447FB">
        <w:rPr>
          <w:rFonts w:ascii="Times New Roman" w:hAnsi="Times New Roman" w:cs="Times New Roman"/>
          <w:i/>
          <w:iCs/>
          <w:color w:val="000000"/>
          <w:sz w:val="24"/>
          <w:szCs w:val="24"/>
        </w:rPr>
        <w:t xml:space="preserve">CI_Loan </w:t>
      </w:r>
      <w:r w:rsidRPr="004447FB">
        <w:rPr>
          <w:rFonts w:ascii="Times New Roman" w:hAnsi="Times New Roman" w:cs="Times New Roman"/>
          <w:iCs/>
          <w:color w:val="000000"/>
          <w:sz w:val="24"/>
          <w:szCs w:val="24"/>
        </w:rPr>
        <w:t xml:space="preserve">and </w:t>
      </w:r>
      <w:r w:rsidRPr="004447FB">
        <w:rPr>
          <w:rFonts w:ascii="Times New Roman" w:hAnsi="Times New Roman" w:cs="Times New Roman" w:hint="eastAsia"/>
          <w:i/>
          <w:iCs/>
          <w:color w:val="000000"/>
          <w:sz w:val="24"/>
          <w:szCs w:val="24"/>
        </w:rPr>
        <w:t>Synd_Loan</w:t>
      </w:r>
      <w:r>
        <w:rPr>
          <w:rFonts w:ascii="Times New Roman" w:hAnsi="Times New Roman" w:cs="Times New Roman"/>
          <w:iCs/>
          <w:color w:val="000000"/>
          <w:sz w:val="24"/>
          <w:szCs w:val="24"/>
        </w:rPr>
        <w:t xml:space="preserve"> to uncertainty (</w:t>
      </w:r>
      <w:r w:rsidRPr="00BE020A">
        <w:rPr>
          <w:rFonts w:ascii="Times New Roman" w:hAnsi="Times New Roman" w:cs="Times New Roman"/>
          <w:i/>
          <w:szCs w:val="24"/>
        </w:rPr>
        <w:t>log</w:t>
      </w:r>
      <w:r w:rsidRPr="00BE020A">
        <w:rPr>
          <w:rFonts w:ascii="Times New Roman" w:hAnsi="Times New Roman" w:cs="Times New Roman" w:hint="eastAsia"/>
          <w:i/>
          <w:szCs w:val="24"/>
        </w:rPr>
        <w:t>VRP</w:t>
      </w:r>
      <w:r>
        <w:rPr>
          <w:rFonts w:ascii="Times New Roman" w:hAnsi="Times New Roman" w:cs="Times New Roman"/>
          <w:iCs/>
          <w:color w:val="000000"/>
          <w:sz w:val="24"/>
          <w:szCs w:val="24"/>
        </w:rPr>
        <w:t>).</w:t>
      </w:r>
      <w:r w:rsidR="001A71F3">
        <w:rPr>
          <w:rStyle w:val="af7"/>
          <w:rFonts w:ascii="Times New Roman" w:hAnsi="Times New Roman" w:cs="Times New Roman"/>
          <w:iCs/>
          <w:color w:val="000000"/>
          <w:sz w:val="24"/>
          <w:szCs w:val="24"/>
        </w:rPr>
        <w:endnoteReference w:id="13"/>
      </w:r>
      <w:r w:rsidR="001A71F3">
        <w:rPr>
          <w:rFonts w:ascii="Times New Roman" w:hAnsi="Times New Roman" w:cs="Times New Roman"/>
          <w:iCs/>
          <w:color w:val="000000"/>
          <w:sz w:val="24"/>
          <w:szCs w:val="24"/>
        </w:rPr>
        <w:t xml:space="preserve"> The coefficients on </w:t>
      </w:r>
      <w:r w:rsidR="001A71F3" w:rsidRPr="00686C83">
        <w:rPr>
          <w:rFonts w:ascii="Times New Roman" w:hAnsi="Times New Roman" w:cs="Times New Roman"/>
          <w:i/>
          <w:iCs/>
          <w:color w:val="000000"/>
          <w:sz w:val="24"/>
          <w:szCs w:val="24"/>
        </w:rPr>
        <w:t>logVRP</w:t>
      </w:r>
      <w:r w:rsidR="001A71F3">
        <w:rPr>
          <w:rFonts w:ascii="Times New Roman" w:hAnsi="Times New Roman" w:cs="Times New Roman"/>
          <w:iCs/>
          <w:color w:val="000000"/>
          <w:sz w:val="24"/>
          <w:szCs w:val="24"/>
        </w:rPr>
        <w:t xml:space="preserve"> are -21.93 and -86.49 for </w:t>
      </w:r>
      <w:r w:rsidR="001A71F3" w:rsidRPr="00DD29D9">
        <w:rPr>
          <w:rFonts w:ascii="Times New Roman" w:hAnsi="Times New Roman" w:cs="Times New Roman"/>
          <w:iCs/>
          <w:color w:val="000000"/>
          <w:sz w:val="24"/>
          <w:szCs w:val="24"/>
        </w:rPr>
        <w:t>∆</w:t>
      </w:r>
      <w:r w:rsidR="001A71F3" w:rsidRPr="004447FB">
        <w:rPr>
          <w:rFonts w:ascii="Times New Roman" w:hAnsi="Times New Roman" w:cs="Times New Roman"/>
          <w:i/>
          <w:iCs/>
          <w:color w:val="000000"/>
          <w:sz w:val="24"/>
          <w:szCs w:val="24"/>
        </w:rPr>
        <w:t xml:space="preserve">CI_Loan </w:t>
      </w:r>
      <w:r w:rsidR="001A71F3" w:rsidRPr="004447FB">
        <w:rPr>
          <w:rFonts w:ascii="Times New Roman" w:hAnsi="Times New Roman" w:cs="Times New Roman"/>
          <w:iCs/>
          <w:color w:val="000000"/>
          <w:sz w:val="24"/>
          <w:szCs w:val="24"/>
        </w:rPr>
        <w:t xml:space="preserve">and </w:t>
      </w:r>
      <w:r w:rsidR="001A71F3" w:rsidRPr="004447FB">
        <w:rPr>
          <w:rFonts w:ascii="Times New Roman" w:hAnsi="Times New Roman" w:cs="Times New Roman" w:hint="eastAsia"/>
          <w:i/>
          <w:iCs/>
          <w:color w:val="000000"/>
          <w:sz w:val="24"/>
          <w:szCs w:val="24"/>
        </w:rPr>
        <w:t>Synd_Loan</w:t>
      </w:r>
      <w:r w:rsidR="001A71F3">
        <w:rPr>
          <w:rFonts w:ascii="Times New Roman" w:hAnsi="Times New Roman" w:cs="Times New Roman"/>
          <w:iCs/>
          <w:color w:val="000000"/>
          <w:sz w:val="24"/>
          <w:szCs w:val="24"/>
        </w:rPr>
        <w:t xml:space="preserve"> regressions, respectively, are statistically significant implying loan quantity decreases as uncertainty peaks. To quantify the impact of uncertainty on loan quantity, consider an increase in uncertainty by a standard deviation of the </w:t>
      </w:r>
      <w:r w:rsidR="001A71F3" w:rsidRPr="00DD29D9">
        <w:rPr>
          <w:rFonts w:ascii="Times New Roman" w:hAnsi="Times New Roman" w:cs="Times New Roman"/>
          <w:i/>
          <w:iCs/>
          <w:color w:val="000000"/>
          <w:sz w:val="24"/>
          <w:szCs w:val="24"/>
        </w:rPr>
        <w:t>logVRP</w:t>
      </w:r>
      <w:r w:rsidR="001A71F3">
        <w:rPr>
          <w:rFonts w:ascii="Times New Roman" w:hAnsi="Times New Roman" w:cs="Times New Roman"/>
          <w:iCs/>
          <w:color w:val="000000"/>
          <w:sz w:val="24"/>
          <w:szCs w:val="24"/>
        </w:rPr>
        <w:t xml:space="preserve">, this being approximately 21.6% more in the level of uncertainty above its mean. This is associated with a decline in the C&amp;I loans by about </w:t>
      </w:r>
      <w:r w:rsidR="001A71F3" w:rsidRPr="001604E6">
        <w:rPr>
          <w:rFonts w:ascii="Times New Roman" w:hAnsi="Times New Roman" w:cs="Times New Roman"/>
          <w:iCs/>
          <w:color w:val="000000"/>
          <w:sz w:val="24"/>
          <w:szCs w:val="24"/>
        </w:rPr>
        <w:t>$12.76 billion and about $50.3</w:t>
      </w:r>
      <w:r w:rsidR="001A71F3">
        <w:rPr>
          <w:rFonts w:ascii="Times New Roman" w:hAnsi="Times New Roman" w:cs="Times New Roman"/>
          <w:iCs/>
          <w:color w:val="000000"/>
          <w:sz w:val="24"/>
          <w:szCs w:val="24"/>
        </w:rPr>
        <w:t>4</w:t>
      </w:r>
      <w:r w:rsidR="001A71F3" w:rsidRPr="001604E6">
        <w:rPr>
          <w:rFonts w:ascii="Times New Roman" w:hAnsi="Times New Roman" w:cs="Times New Roman"/>
          <w:iCs/>
          <w:color w:val="000000"/>
          <w:sz w:val="24"/>
          <w:szCs w:val="24"/>
        </w:rPr>
        <w:t xml:space="preserve"> billion</w:t>
      </w:r>
      <w:r w:rsidR="001A71F3">
        <w:rPr>
          <w:rFonts w:ascii="Times New Roman" w:hAnsi="Times New Roman" w:cs="Times New Roman"/>
          <w:iCs/>
          <w:color w:val="000000"/>
          <w:sz w:val="24"/>
          <w:szCs w:val="24"/>
        </w:rPr>
        <w:t xml:space="preserve"> in the quarterly syndicated loan volume (i.e. a 25% reduction of the mean syndicated loan volume).  Clearly, the impact of uncertainty on loan volume is economically significant.</w:t>
      </w:r>
    </w:p>
    <w:p w14:paraId="69F9AD8C" w14:textId="6431C73E" w:rsidR="007C3344" w:rsidRDefault="001A71F3" w:rsidP="00D44BAE">
      <w:pPr>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Table 3 Panel B reports the impact of uncertainty on loan demand and supply. The coefficient associated with </w:t>
      </w:r>
      <w:r w:rsidRPr="00954B23">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is statistically significant at the 1% level. A </w:t>
      </w:r>
      <w:r>
        <w:rPr>
          <w:rFonts w:ascii="Times New Roman" w:hAnsi="Times New Roman" w:cs="Times New Roman"/>
          <w:color w:val="231F20"/>
          <w:sz w:val="24"/>
          <w:szCs w:val="24"/>
        </w:rPr>
        <w:lastRenderedPageBreak/>
        <w:t xml:space="preserve">standard deviation increase in uncertainty is associated with about 9.3% net increase in credit standards for C&amp;I loans given to large and medium firms, implying a fall in loan supply. Van der Veer and Hoeberichts (2016) show an economically relevant “level effect”; that is, a one point increase in the level of a bank’s lending standards has the effect of reducing the </w:t>
      </w:r>
      <w:r w:rsidRPr="006B4A3A">
        <w:rPr>
          <w:rFonts w:ascii="Times New Roman" w:hAnsi="Times New Roman" w:cs="Times New Roman"/>
          <w:color w:val="231F20"/>
          <w:sz w:val="24"/>
          <w:szCs w:val="24"/>
        </w:rPr>
        <w:t>Netherlands banks’</w:t>
      </w:r>
      <w:r>
        <w:rPr>
          <w:rFonts w:ascii="Times New Roman" w:hAnsi="Times New Roman" w:cs="Times New Roman"/>
          <w:color w:val="231F20"/>
          <w:sz w:val="24"/>
          <w:szCs w:val="24"/>
        </w:rPr>
        <w:t xml:space="preserve"> quarterly growth rate of business lending by about 2% annually. If this was true with the U.S. loan market, the 9.3% credit reduction would have translated to a 18.6% fall in business lending growth rate, which is economically significant.</w:t>
      </w:r>
      <w:r>
        <w:rPr>
          <w:rStyle w:val="af7"/>
          <w:rFonts w:ascii="Times New Roman" w:hAnsi="Times New Roman" w:cs="Times New Roman"/>
          <w:color w:val="231F20"/>
          <w:sz w:val="24"/>
          <w:szCs w:val="24"/>
        </w:rPr>
        <w:endnoteReference w:id="14"/>
      </w:r>
      <w:r>
        <w:rPr>
          <w:rFonts w:ascii="Times New Roman" w:hAnsi="Times New Roman" w:cs="Times New Roman"/>
          <w:color w:val="231F20"/>
          <w:sz w:val="24"/>
          <w:szCs w:val="24"/>
        </w:rPr>
        <w:t xml:space="preserve"> </w:t>
      </w:r>
      <w:r w:rsidR="007C3344">
        <w:rPr>
          <w:rFonts w:ascii="Times New Roman" w:hAnsi="Times New Roman" w:cs="Times New Roman"/>
          <w:color w:val="231F20"/>
          <w:sz w:val="24"/>
          <w:szCs w:val="24"/>
        </w:rPr>
        <w:t xml:space="preserve">The effect on loan supply for small firms is smaller with only about 7.6% net increase in credit standards as </w:t>
      </w:r>
      <w:r w:rsidR="007C3344" w:rsidRPr="00A824EA">
        <w:rPr>
          <w:rFonts w:ascii="Times New Roman" w:hAnsi="Times New Roman" w:cs="Times New Roman"/>
          <w:i/>
          <w:color w:val="231F20"/>
          <w:sz w:val="24"/>
          <w:szCs w:val="24"/>
        </w:rPr>
        <w:t>logVRP</w:t>
      </w:r>
      <w:r w:rsidR="007C3344">
        <w:rPr>
          <w:rFonts w:ascii="Times New Roman" w:hAnsi="Times New Roman" w:cs="Times New Roman"/>
          <w:color w:val="231F20"/>
          <w:sz w:val="24"/>
          <w:szCs w:val="24"/>
        </w:rPr>
        <w:t xml:space="preserve"> increases by one standard deviation. On the demand side, a standard deviation increase in uncertainty results in a fall in loan demand by about 9.1% (9.5%) for large and medium (small) firms. </w:t>
      </w:r>
      <w:r w:rsidR="007C3344" w:rsidRPr="008A54D7">
        <w:rPr>
          <w:rFonts w:ascii="Times New Roman" w:hAnsi="Times New Roman" w:cs="Times New Roman"/>
          <w:sz w:val="24"/>
          <w:szCs w:val="24"/>
        </w:rPr>
        <w:t xml:space="preserve">We estimate a simultaneous equation model of loan demand and supply allowing for possible omitted variable bias and the endogeneity nature of loan demand and supply. </w:t>
      </w:r>
      <w:r w:rsidR="007C3344" w:rsidRPr="00B34EBD">
        <w:rPr>
          <w:rFonts w:ascii="Times New Roman" w:hAnsi="Times New Roman" w:cs="Times New Roman"/>
          <w:sz w:val="24"/>
          <w:szCs w:val="24"/>
        </w:rPr>
        <w:t xml:space="preserve">The model is estimated </w:t>
      </w:r>
      <w:r w:rsidR="007C3344">
        <w:rPr>
          <w:rFonts w:ascii="Times New Roman" w:hAnsi="Times New Roman" w:cs="Times New Roman"/>
          <w:sz w:val="24"/>
          <w:szCs w:val="24"/>
        </w:rPr>
        <w:t>using</w:t>
      </w:r>
      <w:r w:rsidR="007C3344" w:rsidRPr="00B34EBD">
        <w:rPr>
          <w:rFonts w:ascii="Times New Roman" w:hAnsi="Times New Roman" w:cs="Times New Roman"/>
          <w:sz w:val="24"/>
          <w:szCs w:val="24"/>
        </w:rPr>
        <w:t xml:space="preserve"> three-stage least squares (3SLS).</w:t>
      </w:r>
      <w:r w:rsidR="007C3344">
        <w:rPr>
          <w:rFonts w:ascii="Times New Roman" w:hAnsi="Times New Roman" w:cs="Times New Roman"/>
          <w:sz w:val="24"/>
          <w:szCs w:val="24"/>
        </w:rPr>
        <w:t xml:space="preserve"> </w:t>
      </w:r>
      <w:r w:rsidR="007C3344" w:rsidRPr="008A54D7">
        <w:rPr>
          <w:rFonts w:ascii="Times New Roman" w:hAnsi="Times New Roman" w:cs="Times New Roman"/>
          <w:sz w:val="24"/>
          <w:szCs w:val="24"/>
        </w:rPr>
        <w:t>The results</w:t>
      </w:r>
      <w:r w:rsidR="007C3344">
        <w:rPr>
          <w:rFonts w:ascii="Times New Roman" w:hAnsi="Times New Roman" w:cs="Times New Roman"/>
          <w:sz w:val="24"/>
          <w:szCs w:val="24"/>
        </w:rPr>
        <w:t xml:space="preserve"> reported in the Appendix Table A3</w:t>
      </w:r>
      <w:r w:rsidR="007C3344" w:rsidRPr="008A54D7">
        <w:rPr>
          <w:rFonts w:ascii="Times New Roman" w:hAnsi="Times New Roman" w:cs="Times New Roman"/>
          <w:sz w:val="24"/>
          <w:szCs w:val="24"/>
        </w:rPr>
        <w:t xml:space="preserve"> indicate a statistically significant fall in large and medium firms loan demand (supply) by about 8.7% (6.8%)</w:t>
      </w:r>
      <w:r w:rsidR="007C3344">
        <w:rPr>
          <w:rFonts w:ascii="Times New Roman" w:hAnsi="Times New Roman" w:cs="Times New Roman"/>
          <w:sz w:val="24"/>
          <w:szCs w:val="24"/>
        </w:rPr>
        <w:t>, which is</w:t>
      </w:r>
      <w:r w:rsidR="007C3344" w:rsidRPr="008A54D7">
        <w:rPr>
          <w:rFonts w:ascii="Times New Roman" w:hAnsi="Times New Roman" w:cs="Times New Roman"/>
          <w:sz w:val="24"/>
          <w:szCs w:val="24"/>
        </w:rPr>
        <w:t xml:space="preserve"> associated with a standard deviation increase in uncertainty. These results imply that both loan demand and loan supply curves shift leftwards</w:t>
      </w:r>
      <w:r w:rsidR="007C3344">
        <w:rPr>
          <w:rFonts w:ascii="Times New Roman" w:hAnsi="Times New Roman" w:cs="Times New Roman"/>
          <w:sz w:val="24"/>
          <w:szCs w:val="24"/>
        </w:rPr>
        <w:t xml:space="preserve"> as VRP increases.</w:t>
      </w:r>
    </w:p>
    <w:p w14:paraId="2A83CDB2" w14:textId="398AE26C" w:rsidR="007C3344" w:rsidRPr="008A54D7" w:rsidRDefault="007C3344" w:rsidP="00D44BAE">
      <w:pPr>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We further investigate the association between the reason for tighter lending standards</w:t>
      </w:r>
      <w:r w:rsidR="001A71F3">
        <w:rPr>
          <w:rStyle w:val="af7"/>
          <w:rFonts w:ascii="Times New Roman" w:hAnsi="Times New Roman" w:cs="Times New Roman"/>
          <w:color w:val="231F20"/>
          <w:sz w:val="24"/>
          <w:szCs w:val="24"/>
        </w:rPr>
        <w:endnoteReference w:id="15"/>
      </w:r>
      <w:r w:rsidR="001A71F3">
        <w:rPr>
          <w:rFonts w:ascii="Times New Roman" w:hAnsi="Times New Roman" w:cs="Times New Roman"/>
          <w:color w:val="231F20"/>
          <w:sz w:val="24"/>
          <w:szCs w:val="24"/>
        </w:rPr>
        <w:t xml:space="preserve"> </w:t>
      </w:r>
      <w:r>
        <w:rPr>
          <w:rFonts w:ascii="Times New Roman" w:hAnsi="Times New Roman" w:cs="Times New Roman"/>
          <w:color w:val="231F20"/>
          <w:sz w:val="24"/>
          <w:szCs w:val="24"/>
        </w:rPr>
        <w:t>and economic uncertainty (</w:t>
      </w:r>
      <w:r w:rsidRPr="008762E1">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reported by SLOOS loan officers. The correlation between the one period lagged </w:t>
      </w:r>
      <w:r w:rsidRPr="008762E1">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and uncertain economic outlook is as strong as the correlations with reasons (i), (iii), (v), (viii) and (ix). The regression of tightened standards associated with the specific reason on the one period lagged </w:t>
      </w:r>
      <w:r w:rsidRPr="008762E1">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while controlling for the six orthogonal factors, shows a statistically significant relationship. </w:t>
      </w:r>
      <w:r w:rsidRPr="006D7DD4">
        <w:rPr>
          <w:rFonts w:ascii="Times New Roman" w:hAnsi="Times New Roman" w:cs="Times New Roman"/>
          <w:color w:val="231F20"/>
          <w:sz w:val="24"/>
          <w:szCs w:val="24"/>
        </w:rPr>
        <w:t xml:space="preserve">The coefficient for lagged </w:t>
      </w:r>
      <w:r w:rsidRPr="006D7DD4">
        <w:rPr>
          <w:rFonts w:ascii="Times New Roman" w:hAnsi="Times New Roman" w:cs="Times New Roman"/>
          <w:i/>
          <w:color w:val="231F20"/>
          <w:sz w:val="24"/>
          <w:szCs w:val="24"/>
        </w:rPr>
        <w:t>logVRP</w:t>
      </w:r>
      <w:r w:rsidRPr="006D7DD4">
        <w:rPr>
          <w:rFonts w:ascii="Times New Roman" w:hAnsi="Times New Roman" w:cs="Times New Roman"/>
          <w:color w:val="231F20"/>
          <w:sz w:val="24"/>
          <w:szCs w:val="24"/>
        </w:rPr>
        <w:t xml:space="preserve"> is large and has the same order of </w:t>
      </w:r>
      <w:r w:rsidRPr="006D7DD4">
        <w:rPr>
          <w:rFonts w:ascii="Times New Roman" w:hAnsi="Times New Roman" w:cs="Times New Roman"/>
          <w:color w:val="231F20"/>
          <w:sz w:val="24"/>
          <w:szCs w:val="24"/>
        </w:rPr>
        <w:lastRenderedPageBreak/>
        <w:t>magnitude for uncertain economic outlook as those of reasons (i), (ii) and (iii). These results are available from the authors upon request.</w:t>
      </w:r>
    </w:p>
    <w:p w14:paraId="1D76E67B" w14:textId="0A611099" w:rsidR="007C3344" w:rsidRDefault="007C3344" w:rsidP="00D44BAE">
      <w:pPr>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Table 3 Panel C shows the effect of uncertainty on loan spreads. Columns (1) and (2) show that an increase in uncertainty is associated with </w:t>
      </w:r>
      <w:r w:rsidRPr="008A26F9">
        <w:rPr>
          <w:rFonts w:ascii="Times New Roman" w:hAnsi="Times New Roman" w:cs="Times New Roman"/>
          <w:color w:val="231F20"/>
          <w:sz w:val="24"/>
          <w:szCs w:val="24"/>
        </w:rPr>
        <w:t>wider spreads or an increase</w:t>
      </w:r>
      <w:r>
        <w:rPr>
          <w:rFonts w:ascii="Times New Roman" w:hAnsi="Times New Roman" w:cs="Times New Roman"/>
          <w:color w:val="231F20"/>
          <w:sz w:val="24"/>
          <w:szCs w:val="24"/>
        </w:rPr>
        <w:t xml:space="preserve"> of pricing credit terms. The net percentage of domestic banks’ increasing spread of loan rates to large and medium (small) firms over banks’ cost of funds increases by 24.2% (16.4%). </w:t>
      </w:r>
      <w:r w:rsidRPr="004D5B3A">
        <w:rPr>
          <w:rFonts w:ascii="Times New Roman" w:hAnsi="Times New Roman" w:cs="Times New Roman"/>
          <w:color w:val="231F20"/>
          <w:sz w:val="24"/>
          <w:szCs w:val="24"/>
        </w:rPr>
        <w:t xml:space="preserve">This </w:t>
      </w:r>
      <w:r>
        <w:rPr>
          <w:rFonts w:ascii="Times New Roman" w:hAnsi="Times New Roman" w:cs="Times New Roman"/>
          <w:color w:val="231F20"/>
          <w:sz w:val="24"/>
          <w:szCs w:val="24"/>
        </w:rPr>
        <w:t>outcome</w:t>
      </w:r>
      <w:r w:rsidRPr="004D5B3A">
        <w:rPr>
          <w:rFonts w:ascii="Times New Roman" w:hAnsi="Times New Roman" w:cs="Times New Roman"/>
          <w:color w:val="231F20"/>
          <w:sz w:val="24"/>
          <w:szCs w:val="24"/>
        </w:rPr>
        <w:t xml:space="preserve"> is consistent with our findings in </w:t>
      </w:r>
      <w:r>
        <w:rPr>
          <w:rFonts w:ascii="Times New Roman" w:hAnsi="Times New Roman" w:cs="Times New Roman"/>
          <w:color w:val="231F20"/>
          <w:sz w:val="24"/>
          <w:szCs w:val="24"/>
        </w:rPr>
        <w:t>c</w:t>
      </w:r>
      <w:r w:rsidRPr="004D5B3A">
        <w:rPr>
          <w:rFonts w:ascii="Times New Roman" w:hAnsi="Times New Roman" w:cs="Times New Roman"/>
          <w:color w:val="231F20"/>
          <w:sz w:val="24"/>
          <w:szCs w:val="24"/>
        </w:rPr>
        <w:t>olumn (1) of Panel B which shows that loan officers report tightening of their lending standards including loan spread as economic uncertainty increases. More importantly, it can be inferred from the increase in pricing credit terms that the cutback in loan supply dominates the fall in loan demand. In other words, the effect of uncertainty on loan supply appears to be larger than on demand. One caveat is that the data from SLOOS are qualitative in nature; they are not the actual loan spread.</w:t>
      </w:r>
      <w:r w:rsidRPr="00081045">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We use the data from STBL and LPC to fill this gap. </w:t>
      </w:r>
      <w:r w:rsidRPr="00081045">
        <w:rPr>
          <w:rFonts w:ascii="Times New Roman" w:hAnsi="Times New Roman" w:cs="Times New Roman"/>
          <w:color w:val="231F20"/>
          <w:sz w:val="24"/>
          <w:szCs w:val="24"/>
        </w:rPr>
        <w:t>We</w:t>
      </w:r>
      <w:r>
        <w:rPr>
          <w:rFonts w:ascii="Times New Roman" w:hAnsi="Times New Roman" w:cs="Times New Roman"/>
          <w:color w:val="231F20"/>
          <w:sz w:val="24"/>
          <w:szCs w:val="24"/>
        </w:rPr>
        <w:t xml:space="preserve"> also</w:t>
      </w:r>
      <w:r w:rsidRPr="00081045">
        <w:rPr>
          <w:rFonts w:ascii="Times New Roman" w:hAnsi="Times New Roman" w:cs="Times New Roman"/>
          <w:color w:val="231F20"/>
          <w:sz w:val="24"/>
          <w:szCs w:val="24"/>
        </w:rPr>
        <w:t xml:space="preserve"> identify the dominating effect of uncertainty on loan supply over demand in a simultaneous equation framework using both loan volume and spreads, which </w:t>
      </w:r>
      <w:r>
        <w:rPr>
          <w:rFonts w:ascii="Times New Roman" w:hAnsi="Times New Roman" w:cs="Times New Roman"/>
          <w:color w:val="231F20"/>
          <w:sz w:val="24"/>
          <w:szCs w:val="24"/>
        </w:rPr>
        <w:t xml:space="preserve">is </w:t>
      </w:r>
      <w:r w:rsidRPr="00081045">
        <w:rPr>
          <w:rFonts w:ascii="Times New Roman" w:hAnsi="Times New Roman" w:cs="Times New Roman"/>
          <w:color w:val="231F20"/>
          <w:sz w:val="24"/>
          <w:szCs w:val="24"/>
        </w:rPr>
        <w:t>discuss</w:t>
      </w:r>
      <w:r>
        <w:rPr>
          <w:rFonts w:ascii="Times New Roman" w:hAnsi="Times New Roman" w:cs="Times New Roman"/>
          <w:color w:val="231F20"/>
          <w:sz w:val="24"/>
          <w:szCs w:val="24"/>
        </w:rPr>
        <w:t>ed</w:t>
      </w:r>
      <w:r w:rsidRPr="00081045">
        <w:rPr>
          <w:rFonts w:ascii="Times New Roman" w:hAnsi="Times New Roman" w:cs="Times New Roman"/>
          <w:color w:val="231F20"/>
          <w:sz w:val="24"/>
          <w:szCs w:val="24"/>
        </w:rPr>
        <w:t xml:space="preserve"> below.</w:t>
      </w:r>
      <w:r>
        <w:rPr>
          <w:rFonts w:ascii="Times New Roman" w:hAnsi="Times New Roman" w:cs="Times New Roman"/>
          <w:color w:val="231F20"/>
          <w:sz w:val="24"/>
          <w:szCs w:val="24"/>
        </w:rPr>
        <w:t xml:space="preserve"> For robustness, we further determine the dominating effect of uncertainty on loan supply over demand using two identification strategies involving firms’ switching from loans to bonds as a contraction in bank credit supply in Section 4.2, and the SVAR model with sign restrictions in Section 4.3.</w:t>
      </w:r>
    </w:p>
    <w:p w14:paraId="7574B4BA" w14:textId="0005E74F" w:rsidR="007C3344" w:rsidRDefault="007C3344" w:rsidP="00D44BAE">
      <w:pPr>
        <w:spacing w:after="0" w:line="480" w:lineRule="auto"/>
        <w:ind w:firstLineChars="303" w:firstLine="727"/>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Both STBL and LPC data provide actual loan spreads data, which permit quantifying the additional cost of financing to firms from the </w:t>
      </w:r>
      <w:r w:rsidRPr="00284E3D">
        <w:rPr>
          <w:rFonts w:ascii="Times New Roman" w:hAnsi="Times New Roman" w:cs="Times New Roman"/>
          <w:color w:val="231F20"/>
          <w:sz w:val="24"/>
          <w:szCs w:val="24"/>
        </w:rPr>
        <w:t>bank lending market</w:t>
      </w:r>
      <w:r>
        <w:rPr>
          <w:rFonts w:ascii="Times New Roman" w:hAnsi="Times New Roman" w:cs="Times New Roman"/>
          <w:color w:val="231F20"/>
          <w:sz w:val="24"/>
          <w:szCs w:val="24"/>
        </w:rPr>
        <w:t xml:space="preserve"> when economic uncertainty peaks. Column (3) reveals that a standard deviation increase in uncertainty translates to a 9 basis points increase in domestic banks’ C&amp;I loan rate spread over the intended federal funds rate. Additionally, column (4) shows that for that same increase in uncertainty, the effect on weighted average loan spreads in the </w:t>
      </w:r>
      <w:r>
        <w:rPr>
          <w:rFonts w:ascii="Times New Roman" w:hAnsi="Times New Roman" w:cs="Times New Roman"/>
          <w:color w:val="231F20"/>
          <w:sz w:val="24"/>
          <w:szCs w:val="24"/>
        </w:rPr>
        <w:lastRenderedPageBreak/>
        <w:t xml:space="preserve">syndication loan market is an increase by about 25 basis points. Both increments in loan spreads are statistically significant and translate to about 16% (4%) increment above the mean loan spreads of the syndicated loans (business loans). </w:t>
      </w:r>
      <w:r w:rsidRPr="003E6ADE">
        <w:rPr>
          <w:rFonts w:ascii="Times New Roman" w:hAnsi="Times New Roman" w:cs="Times New Roman"/>
          <w:sz w:val="24"/>
          <w:szCs w:val="24"/>
        </w:rPr>
        <w:t>To account for the impact of uncertainty on loan spread</w:t>
      </w:r>
      <w:r>
        <w:rPr>
          <w:rFonts w:ascii="Times New Roman" w:hAnsi="Times New Roman" w:cs="Times New Roman"/>
          <w:sz w:val="24"/>
          <w:szCs w:val="24"/>
        </w:rPr>
        <w:t>s</w:t>
      </w:r>
      <w:r w:rsidRPr="003E6ADE">
        <w:rPr>
          <w:rFonts w:ascii="Times New Roman" w:hAnsi="Times New Roman" w:cs="Times New Roman"/>
          <w:sz w:val="24"/>
          <w:szCs w:val="24"/>
        </w:rPr>
        <w:t xml:space="preserve"> while controlling for its effect on loan </w:t>
      </w:r>
      <w:r>
        <w:rPr>
          <w:rFonts w:ascii="Times New Roman" w:hAnsi="Times New Roman" w:cs="Times New Roman"/>
          <w:sz w:val="24"/>
          <w:szCs w:val="24"/>
        </w:rPr>
        <w:t>volume</w:t>
      </w:r>
      <w:r w:rsidRPr="003E6ADE">
        <w:rPr>
          <w:rFonts w:ascii="Times New Roman" w:hAnsi="Times New Roman" w:cs="Times New Roman"/>
          <w:sz w:val="24"/>
          <w:szCs w:val="24"/>
        </w:rPr>
        <w:t>, we estimate a simultaneous equation model of loan spread</w:t>
      </w:r>
      <w:r>
        <w:rPr>
          <w:rFonts w:ascii="Times New Roman" w:hAnsi="Times New Roman" w:cs="Times New Roman"/>
          <w:sz w:val="24"/>
          <w:szCs w:val="24"/>
        </w:rPr>
        <w:t>s</w:t>
      </w:r>
      <w:r w:rsidRPr="003E6ADE">
        <w:rPr>
          <w:rFonts w:ascii="Times New Roman" w:hAnsi="Times New Roman" w:cs="Times New Roman"/>
          <w:sz w:val="24"/>
          <w:szCs w:val="24"/>
        </w:rPr>
        <w:t xml:space="preserve"> and loan </w:t>
      </w:r>
      <w:r>
        <w:rPr>
          <w:rFonts w:ascii="Times New Roman" w:hAnsi="Times New Roman" w:cs="Times New Roman"/>
          <w:sz w:val="24"/>
          <w:szCs w:val="24"/>
        </w:rPr>
        <w:t>volume</w:t>
      </w:r>
      <w:r w:rsidRPr="003E6ADE">
        <w:rPr>
          <w:rFonts w:ascii="Times New Roman" w:hAnsi="Times New Roman" w:cs="Times New Roman"/>
          <w:sz w:val="24"/>
          <w:szCs w:val="24"/>
        </w:rPr>
        <w:t xml:space="preserve"> using the syndicated loan data and controlling for the factors obtained from the PCA. The results</w:t>
      </w:r>
      <w:r>
        <w:rPr>
          <w:rFonts w:ascii="Times New Roman" w:hAnsi="Times New Roman" w:cs="Times New Roman"/>
          <w:sz w:val="24"/>
          <w:szCs w:val="24"/>
        </w:rPr>
        <w:t>,</w:t>
      </w:r>
      <w:r w:rsidRPr="003E6ADE">
        <w:rPr>
          <w:rFonts w:ascii="Times New Roman" w:hAnsi="Times New Roman" w:cs="Times New Roman"/>
          <w:sz w:val="24"/>
          <w:szCs w:val="24"/>
        </w:rPr>
        <w:t xml:space="preserve"> which are</w:t>
      </w:r>
      <w:r>
        <w:rPr>
          <w:rFonts w:ascii="Times New Roman" w:hAnsi="Times New Roman" w:cs="Times New Roman"/>
          <w:sz w:val="24"/>
          <w:szCs w:val="24"/>
        </w:rPr>
        <w:t xml:space="preserve"> reported in the Appendix Table A4, </w:t>
      </w:r>
      <w:r w:rsidRPr="003E6ADE">
        <w:rPr>
          <w:rFonts w:ascii="Times New Roman" w:hAnsi="Times New Roman" w:cs="Times New Roman"/>
          <w:sz w:val="24"/>
          <w:szCs w:val="24"/>
        </w:rPr>
        <w:t xml:space="preserve">indicate that </w:t>
      </w:r>
      <w:r w:rsidRPr="003E6ADE">
        <w:rPr>
          <w:rFonts w:ascii="Times New Roman" w:hAnsi="Times New Roman" w:cs="Times New Roman"/>
          <w:color w:val="231F20"/>
          <w:sz w:val="24"/>
          <w:szCs w:val="24"/>
        </w:rPr>
        <w:t>a standard deviation increase in uncertainty decreases the quarterly volume of syndicated bank loans by about $60.3</w:t>
      </w:r>
      <w:r>
        <w:rPr>
          <w:rFonts w:ascii="Times New Roman" w:hAnsi="Times New Roman" w:cs="Times New Roman"/>
          <w:color w:val="231F20"/>
          <w:sz w:val="24"/>
          <w:szCs w:val="24"/>
        </w:rPr>
        <w:t>3</w:t>
      </w:r>
      <w:r w:rsidRPr="003E6ADE">
        <w:rPr>
          <w:rFonts w:ascii="Times New Roman" w:hAnsi="Times New Roman" w:cs="Times New Roman"/>
          <w:color w:val="231F20"/>
          <w:sz w:val="24"/>
          <w:szCs w:val="24"/>
        </w:rPr>
        <w:t xml:space="preserve"> billion</w:t>
      </w:r>
      <w:r>
        <w:rPr>
          <w:rFonts w:ascii="Times New Roman" w:hAnsi="Times New Roman" w:cs="Times New Roman"/>
          <w:color w:val="231F20"/>
          <w:sz w:val="24"/>
          <w:szCs w:val="24"/>
        </w:rPr>
        <w:t xml:space="preserve"> (i.e. about</w:t>
      </w:r>
      <w:r w:rsidRPr="003E6ADE">
        <w:rPr>
          <w:rFonts w:ascii="Times New Roman" w:hAnsi="Times New Roman" w:cs="Times New Roman"/>
          <w:color w:val="231F20"/>
          <w:sz w:val="24"/>
          <w:szCs w:val="24"/>
        </w:rPr>
        <w:t xml:space="preserve"> a </w:t>
      </w:r>
      <w:r>
        <w:rPr>
          <w:rFonts w:ascii="Times New Roman" w:hAnsi="Times New Roman" w:cs="Times New Roman"/>
          <w:color w:val="231F20"/>
          <w:sz w:val="24"/>
          <w:szCs w:val="24"/>
        </w:rPr>
        <w:t>one-</w:t>
      </w:r>
      <w:r w:rsidRPr="003E6ADE">
        <w:rPr>
          <w:rFonts w:ascii="Times New Roman" w:hAnsi="Times New Roman" w:cs="Times New Roman"/>
          <w:color w:val="231F20"/>
          <w:sz w:val="24"/>
          <w:szCs w:val="24"/>
        </w:rPr>
        <w:t>third reduction of its mean</w:t>
      </w:r>
      <w:r>
        <w:rPr>
          <w:rFonts w:ascii="Times New Roman" w:hAnsi="Times New Roman" w:cs="Times New Roman"/>
          <w:color w:val="231F20"/>
          <w:sz w:val="24"/>
          <w:szCs w:val="24"/>
        </w:rPr>
        <w:t xml:space="preserve"> volume)</w:t>
      </w:r>
      <w:r w:rsidRPr="003E6ADE">
        <w:rPr>
          <w:rFonts w:ascii="Times New Roman" w:hAnsi="Times New Roman" w:cs="Times New Roman"/>
          <w:color w:val="231F20"/>
          <w:sz w:val="24"/>
          <w:szCs w:val="24"/>
        </w:rPr>
        <w:t xml:space="preserve">. Along with the contraction in loan </w:t>
      </w:r>
      <w:r>
        <w:rPr>
          <w:rFonts w:ascii="Times New Roman" w:hAnsi="Times New Roman" w:cs="Times New Roman"/>
          <w:color w:val="231F20"/>
          <w:sz w:val="24"/>
          <w:szCs w:val="24"/>
        </w:rPr>
        <w:t>volume</w:t>
      </w:r>
      <w:r w:rsidRPr="003E6ADE">
        <w:rPr>
          <w:rFonts w:ascii="Times New Roman" w:hAnsi="Times New Roman" w:cs="Times New Roman"/>
          <w:color w:val="231F20"/>
          <w:sz w:val="24"/>
          <w:szCs w:val="24"/>
        </w:rPr>
        <w:t>, the weighted average loan spread</w:t>
      </w:r>
      <w:r>
        <w:rPr>
          <w:rFonts w:ascii="Times New Roman" w:hAnsi="Times New Roman" w:cs="Times New Roman"/>
          <w:color w:val="231F20"/>
          <w:sz w:val="24"/>
          <w:szCs w:val="24"/>
        </w:rPr>
        <w:t>s</w:t>
      </w:r>
      <w:r w:rsidRPr="003E6ADE">
        <w:rPr>
          <w:rFonts w:ascii="Times New Roman" w:hAnsi="Times New Roman" w:cs="Times New Roman"/>
          <w:color w:val="231F20"/>
          <w:sz w:val="24"/>
          <w:szCs w:val="24"/>
        </w:rPr>
        <w:t xml:space="preserve"> increas</w:t>
      </w:r>
      <w:r>
        <w:rPr>
          <w:rFonts w:ascii="Times New Roman" w:hAnsi="Times New Roman" w:cs="Times New Roman"/>
          <w:color w:val="231F20"/>
          <w:sz w:val="24"/>
          <w:szCs w:val="24"/>
        </w:rPr>
        <w:t xml:space="preserve">e </w:t>
      </w:r>
      <w:r w:rsidRPr="003E6ADE">
        <w:rPr>
          <w:rFonts w:ascii="Times New Roman" w:hAnsi="Times New Roman" w:cs="Times New Roman"/>
          <w:color w:val="231F20"/>
          <w:sz w:val="24"/>
          <w:szCs w:val="24"/>
        </w:rPr>
        <w:t>by about 23 basis points</w:t>
      </w:r>
      <w:r>
        <w:rPr>
          <w:rFonts w:ascii="Times New Roman" w:hAnsi="Times New Roman" w:cs="Times New Roman"/>
          <w:color w:val="231F20"/>
          <w:sz w:val="24"/>
          <w:szCs w:val="24"/>
        </w:rPr>
        <w:t xml:space="preserve"> (i.e.</w:t>
      </w:r>
      <w:r w:rsidRPr="003E6ADE">
        <w:rPr>
          <w:rFonts w:ascii="Times New Roman" w:hAnsi="Times New Roman" w:cs="Times New Roman"/>
          <w:color w:val="231F20"/>
          <w:sz w:val="24"/>
          <w:szCs w:val="24"/>
        </w:rPr>
        <w:t xml:space="preserve"> about 14% higher than the mean spread</w:t>
      </w:r>
      <w:r>
        <w:rPr>
          <w:rFonts w:ascii="Times New Roman" w:hAnsi="Times New Roman" w:cs="Times New Roman"/>
          <w:color w:val="231F20"/>
          <w:sz w:val="24"/>
          <w:szCs w:val="24"/>
        </w:rPr>
        <w:t>s).</w:t>
      </w:r>
      <w:r w:rsidRPr="003E6ADE">
        <w:rPr>
          <w:rFonts w:ascii="Times New Roman" w:hAnsi="Times New Roman" w:cs="Times New Roman"/>
          <w:color w:val="231F20"/>
          <w:sz w:val="24"/>
          <w:szCs w:val="24"/>
        </w:rPr>
        <w:t xml:space="preserve"> </w:t>
      </w:r>
      <w:r>
        <w:rPr>
          <w:rFonts w:ascii="Times New Roman" w:hAnsi="Times New Roman" w:cs="Times New Roman"/>
          <w:color w:val="231F20"/>
          <w:sz w:val="24"/>
          <w:szCs w:val="24"/>
        </w:rPr>
        <w:t>Allowing for possible interaction between loan volume and spreads gives rise to a steeper increase in the cost of financing. To summarize, economic uncertainty significantly influences both bank credit supply and demand; it reduces loan volume and increases loan spreads, which implies the supply side is more sensitive to the VRP.</w:t>
      </w:r>
    </w:p>
    <w:p w14:paraId="19463EAE" w14:textId="77777777" w:rsidR="007C3344" w:rsidRPr="001B73A3"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-Table 4 about here -</w:t>
      </w:r>
    </w:p>
    <w:p w14:paraId="36DF5D79" w14:textId="1BB9A8D6" w:rsidR="007C3344" w:rsidRDefault="007C3344" w:rsidP="00D44BAE">
      <w:pPr>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Table 4 reports the effects of economic uncertainty on non-price loan terms (see Panel A) and its impact in and outside of economic recessions (see Panels B and C). The data for SLOOS reflect the tightening of loan credit terms with respect to loan size, maximum maturity of loans and the collateralization requirements although no specific information is reflected in the data on the actual increase of these terms. By contrast, the STBL and LPC loan syndication data provide the actual decrease in average loan size, the average maturity in days or months, and the percentage of the loan amount that is secured by collateral. We estimate equation (1) but with the dependent variable replaced by different measures of non-price loan terms. Referring to Panel A and </w:t>
      </w:r>
      <w:r>
        <w:rPr>
          <w:rFonts w:ascii="Times New Roman" w:hAnsi="Times New Roman" w:cs="Times New Roman"/>
          <w:color w:val="231F20"/>
          <w:sz w:val="24"/>
          <w:szCs w:val="24"/>
        </w:rPr>
        <w:lastRenderedPageBreak/>
        <w:t xml:space="preserve">focusing on lending standards </w:t>
      </w:r>
      <w:r w:rsidRPr="00A367DF">
        <w:rPr>
          <w:rFonts w:ascii="Times New Roman" w:hAnsi="Times New Roman" w:cs="Times New Roman"/>
          <w:color w:val="231F20"/>
          <w:sz w:val="24"/>
          <w:szCs w:val="24"/>
        </w:rPr>
        <w:t>for large and medium firms</w:t>
      </w:r>
      <w:r>
        <w:rPr>
          <w:rFonts w:ascii="Times New Roman" w:hAnsi="Times New Roman" w:cs="Times New Roman"/>
          <w:color w:val="231F20"/>
          <w:sz w:val="24"/>
          <w:szCs w:val="24"/>
        </w:rPr>
        <w:t xml:space="preserve"> (i.e. columns (1) to (3)), we discover that greater economic uncertainty results in tightening of the non-price credit terms; the loan size granted to large and medium firms tend to fall with shorter maturity and there are greater collateralization requirements. For syndicated loans (columns (7) to (9)), a standard deviation increase in uncertainty dampens the average loan size by about $29 million relative to the average syndicated loan size of about $207 million. This is a reduction in maturity of about 3 months for a mean maturity of slightly more than 4 years, and an increase in the proportion of the loan secured by collateral by about 4% for the market average of 30% of the loan which is collateralized. For STBL data (columns (5) to (7)), the effect of uncertainty on the maturity of gross new business loans is statistically significant, reducing it by 59 days (for a mean of 662 days). There is no statistically significant effect of uncertainty on loan size and the percentage of loan amount secured by collateral. To sum up, the evidence confirms that in most cases, economic uncertainty exerts significant effects on non-price loan terms, not only loan quantity and spreads.</w:t>
      </w:r>
    </w:p>
    <w:p w14:paraId="3211B0A4" w14:textId="2B0285C3" w:rsidR="007C3344" w:rsidRDefault="007C3344" w:rsidP="00D44BAE">
      <w:pPr>
        <w:spacing w:after="0" w:line="480" w:lineRule="auto"/>
        <w:jc w:val="both"/>
        <w:rPr>
          <w:rFonts w:ascii="Times New Roman" w:hAnsi="Times New Roman" w:cs="Times New Roman"/>
          <w:color w:val="231F20"/>
          <w:sz w:val="24"/>
          <w:szCs w:val="24"/>
        </w:rPr>
      </w:pPr>
      <w:r>
        <w:rPr>
          <w:rFonts w:ascii="Times New Roman" w:hAnsi="Times New Roman" w:cs="Times New Roman"/>
          <w:color w:val="231F20"/>
          <w:sz w:val="24"/>
          <w:szCs w:val="24"/>
        </w:rPr>
        <w:tab/>
        <w:t>Figures 2 and 3 show that the VRP peaks in two of the three NBER-dated recessions, which leads to the possibility that economic recessions may engender an appreciably larger effect of the VRP on bank lending market. To test this prediction we estimate a variant of regression (1):</w:t>
      </w:r>
    </w:p>
    <w:p w14:paraId="6BB25A91" w14:textId="7A31E3BD" w:rsidR="007C3344" w:rsidRDefault="00C64E14" w:rsidP="00D44BAE">
      <w:pPr>
        <w:spacing w:after="0" w:line="480" w:lineRule="auto"/>
        <w:ind w:firstLineChars="291" w:firstLine="698"/>
        <w:jc w:val="both"/>
        <w:rPr>
          <w:rFonts w:ascii="Times New Roman" w:hAnsi="Times New Roman" w:cs="Times New Roman"/>
          <w:color w:val="231F20"/>
          <w:sz w:val="24"/>
          <w:szCs w:val="24"/>
        </w:rPr>
      </w:pP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Y</m:t>
            </m:r>
          </m:e>
          <m:sub>
            <m:r>
              <m:rPr>
                <m:nor/>
              </m:rPr>
              <w:rPr>
                <w:rFonts w:ascii="Times New Roman" w:hAnsi="Times New Roman" w:cs="Times New Roman"/>
                <w:i/>
                <w:color w:val="231F20"/>
                <w:sz w:val="24"/>
                <w:szCs w:val="24"/>
              </w:rPr>
              <m:t>t</m:t>
            </m:r>
          </m:sub>
        </m:sSub>
        <m:r>
          <m:rPr>
            <m:nor/>
          </m:rPr>
          <w:rPr>
            <w:rFonts w:ascii="Times New Roman" w:hAnsi="Times New Roman" w:cs="Times New Roman"/>
            <w:i/>
            <w:color w:val="231F20"/>
            <w:sz w:val="24"/>
            <w:szCs w:val="24"/>
          </w:rPr>
          <m:t xml:space="preserve"> = α +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β</m:t>
            </m:r>
          </m:e>
          <m:sub>
            <m:r>
              <m:rPr>
                <m:nor/>
              </m:rPr>
              <w:rPr>
                <w:rFonts w:ascii="Times New Roman" w:hAnsi="Times New Roman" w:cs="Times New Roman"/>
                <w:color w:val="231F20"/>
                <w:sz w:val="24"/>
                <w:szCs w:val="24"/>
              </w:rPr>
              <m:t>1</m:t>
            </m:r>
          </m:sub>
        </m:sSub>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logVRP</m:t>
            </m:r>
          </m:e>
          <m:sub>
            <m:r>
              <m:rPr>
                <m:nor/>
              </m:rPr>
              <w:rPr>
                <w:rFonts w:ascii="Times New Roman" w:hAnsi="Times New Roman" w:cs="Times New Roman"/>
                <w:i/>
                <w:color w:val="231F20"/>
                <w:sz w:val="24"/>
                <w:szCs w:val="24"/>
              </w:rPr>
              <m:t>t</m:t>
            </m:r>
            <m:r>
              <m:rPr>
                <m:nor/>
              </m:rPr>
              <w:rPr>
                <w:rFonts w:ascii="Times New Roman" w:hAnsi="Times New Roman" w:cs="Times New Roman"/>
                <w:color w:val="231F20"/>
                <w:sz w:val="24"/>
                <w:szCs w:val="24"/>
              </w:rPr>
              <m:t>-1</m:t>
            </m:r>
          </m:sub>
        </m:sSub>
        <m:r>
          <m:rPr>
            <m:nor/>
          </m:rPr>
          <w:rPr>
            <w:rFonts w:ascii="Times New Roman" w:hAnsi="Times New Roman" w:cs="Times New Roman"/>
            <w:i/>
            <w:color w:val="231F20"/>
            <w:sz w:val="24"/>
            <w:szCs w:val="24"/>
          </w:rPr>
          <m:t>×</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 xml:space="preserve"> D</m:t>
            </m:r>
          </m:e>
          <m:sub>
            <m:r>
              <m:rPr>
                <m:nor/>
              </m:rPr>
              <w:rPr>
                <w:rFonts w:ascii="Times New Roman" w:hAnsi="Times New Roman" w:cs="Times New Roman"/>
                <w:i/>
                <w:color w:val="231F20"/>
                <w:sz w:val="24"/>
                <w:szCs w:val="24"/>
              </w:rPr>
              <m:t>REC</m:t>
            </m:r>
          </m:sub>
        </m:sSub>
        <m:r>
          <m:rPr>
            <m:nor/>
          </m:rPr>
          <w:rPr>
            <w:rFonts w:ascii="Times New Roman" w:hAnsi="Times New Roman" w:cs="Times New Roman"/>
            <w:i/>
            <w:color w:val="231F20"/>
            <w:sz w:val="24"/>
            <w:szCs w:val="24"/>
          </w:rPr>
          <m:t xml:space="preserve"> +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β</m:t>
            </m:r>
          </m:e>
          <m:sub>
            <m:r>
              <m:rPr>
                <m:nor/>
              </m:rPr>
              <w:rPr>
                <w:rFonts w:ascii="Times New Roman" w:hAnsi="Times New Roman" w:cs="Times New Roman"/>
                <w:color w:val="231F20"/>
                <w:sz w:val="24"/>
                <w:szCs w:val="24"/>
              </w:rPr>
              <m:t>2</m:t>
            </m:r>
          </m:sub>
        </m:sSub>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logVRP</m:t>
            </m:r>
          </m:e>
          <m:sub>
            <m:r>
              <m:rPr>
                <m:nor/>
              </m:rPr>
              <w:rPr>
                <w:rFonts w:ascii="Times New Roman" w:hAnsi="Times New Roman" w:cs="Times New Roman"/>
                <w:i/>
                <w:color w:val="231F20"/>
                <w:sz w:val="24"/>
                <w:szCs w:val="24"/>
              </w:rPr>
              <m:t>t</m:t>
            </m:r>
            <m:r>
              <m:rPr>
                <m:nor/>
              </m:rPr>
              <w:rPr>
                <w:rFonts w:ascii="Times New Roman" w:hAnsi="Times New Roman" w:cs="Times New Roman"/>
                <w:color w:val="231F20"/>
                <w:sz w:val="24"/>
                <w:szCs w:val="24"/>
              </w:rPr>
              <m:t>-1</m:t>
            </m:r>
          </m:sub>
        </m:sSub>
        <m:r>
          <m:rPr>
            <m:nor/>
          </m:rPr>
          <w:rPr>
            <w:rFonts w:ascii="Times New Roman" w:hAnsi="Times New Roman" w:cs="Times New Roman"/>
            <w:i/>
            <w:color w:val="231F20"/>
            <w:sz w:val="24"/>
            <w:szCs w:val="24"/>
          </w:rPr>
          <m:t xml:space="preserve">× </m:t>
        </m:r>
        <m:r>
          <m:rPr>
            <m:nor/>
          </m:rPr>
          <w:rPr>
            <w:rFonts w:ascii="Times New Roman" w:hAnsi="Times New Roman" w:cs="Times New Roman"/>
            <w:color w:val="231F20"/>
            <w:sz w:val="24"/>
            <w:szCs w:val="24"/>
          </w:rPr>
          <m:t>(1</m:t>
        </m:r>
        <m:r>
          <m:rPr>
            <m:nor/>
          </m:rPr>
          <w:rPr>
            <w:rFonts w:ascii="Times New Roman" w:hAnsi="Times New Roman" w:cs="Times New Roman"/>
            <w:i/>
            <w:color w:val="231F20"/>
            <w:sz w:val="24"/>
            <w:szCs w:val="24"/>
          </w:rPr>
          <m:t>-</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D</m:t>
            </m:r>
          </m:e>
          <m:sub>
            <m:r>
              <m:rPr>
                <m:nor/>
              </m:rPr>
              <w:rPr>
                <w:rFonts w:ascii="Times New Roman" w:hAnsi="Times New Roman" w:cs="Times New Roman"/>
                <w:i/>
                <w:color w:val="231F20"/>
                <w:sz w:val="24"/>
                <w:szCs w:val="24"/>
              </w:rPr>
              <m:t>REC</m:t>
            </m:r>
          </m:sub>
        </m:sSub>
        <m:r>
          <m:rPr>
            <m:nor/>
          </m:rPr>
          <w:rPr>
            <w:rFonts w:ascii="Times New Roman" w:hAnsi="Times New Roman" w:cs="Times New Roman"/>
            <w:color w:val="231F20"/>
            <w:sz w:val="24"/>
            <w:szCs w:val="24"/>
          </w:rPr>
          <m:t>)</m:t>
        </m:r>
        <m:r>
          <m:rPr>
            <m:nor/>
          </m:rPr>
          <w:rPr>
            <w:rFonts w:ascii="Times New Roman" w:hAnsi="Times New Roman" w:cs="Times New Roman"/>
            <w:i/>
            <w:color w:val="231F20"/>
            <w:sz w:val="24"/>
            <w:szCs w:val="24"/>
          </w:rPr>
          <m:t xml:space="preserve"> + </m:t>
        </m:r>
        <m:r>
          <m:rPr>
            <m:nor/>
          </m:rPr>
          <w:rPr>
            <w:rFonts w:ascii="Times New Roman" w:hAnsi="Times New Roman" w:cs="Times New Roman"/>
            <w:b/>
            <w:i/>
            <w:color w:val="231F20"/>
            <w:sz w:val="24"/>
            <w:szCs w:val="24"/>
          </w:rPr>
          <m:t xml:space="preserve">XΓ </m:t>
        </m:r>
        <m:r>
          <m:rPr>
            <m:nor/>
          </m:rPr>
          <w:rPr>
            <w:rFonts w:ascii="Times New Roman" w:hAnsi="Times New Roman" w:cs="Times New Roman"/>
            <w:i/>
            <w:color w:val="231F20"/>
            <w:sz w:val="24"/>
            <w:szCs w:val="24"/>
          </w:rPr>
          <m:t>+</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 xml:space="preserve"> ε</m:t>
            </m:r>
          </m:e>
          <m:sub>
            <m:r>
              <m:rPr>
                <m:nor/>
              </m:rPr>
              <w:rPr>
                <w:rFonts w:ascii="Times New Roman" w:hAnsi="Times New Roman" w:cs="Times New Roman"/>
                <w:i/>
                <w:color w:val="231F20"/>
                <w:sz w:val="24"/>
                <w:szCs w:val="24"/>
              </w:rPr>
              <m:t>t</m:t>
            </m:r>
          </m:sub>
        </m:sSub>
        <m:r>
          <m:rPr>
            <m:nor/>
          </m:rPr>
          <w:rPr>
            <w:rFonts w:ascii="Times New Roman" w:hAnsi="Times New Roman" w:cs="Times New Roman"/>
            <w:color w:val="231F20"/>
            <w:sz w:val="24"/>
            <w:szCs w:val="24"/>
          </w:rPr>
          <m:t>,</m:t>
        </m:r>
      </m:oMath>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t>(2)</w:t>
      </w:r>
    </w:p>
    <w:p w14:paraId="34496875" w14:textId="035A45B0" w:rsidR="007C3344" w:rsidRDefault="007C3344" w:rsidP="00D44BAE">
      <w:pPr>
        <w:spacing w:after="0" w:line="480" w:lineRule="auto"/>
        <w:jc w:val="both"/>
        <w:rPr>
          <w:rFonts w:ascii="Times New Roman" w:eastAsiaTheme="minorEastAsia" w:hAnsi="Times New Roman" w:cs="Times New Roman"/>
          <w:color w:val="231F20"/>
          <w:sz w:val="24"/>
          <w:szCs w:val="24"/>
        </w:rPr>
      </w:pPr>
      <w:r>
        <w:rPr>
          <w:rFonts w:ascii="Times New Roman" w:hAnsi="Times New Roman" w:cs="Times New Roman"/>
          <w:sz w:val="24"/>
          <w:szCs w:val="24"/>
        </w:rPr>
        <w:t xml:space="preserve">where all the variables are defined in the same way as equation (1). </w:t>
      </w:r>
      <w:r>
        <w:rPr>
          <w:rFonts w:ascii="Times New Roman" w:hAnsi="Times New Roman" w:cs="Times New Roman"/>
          <w:color w:val="231F20"/>
          <w:sz w:val="24"/>
          <w:szCs w:val="24"/>
        </w:rPr>
        <w:t xml:space="preserve">Here,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D</m:t>
            </m:r>
          </m:e>
          <m:sub>
            <m:r>
              <m:rPr>
                <m:nor/>
              </m:rPr>
              <w:rPr>
                <w:rFonts w:ascii="Times New Roman" w:hAnsi="Times New Roman" w:cs="Times New Roman"/>
                <w:i/>
                <w:color w:val="231F20"/>
                <w:sz w:val="24"/>
                <w:szCs w:val="24"/>
              </w:rPr>
              <m:t>REC</m:t>
            </m:r>
          </m:sub>
        </m:sSub>
        <m:r>
          <m:rPr>
            <m:nor/>
          </m:rPr>
          <w:rPr>
            <w:rFonts w:ascii="Cambria Math" w:hAnsi="Times New Roman" w:cs="Times New Roman"/>
            <w:color w:val="231F20"/>
            <w:sz w:val="24"/>
            <w:szCs w:val="24"/>
          </w:rPr>
          <m:t xml:space="preserve"> </m:t>
        </m:r>
        <m:r>
          <m:rPr>
            <m:nor/>
          </m:rPr>
          <w:rPr>
            <w:rFonts w:ascii="Times New Roman" w:hAnsi="Times New Roman" w:cs="Times New Roman"/>
            <w:color w:val="231F20"/>
            <w:sz w:val="24"/>
            <w:szCs w:val="24"/>
          </w:rPr>
          <m:t>=</m:t>
        </m:r>
        <m:r>
          <m:rPr>
            <m:nor/>
          </m:rPr>
          <w:rPr>
            <w:rFonts w:ascii="Cambria Math" w:hAnsi="Times New Roman" w:cs="Times New Roman"/>
            <w:color w:val="231F20"/>
            <w:sz w:val="24"/>
            <w:szCs w:val="24"/>
          </w:rPr>
          <m:t xml:space="preserve"> </m:t>
        </m:r>
        <m:r>
          <m:rPr>
            <m:nor/>
          </m:rPr>
          <w:rPr>
            <w:rFonts w:ascii="Times New Roman" w:hAnsi="Times New Roman" w:cs="Times New Roman"/>
            <w:color w:val="231F20"/>
            <w:sz w:val="24"/>
            <w:szCs w:val="24"/>
          </w:rPr>
          <m:t>1</m:t>
        </m:r>
      </m:oMath>
      <w:r>
        <w:rPr>
          <w:rFonts w:ascii="Times New Roman" w:eastAsiaTheme="minorEastAsia" w:hAnsi="Times New Roman" w:cs="Times New Roman"/>
          <w:color w:val="231F20"/>
          <w:sz w:val="24"/>
          <w:szCs w:val="24"/>
        </w:rPr>
        <w:t xml:space="preserve"> for the NBER recession dates 1990:3-1991:1, 2001:1-2001:4 and 2007:4-2009:2, and 0 otherwise. The effects of uncertainty measured during recession and non-recession periods are captured by the coefficients</w:t>
      </w:r>
      <w:r w:rsidRPr="00122F2A">
        <w:rPr>
          <w:rFonts w:ascii="Times New Roman" w:eastAsiaTheme="minorEastAsia" w:hAnsi="Times New Roman" w:cs="Times New Roman"/>
          <w:color w:val="231F20"/>
          <w:sz w:val="24"/>
          <w:szCs w:val="24"/>
        </w:rPr>
        <w:t xml:space="preserve">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β</m:t>
            </m:r>
          </m:e>
          <m:sub>
            <m:r>
              <m:rPr>
                <m:nor/>
              </m:rPr>
              <w:rPr>
                <w:rFonts w:ascii="Times New Roman" w:hAnsi="Times New Roman" w:cs="Times New Roman"/>
                <w:color w:val="231F20"/>
                <w:sz w:val="24"/>
                <w:szCs w:val="24"/>
              </w:rPr>
              <m:t>1</m:t>
            </m:r>
          </m:sub>
        </m:sSub>
      </m:oMath>
      <w:r>
        <w:rPr>
          <w:rFonts w:ascii="Times New Roman" w:eastAsiaTheme="minorEastAsia" w:hAnsi="Times New Roman" w:cs="Times New Roman"/>
          <w:color w:val="231F20"/>
          <w:sz w:val="24"/>
          <w:szCs w:val="24"/>
        </w:rPr>
        <w:t xml:space="preserve"> and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β</m:t>
            </m:r>
          </m:e>
          <m:sub>
            <m:r>
              <m:rPr>
                <m:nor/>
              </m:rPr>
              <w:rPr>
                <w:rFonts w:ascii="Times New Roman" w:hAnsi="Times New Roman" w:cs="Times New Roman"/>
                <w:color w:val="231F20"/>
                <w:sz w:val="24"/>
                <w:szCs w:val="24"/>
              </w:rPr>
              <m:t>2</m:t>
            </m:r>
          </m:sub>
        </m:sSub>
      </m:oMath>
      <w:r>
        <w:rPr>
          <w:rFonts w:ascii="Times New Roman" w:eastAsiaTheme="minorEastAsia" w:hAnsi="Times New Roman" w:cs="Times New Roman"/>
          <w:color w:val="231F20"/>
          <w:sz w:val="24"/>
          <w:szCs w:val="24"/>
        </w:rPr>
        <w:t xml:space="preserve">, respectively. Table 4 Panel B reports the estimation results for the non-price loan terms while Panel C for loan quantity and </w:t>
      </w:r>
      <w:r>
        <w:rPr>
          <w:rFonts w:ascii="Times New Roman" w:eastAsiaTheme="minorEastAsia" w:hAnsi="Times New Roman" w:cs="Times New Roman"/>
          <w:color w:val="231F20"/>
          <w:sz w:val="24"/>
          <w:szCs w:val="24"/>
        </w:rPr>
        <w:lastRenderedPageBreak/>
        <w:t>spreads. It can be seen that</w:t>
      </w:r>
      <w:r>
        <w:rPr>
          <w:rFonts w:ascii="Times New Roman" w:hAnsi="Times New Roman" w:cs="Times New Roman"/>
          <w:color w:val="231F20"/>
          <w:sz w:val="24"/>
          <w:szCs w:val="24"/>
        </w:rPr>
        <w:t xml:space="preserve"> the effects of VRP during recession and non-recession periods on all measures of loan quantity, price and non-price terms are statistically significant at the 5% level except for loan size and collateral requirements for the STBL data and loan maturity for the SLOOS data. In general, the coefficient estimates are larger during recession compared to non-recession periods, suggesting that uncertainty during economic recessions is more detrimental to the loan market. </w:t>
      </w:r>
      <w:r w:rsidRPr="00457024">
        <w:rPr>
          <w:rFonts w:ascii="Times New Roman" w:hAnsi="Times New Roman" w:cs="Times New Roman"/>
          <w:color w:val="231F20"/>
          <w:sz w:val="24"/>
          <w:szCs w:val="24"/>
        </w:rPr>
        <w:t xml:space="preserve">The null hypothesis of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H</m:t>
            </m:r>
          </m:e>
          <m:sub>
            <m:r>
              <m:rPr>
                <m:nor/>
              </m:rPr>
              <w:rPr>
                <w:rFonts w:ascii="Times New Roman" w:hAnsi="Times New Roman" w:cs="Times New Roman"/>
                <w:color w:val="231F20"/>
                <w:sz w:val="24"/>
                <w:szCs w:val="24"/>
              </w:rPr>
              <m:t>0</m:t>
            </m:r>
          </m:sub>
        </m:sSub>
        <m:r>
          <m:rPr>
            <m:nor/>
          </m:rPr>
          <w:rPr>
            <w:rFonts w:ascii="Times New Roman" w:hAnsi="Times New Roman" w:cs="Times New Roman"/>
            <w:color w:val="231F20"/>
            <w:sz w:val="24"/>
            <w:szCs w:val="24"/>
          </w:rPr>
          <m:t xml:space="preserve">: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β</m:t>
            </m:r>
          </m:e>
          <m:sub>
            <m:r>
              <m:rPr>
                <m:nor/>
              </m:rPr>
              <w:rPr>
                <w:rFonts w:ascii="Times New Roman" w:hAnsi="Times New Roman" w:cs="Times New Roman"/>
                <w:color w:val="231F20"/>
                <w:sz w:val="24"/>
                <w:szCs w:val="24"/>
              </w:rPr>
              <m:t>1</m:t>
            </m:r>
          </m:sub>
        </m:sSub>
      </m:oMath>
      <w:r w:rsidRPr="00457024">
        <w:rPr>
          <w:rFonts w:ascii="Times New Roman" w:eastAsiaTheme="minorEastAsia" w:hAnsi="Times New Roman" w:cs="Times New Roman"/>
          <w:color w:val="231F20"/>
          <w:sz w:val="24"/>
          <w:szCs w:val="24"/>
        </w:rPr>
        <w:t xml:space="preserve">=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β</m:t>
            </m:r>
          </m:e>
          <m:sub>
            <m:r>
              <m:rPr>
                <m:nor/>
              </m:rPr>
              <w:rPr>
                <w:rFonts w:ascii="Times New Roman" w:hAnsi="Times New Roman" w:cs="Times New Roman"/>
                <w:color w:val="231F20"/>
                <w:sz w:val="24"/>
                <w:szCs w:val="24"/>
              </w:rPr>
              <m:t>2</m:t>
            </m:r>
          </m:sub>
        </m:sSub>
      </m:oMath>
      <w:r w:rsidRPr="00457024">
        <w:rPr>
          <w:rFonts w:ascii="Times New Roman" w:eastAsiaTheme="minorEastAsia" w:hAnsi="Times New Roman" w:cs="Times New Roman"/>
          <w:color w:val="231F20"/>
          <w:sz w:val="24"/>
          <w:szCs w:val="24"/>
        </w:rPr>
        <w:t xml:space="preserve"> is rejected in the case of </w:t>
      </w:r>
      <w:r w:rsidRPr="00457024">
        <w:rPr>
          <w:rFonts w:ascii="Times New Roman" w:eastAsiaTheme="minorEastAsia" w:hAnsi="Times New Roman" w:cs="Times New Roman"/>
          <w:i/>
          <w:color w:val="231F20"/>
          <w:sz w:val="24"/>
          <w:szCs w:val="24"/>
        </w:rPr>
        <w:t>Standard_LM</w:t>
      </w:r>
      <w:r w:rsidRPr="00457024">
        <w:rPr>
          <w:rFonts w:ascii="Times New Roman" w:eastAsiaTheme="minorEastAsia" w:hAnsi="Times New Roman" w:cs="Times New Roman"/>
          <w:color w:val="231F20"/>
          <w:sz w:val="24"/>
          <w:szCs w:val="24"/>
        </w:rPr>
        <w:t xml:space="preserve">, </w:t>
      </w:r>
      <w:r w:rsidRPr="00457024">
        <w:rPr>
          <w:rFonts w:ascii="Times New Roman" w:eastAsiaTheme="minorEastAsia" w:hAnsi="Times New Roman" w:cs="Times New Roman"/>
          <w:i/>
          <w:color w:val="231F20"/>
          <w:sz w:val="24"/>
          <w:szCs w:val="24"/>
        </w:rPr>
        <w:t>Standard_S</w:t>
      </w:r>
      <w:r w:rsidRPr="00457024">
        <w:rPr>
          <w:rFonts w:ascii="Times New Roman" w:eastAsiaTheme="minorEastAsia" w:hAnsi="Times New Roman" w:cs="Times New Roman"/>
          <w:color w:val="231F20"/>
          <w:sz w:val="24"/>
          <w:szCs w:val="24"/>
        </w:rPr>
        <w:t xml:space="preserve">, </w:t>
      </w:r>
      <w:r w:rsidRPr="00457024">
        <w:rPr>
          <w:rFonts w:ascii="Times New Roman" w:eastAsiaTheme="minorEastAsia" w:hAnsi="Times New Roman" w:cs="Times New Roman"/>
          <w:i/>
          <w:color w:val="231F20"/>
          <w:sz w:val="24"/>
          <w:szCs w:val="24"/>
        </w:rPr>
        <w:t>Demand_S</w:t>
      </w:r>
      <w:r w:rsidRPr="00457024">
        <w:rPr>
          <w:rFonts w:ascii="Times New Roman" w:eastAsiaTheme="minorEastAsia" w:hAnsi="Times New Roman" w:cs="Times New Roman"/>
          <w:color w:val="231F20"/>
          <w:sz w:val="24"/>
          <w:szCs w:val="24"/>
        </w:rPr>
        <w:t xml:space="preserve">, </w:t>
      </w:r>
      <w:r w:rsidRPr="00457024">
        <w:rPr>
          <w:rFonts w:ascii="Times New Roman" w:eastAsiaTheme="minorEastAsia" w:hAnsi="Times New Roman" w:cs="Times New Roman"/>
          <w:i/>
          <w:color w:val="231F20"/>
          <w:sz w:val="24"/>
          <w:szCs w:val="24"/>
        </w:rPr>
        <w:t>Spr_LM,</w:t>
      </w:r>
      <w:r w:rsidRPr="00457024">
        <w:rPr>
          <w:rFonts w:ascii="Times New Roman" w:eastAsiaTheme="minorEastAsia" w:hAnsi="Times New Roman" w:cs="Times New Roman"/>
          <w:color w:val="231F20"/>
          <w:sz w:val="24"/>
          <w:szCs w:val="24"/>
        </w:rPr>
        <w:t xml:space="preserve"> </w:t>
      </w:r>
      <w:r w:rsidRPr="00457024">
        <w:rPr>
          <w:rFonts w:ascii="Times New Roman" w:eastAsiaTheme="minorEastAsia" w:hAnsi="Times New Roman" w:cs="Times New Roman"/>
          <w:i/>
          <w:color w:val="231F20"/>
          <w:sz w:val="24"/>
          <w:szCs w:val="24"/>
        </w:rPr>
        <w:t>Spr_S, LoanSize_LM, Maturity_LM and Secured_LM</w:t>
      </w:r>
      <w:r>
        <w:rPr>
          <w:rFonts w:ascii="Times New Roman" w:eastAsiaTheme="minorEastAsia" w:hAnsi="Times New Roman" w:cs="Times New Roman"/>
          <w:color w:val="231F20"/>
          <w:sz w:val="24"/>
          <w:szCs w:val="24"/>
        </w:rPr>
        <w:t>. To some degree this supports the contention that greater uncertainty associated with recessions has a more appreciable effect on loan quantity, price and non-price terms.</w:t>
      </w:r>
    </w:p>
    <w:p w14:paraId="149491CD" w14:textId="77777777" w:rsidR="00D50C95" w:rsidRDefault="00D50C95" w:rsidP="00D44BAE">
      <w:pPr>
        <w:pStyle w:val="a6"/>
        <w:autoSpaceDE w:val="0"/>
        <w:autoSpaceDN w:val="0"/>
        <w:adjustRightInd w:val="0"/>
        <w:spacing w:after="0" w:line="480" w:lineRule="auto"/>
        <w:ind w:left="0"/>
        <w:rPr>
          <w:rFonts w:ascii="Times New Roman" w:hAnsi="Times New Roman" w:cs="Times New Roman"/>
          <w:b/>
          <w:sz w:val="24"/>
          <w:szCs w:val="24"/>
        </w:rPr>
      </w:pPr>
    </w:p>
    <w:p w14:paraId="7F392D09" w14:textId="0B80BCC5" w:rsidR="007C3344" w:rsidRPr="00D50C95" w:rsidRDefault="007C3344" w:rsidP="00D44BAE">
      <w:pPr>
        <w:pStyle w:val="a6"/>
        <w:autoSpaceDE w:val="0"/>
        <w:autoSpaceDN w:val="0"/>
        <w:adjustRightInd w:val="0"/>
        <w:spacing w:after="0" w:line="480" w:lineRule="auto"/>
        <w:ind w:left="0"/>
        <w:rPr>
          <w:rFonts w:ascii="Times New Roman" w:hAnsi="Times New Roman" w:cs="Times New Roman"/>
          <w:b/>
          <w:i/>
          <w:sz w:val="24"/>
          <w:szCs w:val="24"/>
        </w:rPr>
      </w:pPr>
      <w:r w:rsidRPr="00D50C95">
        <w:rPr>
          <w:rFonts w:ascii="Times New Roman" w:hAnsi="Times New Roman" w:cs="Times New Roman"/>
          <w:b/>
          <w:i/>
          <w:sz w:val="24"/>
          <w:szCs w:val="24"/>
        </w:rPr>
        <w:t xml:space="preserve">4.2 Disentangling the </w:t>
      </w:r>
      <w:r w:rsidR="00D50C95" w:rsidRPr="00D50C95">
        <w:rPr>
          <w:rFonts w:ascii="Times New Roman" w:hAnsi="Times New Roman" w:cs="Times New Roman"/>
          <w:b/>
          <w:i/>
          <w:sz w:val="24"/>
          <w:szCs w:val="24"/>
        </w:rPr>
        <w:t>E</w:t>
      </w:r>
      <w:r w:rsidRPr="00D50C95">
        <w:rPr>
          <w:rFonts w:ascii="Times New Roman" w:hAnsi="Times New Roman" w:cs="Times New Roman"/>
          <w:b/>
          <w:i/>
          <w:sz w:val="24"/>
          <w:szCs w:val="24"/>
        </w:rPr>
        <w:t xml:space="preserve">ffect of </w:t>
      </w:r>
      <w:r w:rsidR="00D50C95" w:rsidRPr="00D50C95">
        <w:rPr>
          <w:rFonts w:ascii="Times New Roman" w:hAnsi="Times New Roman" w:cs="Times New Roman"/>
          <w:b/>
          <w:i/>
          <w:sz w:val="24"/>
          <w:szCs w:val="24"/>
        </w:rPr>
        <w:t>U</w:t>
      </w:r>
      <w:r w:rsidRPr="00D50C95">
        <w:rPr>
          <w:rFonts w:ascii="Times New Roman" w:hAnsi="Times New Roman" w:cs="Times New Roman"/>
          <w:b/>
          <w:i/>
          <w:sz w:val="24"/>
          <w:szCs w:val="24"/>
        </w:rPr>
        <w:t xml:space="preserve">ncertainty on </w:t>
      </w:r>
      <w:r w:rsidR="00D50C95" w:rsidRPr="00D50C95">
        <w:rPr>
          <w:rFonts w:ascii="Times New Roman" w:hAnsi="Times New Roman" w:cs="Times New Roman"/>
          <w:b/>
          <w:i/>
          <w:sz w:val="24"/>
          <w:szCs w:val="24"/>
        </w:rPr>
        <w:t>Loan D</w:t>
      </w:r>
      <w:r w:rsidRPr="00D50C95">
        <w:rPr>
          <w:rFonts w:ascii="Times New Roman" w:hAnsi="Times New Roman" w:cs="Times New Roman"/>
          <w:b/>
          <w:i/>
          <w:sz w:val="24"/>
          <w:szCs w:val="24"/>
        </w:rPr>
        <w:t xml:space="preserve">emand and </w:t>
      </w:r>
      <w:r w:rsidR="00D50C95" w:rsidRPr="00D50C95">
        <w:rPr>
          <w:rFonts w:ascii="Times New Roman" w:hAnsi="Times New Roman" w:cs="Times New Roman"/>
          <w:b/>
          <w:i/>
          <w:sz w:val="24"/>
          <w:szCs w:val="24"/>
        </w:rPr>
        <w:t>Supply</w:t>
      </w:r>
    </w:p>
    <w:p w14:paraId="64D68770" w14:textId="77777777" w:rsidR="00D50C95" w:rsidRDefault="00D50C95" w:rsidP="00D44BAE">
      <w:pPr>
        <w:pStyle w:val="a6"/>
        <w:autoSpaceDE w:val="0"/>
        <w:autoSpaceDN w:val="0"/>
        <w:adjustRightInd w:val="0"/>
        <w:spacing w:after="0" w:line="480" w:lineRule="auto"/>
        <w:ind w:left="0"/>
        <w:rPr>
          <w:rFonts w:ascii="Times New Roman" w:hAnsi="Times New Roman" w:cs="Times New Roman"/>
          <w:b/>
          <w:sz w:val="24"/>
          <w:szCs w:val="24"/>
        </w:rPr>
      </w:pPr>
    </w:p>
    <w:p w14:paraId="4F81BEFC" w14:textId="5C197101" w:rsidR="007C3344" w:rsidRDefault="007C3344" w:rsidP="00D44BAE">
      <w:pPr>
        <w:pStyle w:val="a6"/>
        <w:autoSpaceDE w:val="0"/>
        <w:autoSpaceDN w:val="0"/>
        <w:adjustRightInd w:val="0"/>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Given that we observe periods of greater uncertainty are associated with the pro-cyclical behavior of bank loans, we need to isolate movements in loan supply in a time series context in order to assess the influence VRP has on loan demand and supply.</w:t>
      </w:r>
      <w:r w:rsidR="001A71F3">
        <w:rPr>
          <w:rStyle w:val="af7"/>
          <w:rFonts w:ascii="Times New Roman" w:hAnsi="Times New Roman" w:cs="Times New Roman"/>
          <w:sz w:val="24"/>
          <w:szCs w:val="24"/>
        </w:rPr>
        <w:endnoteReference w:id="16"/>
      </w:r>
      <w:r w:rsidR="001A71F3">
        <w:rPr>
          <w:rFonts w:ascii="Times New Roman" w:hAnsi="Times New Roman" w:cs="Times New Roman"/>
          <w:sz w:val="24"/>
          <w:szCs w:val="24"/>
        </w:rPr>
        <w:t xml:space="preserve"> </w:t>
      </w:r>
      <w:r>
        <w:rPr>
          <w:rFonts w:ascii="Times New Roman" w:hAnsi="Times New Roman" w:cs="Times New Roman"/>
          <w:sz w:val="24"/>
          <w:szCs w:val="24"/>
        </w:rPr>
        <w:t xml:space="preserve">We follow </w:t>
      </w:r>
      <w:r w:rsidRPr="00B00AA8">
        <w:rPr>
          <w:rFonts w:ascii="Times New Roman" w:hAnsi="Times New Roman" w:cs="Times New Roman"/>
          <w:sz w:val="24"/>
          <w:szCs w:val="24"/>
        </w:rPr>
        <w:t>Kashyap, Stein, and Wilcox</w:t>
      </w:r>
      <w:r>
        <w:rPr>
          <w:rFonts w:ascii="Times New Roman" w:hAnsi="Times New Roman" w:cs="Times New Roman"/>
          <w:sz w:val="24"/>
          <w:szCs w:val="24"/>
        </w:rPr>
        <w:t xml:space="preserve"> (1993) and Becker and Ivashina (2014) and use the substitution between bank loan and public debt at the aggregate level to disentangle the supply effect from the demand effect. The idea is that in periods of greater economic uncertainty, besides </w:t>
      </w:r>
      <w:r>
        <w:rPr>
          <w:rFonts w:ascii="Times New Roman" w:hAnsi="Times New Roman" w:cs="Times New Roman"/>
          <w:color w:val="231F20"/>
          <w:sz w:val="24"/>
          <w:szCs w:val="24"/>
        </w:rPr>
        <w:t>bank credit</w:t>
      </w:r>
      <w:r>
        <w:rPr>
          <w:rFonts w:ascii="Times New Roman" w:hAnsi="Times New Roman" w:cs="Times New Roman"/>
          <w:sz w:val="24"/>
          <w:szCs w:val="24"/>
        </w:rPr>
        <w:t xml:space="preserve"> supply and demand decrease, one should expect the demand for non-bank sources of credit to decline as well, leading to a reduction in the volume of bonds and commercial paper issues. However, if the result of heightened uncertainty leads to a greater reduction in the supply of bank loans than the fall in the </w:t>
      </w:r>
      <w:r w:rsidRPr="00284E3D">
        <w:rPr>
          <w:rFonts w:ascii="Times New Roman" w:hAnsi="Times New Roman" w:cs="Times New Roman"/>
          <w:sz w:val="24"/>
          <w:szCs w:val="24"/>
        </w:rPr>
        <w:t>demand for bank loans</w:t>
      </w:r>
      <w:r>
        <w:rPr>
          <w:rFonts w:ascii="Times New Roman" w:hAnsi="Times New Roman" w:cs="Times New Roman"/>
          <w:sz w:val="24"/>
          <w:szCs w:val="24"/>
        </w:rPr>
        <w:t xml:space="preserve">, one might expect a smaller decline (or even an increase) in bonds and commercial paper issuance to the extent that firms have some ability to </w:t>
      </w:r>
      <w:r>
        <w:rPr>
          <w:rFonts w:ascii="Times New Roman" w:hAnsi="Times New Roman" w:cs="Times New Roman"/>
          <w:sz w:val="24"/>
          <w:szCs w:val="24"/>
        </w:rPr>
        <w:lastRenderedPageBreak/>
        <w:t xml:space="preserve">substitute between the two sources of finance (i.e. loans versus public debt). In other words, if there is a contraction in both loan supply and demand, and the contraction in loan supply is greater than that in loan demand, this will lead to an </w:t>
      </w:r>
      <w:r w:rsidRPr="0066401F">
        <w:rPr>
          <w:rFonts w:ascii="Times New Roman" w:hAnsi="Times New Roman" w:cs="Times New Roman"/>
          <w:sz w:val="24"/>
          <w:szCs w:val="24"/>
        </w:rPr>
        <w:t>excess demand</w:t>
      </w:r>
      <w:r>
        <w:rPr>
          <w:rFonts w:ascii="Times New Roman" w:hAnsi="Times New Roman" w:cs="Times New Roman"/>
          <w:sz w:val="24"/>
          <w:szCs w:val="24"/>
        </w:rPr>
        <w:t xml:space="preserve"> in the loan market, in which case some firms will shift their loan demand to bond demand. Some firms issue bonds to substitute for loans given that bonds are cheaper and are readily accessible than loans at that time. The revealed choice of debt at the aggregate level is used as a proxy for the intensity in the variation of bank credit supply. The loan-to-bond substitution measure becomes our identification strategy to determine whether uncertainty exerts a bigger influence on loan supply or demand.</w:t>
      </w:r>
    </w:p>
    <w:p w14:paraId="3F88A82F" w14:textId="77777777" w:rsidR="007C3344" w:rsidRDefault="007C3344" w:rsidP="00D44BAE">
      <w:pPr>
        <w:pStyle w:val="a6"/>
        <w:autoSpaceDE w:val="0"/>
        <w:autoSpaceDN w:val="0"/>
        <w:adjustRightInd w:val="0"/>
        <w:spacing w:after="0" w:line="480" w:lineRule="auto"/>
        <w:ind w:left="0" w:firstLineChars="297" w:firstLine="713"/>
        <w:jc w:val="both"/>
        <w:rPr>
          <w:rFonts w:ascii="Times New Roman" w:eastAsiaTheme="minorEastAsia" w:hAnsi="Times New Roman" w:cs="Times New Roman"/>
          <w:sz w:val="24"/>
          <w:szCs w:val="24"/>
        </w:rPr>
      </w:pPr>
      <w:r>
        <w:rPr>
          <w:rFonts w:ascii="Times New Roman" w:hAnsi="Times New Roman" w:cs="Times New Roman"/>
          <w:sz w:val="24"/>
          <w:szCs w:val="24"/>
        </w:rPr>
        <w:t xml:space="preserve">We construct the time series of aggregate U.S. non-farm, non-financial corporate debt from Flow of Funds data which are reported by the Federal Reserve Board. The bank debt series comprises data on Bank Loans Not Elsewhere Classified and Other Loans and Advances. The public debt series consists of both Corporate Bonds and Commercial Paper. There are two measures of loan-to-bond substitution: firstly, we define </w:t>
      </w:r>
      <w:r w:rsidRPr="00D3123F">
        <w:rPr>
          <w:rFonts w:ascii="Times New Roman" w:hAnsi="Times New Roman" w:cs="Times New Roman"/>
          <w:i/>
          <w:sz w:val="24"/>
          <w:szCs w:val="24"/>
        </w:rPr>
        <w:t>Loan-Bond</w:t>
      </w:r>
      <w:r>
        <w:rPr>
          <w:rFonts w:ascii="Times New Roman" w:hAnsi="Times New Roman" w:cs="Times New Roman"/>
          <w:sz w:val="24"/>
          <w:szCs w:val="24"/>
        </w:rPr>
        <w:t xml:space="preserve"> as the difference in the growth rates between bank debt and public debt</w:t>
      </w:r>
      <w:r>
        <w:rPr>
          <w:rFonts w:ascii="Times New Roman" w:eastAsiaTheme="minorEastAsia" w:hAnsi="Times New Roman" w:cs="Times New Roman"/>
          <w:sz w:val="24"/>
          <w:szCs w:val="24"/>
        </w:rPr>
        <w:t xml:space="preserve"> and secondly, we define </w:t>
      </w:r>
      <w:r w:rsidRPr="00D3123F">
        <w:rPr>
          <w:rFonts w:ascii="Times New Roman" w:eastAsiaTheme="minorEastAsia" w:hAnsi="Times New Roman" w:cs="Times New Roman"/>
          <w:i/>
          <w:sz w:val="24"/>
          <w:szCs w:val="24"/>
        </w:rPr>
        <w:t>Loan/Debt</w:t>
      </w:r>
      <w:r>
        <w:rPr>
          <w:rFonts w:ascii="Times New Roman" w:eastAsiaTheme="minorEastAsia" w:hAnsi="Times New Roman" w:cs="Times New Roman"/>
          <w:sz w:val="24"/>
          <w:szCs w:val="24"/>
        </w:rPr>
        <w:t xml:space="preserve"> as the change in the ratio of bank debt to the sum of bank debt and public debt, which is consistent with </w:t>
      </w:r>
      <w:r w:rsidRPr="00B00AA8">
        <w:rPr>
          <w:rFonts w:ascii="Times New Roman" w:eastAsiaTheme="minorEastAsia" w:hAnsi="Times New Roman" w:cs="Times New Roman"/>
          <w:sz w:val="24"/>
          <w:szCs w:val="24"/>
        </w:rPr>
        <w:t>Kashyap, Stein, and Wilcox</w:t>
      </w:r>
      <w:r>
        <w:rPr>
          <w:rFonts w:ascii="Times New Roman" w:eastAsiaTheme="minorEastAsia" w:hAnsi="Times New Roman" w:cs="Times New Roman"/>
          <w:sz w:val="24"/>
          <w:szCs w:val="24"/>
        </w:rPr>
        <w:t>’s (1993) construction of the variable “mix”.</w:t>
      </w:r>
    </w:p>
    <w:p w14:paraId="78A8D65B" w14:textId="2BA83B41" w:rsidR="007C3344" w:rsidRDefault="007C3344" w:rsidP="00D44BAE">
      <w:pPr>
        <w:pStyle w:val="a6"/>
        <w:autoSpaceDE w:val="0"/>
        <w:autoSpaceDN w:val="0"/>
        <w:adjustRightInd w:val="0"/>
        <w:spacing w:after="0" w:line="480" w:lineRule="auto"/>
        <w:ind w:left="0" w:firstLine="720"/>
        <w:jc w:val="both"/>
        <w:rPr>
          <w:rFonts w:ascii="Times New Roman" w:hAnsi="Times New Roman" w:cs="Times New Roman"/>
          <w:sz w:val="24"/>
          <w:szCs w:val="24"/>
        </w:rPr>
      </w:pPr>
      <w:r>
        <w:rPr>
          <w:rFonts w:ascii="Times New Roman" w:eastAsiaTheme="minorEastAsia" w:hAnsi="Times New Roman" w:cs="Times New Roman"/>
          <w:sz w:val="24"/>
          <w:szCs w:val="24"/>
        </w:rPr>
        <w:t>The estimated regression takes the following form:</w:t>
      </w:r>
    </w:p>
    <w:p w14:paraId="0034659C" w14:textId="389E7A8B" w:rsidR="007C3344" w:rsidRDefault="00C64E14" w:rsidP="00D44BAE">
      <w:pPr>
        <w:pStyle w:val="a6"/>
        <w:autoSpaceDE w:val="0"/>
        <w:autoSpaceDN w:val="0"/>
        <w:adjustRightInd w:val="0"/>
        <w:spacing w:after="0" w:line="480" w:lineRule="auto"/>
        <w:ind w:left="0" w:firstLineChars="297" w:firstLine="713"/>
        <w:jc w:val="both"/>
        <w:rPr>
          <w:rFonts w:ascii="Times New Roman" w:eastAsiaTheme="minorEastAsia" w:hAnsi="Times New Roman" w:cs="Times New Roman"/>
          <w:color w:val="231F20"/>
          <w:sz w:val="24"/>
          <w:szCs w:val="24"/>
        </w:rPr>
      </w:pP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Z</m:t>
            </m:r>
          </m:e>
          <m:sub>
            <m:r>
              <m:rPr>
                <m:nor/>
              </m:rPr>
              <w:rPr>
                <w:rFonts w:ascii="Times New Roman" w:hAnsi="Times New Roman" w:cs="Times New Roman"/>
                <w:i/>
                <w:color w:val="231F20"/>
                <w:sz w:val="24"/>
                <w:szCs w:val="24"/>
              </w:rPr>
              <m:t>t</m:t>
            </m:r>
          </m:sub>
        </m:sSub>
        <m:r>
          <m:rPr>
            <m:nor/>
          </m:rPr>
          <w:rPr>
            <w:rFonts w:ascii="Times New Roman" w:hAnsi="Times New Roman" w:cs="Times New Roman"/>
            <w:i/>
            <w:color w:val="231F20"/>
            <w:sz w:val="24"/>
            <w:szCs w:val="24"/>
          </w:rPr>
          <m:t xml:space="preserve"> = α + β</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logVRP</m:t>
            </m:r>
          </m:e>
          <m:sub>
            <m:r>
              <m:rPr>
                <m:nor/>
              </m:rPr>
              <w:rPr>
                <w:rFonts w:ascii="Times New Roman" w:hAnsi="Times New Roman" w:cs="Times New Roman"/>
                <w:i/>
                <w:color w:val="231F20"/>
                <w:sz w:val="24"/>
                <w:szCs w:val="24"/>
              </w:rPr>
              <m:t>t</m:t>
            </m:r>
            <m:r>
              <m:rPr>
                <m:nor/>
              </m:rPr>
              <w:rPr>
                <w:rFonts w:ascii="Times New Roman" w:hAnsi="Times New Roman" w:cs="Times New Roman"/>
                <w:color w:val="231F20"/>
                <w:sz w:val="24"/>
                <w:szCs w:val="24"/>
              </w:rPr>
              <m:t>-1</m:t>
            </m:r>
          </m:sub>
        </m:sSub>
        <m:r>
          <m:rPr>
            <m:nor/>
          </m:rPr>
          <w:rPr>
            <w:rFonts w:ascii="Times New Roman" w:hAnsi="Times New Roman" w:cs="Times New Roman"/>
            <w:i/>
            <w:color w:val="231F20"/>
            <w:sz w:val="24"/>
            <w:szCs w:val="24"/>
          </w:rPr>
          <m:t xml:space="preserve"> + </m:t>
        </m:r>
        <m:r>
          <m:rPr>
            <m:nor/>
          </m:rPr>
          <w:rPr>
            <w:rFonts w:ascii="Times New Roman" w:hAnsi="Times New Roman" w:cs="Times New Roman"/>
            <w:b/>
            <w:i/>
            <w:color w:val="231F20"/>
            <w:sz w:val="24"/>
            <w:szCs w:val="24"/>
          </w:rPr>
          <m:t xml:space="preserve">XΓ </m:t>
        </m:r>
        <m:r>
          <m:rPr>
            <m:nor/>
          </m:rPr>
          <w:rPr>
            <w:rFonts w:ascii="Times New Roman"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ε</m:t>
            </m:r>
          </m:e>
          <m:sub>
            <m:r>
              <m:rPr>
                <m:nor/>
              </m:rPr>
              <w:rPr>
                <w:rFonts w:ascii="Times New Roman" w:hAnsi="Times New Roman" w:cs="Times New Roman"/>
                <w:i/>
                <w:color w:val="231F20"/>
                <w:sz w:val="24"/>
                <w:szCs w:val="24"/>
              </w:rPr>
              <m:t>t</m:t>
            </m:r>
          </m:sub>
        </m:sSub>
        <m:r>
          <m:rPr>
            <m:nor/>
          </m:rPr>
          <w:rPr>
            <w:rFonts w:ascii="Times New Roman" w:hAnsi="Times New Roman" w:cs="Times New Roman"/>
            <w:color w:val="231F20"/>
            <w:sz w:val="24"/>
            <w:szCs w:val="24"/>
          </w:rPr>
          <m:t>,</m:t>
        </m:r>
      </m:oMath>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r>
      <w:r w:rsidR="007C3344">
        <w:rPr>
          <w:rFonts w:ascii="Times New Roman" w:eastAsiaTheme="minorEastAsia" w:hAnsi="Times New Roman" w:cs="Times New Roman"/>
          <w:color w:val="231F20"/>
          <w:sz w:val="24"/>
          <w:szCs w:val="24"/>
        </w:rPr>
        <w:tab/>
        <w:t>(3)</w:t>
      </w:r>
    </w:p>
    <w:p w14:paraId="752AD195" w14:textId="742B4048" w:rsidR="007C3344" w:rsidRDefault="007C3344" w:rsidP="00D44BAE">
      <w:pPr>
        <w:pStyle w:val="a6"/>
        <w:autoSpaceDE w:val="0"/>
        <w:autoSpaceDN w:val="0"/>
        <w:adjustRightInd w:val="0"/>
        <w:spacing w:after="0" w:line="480" w:lineRule="auto"/>
        <w:ind w:left="0"/>
        <w:jc w:val="both"/>
        <w:rPr>
          <w:rFonts w:ascii="Times New Roman" w:eastAsiaTheme="minorEastAsia" w:hAnsi="Times New Roman" w:cs="Times New Roman"/>
          <w:color w:val="231F20"/>
          <w:sz w:val="24"/>
          <w:szCs w:val="24"/>
        </w:rPr>
      </w:pPr>
      <w:r w:rsidRPr="00721E9B">
        <w:rPr>
          <w:rFonts w:ascii="Times New Roman" w:eastAsiaTheme="minorEastAsia" w:hAnsi="Times New Roman" w:cs="Times New Roman"/>
          <w:color w:val="231F20"/>
          <w:sz w:val="24"/>
          <w:szCs w:val="24"/>
          <w:lang w:val="fr-FR"/>
        </w:rPr>
        <w:t xml:space="preserve">where </w:t>
      </w:r>
      <w:r>
        <w:rPr>
          <w:rFonts w:ascii="Times New Roman" w:eastAsiaTheme="minorEastAsia" w:hAnsi="Times New Roman" w:cs="Times New Roman"/>
          <w:color w:val="231F20"/>
          <w:sz w:val="24"/>
          <w:szCs w:val="24"/>
          <w:lang w:val="fr-FR"/>
        </w:rPr>
        <w:t>Z = {∆</w:t>
      </w:r>
      <w:r w:rsidRPr="0008623F">
        <w:rPr>
          <w:rFonts w:ascii="Times New Roman" w:eastAsiaTheme="minorEastAsia" w:hAnsi="Times New Roman" w:cs="Times New Roman"/>
          <w:i/>
          <w:color w:val="231F20"/>
          <w:sz w:val="24"/>
          <w:szCs w:val="24"/>
          <w:lang w:val="fr-FR"/>
        </w:rPr>
        <w:t>Loan_FoF</w:t>
      </w:r>
      <w:r>
        <w:rPr>
          <w:rFonts w:ascii="Times New Roman" w:eastAsiaTheme="minorEastAsia" w:hAnsi="Times New Roman" w:cs="Times New Roman"/>
          <w:color w:val="231F20"/>
          <w:sz w:val="24"/>
          <w:szCs w:val="24"/>
          <w:lang w:val="fr-FR"/>
        </w:rPr>
        <w:t>, ∆</w:t>
      </w:r>
      <w:r w:rsidRPr="0008623F">
        <w:rPr>
          <w:rFonts w:ascii="Times New Roman" w:eastAsiaTheme="minorEastAsia" w:hAnsi="Times New Roman" w:cs="Times New Roman"/>
          <w:i/>
          <w:color w:val="231F20"/>
          <w:sz w:val="24"/>
          <w:szCs w:val="24"/>
          <w:lang w:val="fr-FR"/>
        </w:rPr>
        <w:t>Bond_FoF</w:t>
      </w:r>
      <w:r>
        <w:rPr>
          <w:rFonts w:ascii="Times New Roman" w:eastAsiaTheme="minorEastAsia" w:hAnsi="Times New Roman" w:cs="Times New Roman"/>
          <w:color w:val="231F20"/>
          <w:sz w:val="24"/>
          <w:szCs w:val="24"/>
          <w:lang w:val="fr-FR"/>
        </w:rPr>
        <w:t xml:space="preserve">, </w:t>
      </w:r>
      <w:r w:rsidRPr="0008623F">
        <w:rPr>
          <w:rFonts w:ascii="Times New Roman" w:eastAsiaTheme="minorEastAsia" w:hAnsi="Times New Roman" w:cs="Times New Roman"/>
          <w:i/>
          <w:color w:val="231F20"/>
          <w:sz w:val="24"/>
          <w:szCs w:val="24"/>
          <w:lang w:val="fr-FR"/>
        </w:rPr>
        <w:t>Loan-Bond</w:t>
      </w:r>
      <w:r>
        <w:rPr>
          <w:rFonts w:ascii="Times New Roman" w:eastAsiaTheme="minorEastAsia" w:hAnsi="Times New Roman" w:cs="Times New Roman"/>
          <w:color w:val="231F20"/>
          <w:sz w:val="24"/>
          <w:szCs w:val="24"/>
          <w:lang w:val="fr-FR"/>
        </w:rPr>
        <w:t xml:space="preserve">, </w:t>
      </w:r>
      <w:r w:rsidRPr="0008623F">
        <w:rPr>
          <w:rFonts w:ascii="Times New Roman" w:eastAsiaTheme="minorEastAsia" w:hAnsi="Times New Roman" w:cs="Times New Roman"/>
          <w:i/>
          <w:color w:val="231F20"/>
          <w:sz w:val="24"/>
          <w:szCs w:val="24"/>
          <w:lang w:val="fr-FR"/>
        </w:rPr>
        <w:t>Loan/Debt</w:t>
      </w:r>
      <w:r>
        <w:rPr>
          <w:rFonts w:ascii="Times New Roman" w:eastAsiaTheme="minorEastAsia" w:hAnsi="Times New Roman" w:cs="Times New Roman"/>
          <w:color w:val="231F20"/>
          <w:sz w:val="24"/>
          <w:szCs w:val="24"/>
          <w:lang w:val="fr-FR"/>
        </w:rPr>
        <w:t>}</w:t>
      </w:r>
      <w:r w:rsidRPr="00721E9B">
        <w:rPr>
          <w:rFonts w:ascii="Times New Roman" w:eastAsiaTheme="minorEastAsia" w:hAnsi="Times New Roman" w:cs="Times New Roman"/>
          <w:sz w:val="24"/>
          <w:szCs w:val="24"/>
          <w:lang w:val="fr-FR"/>
        </w:rPr>
        <w:t xml:space="preserve">. </w:t>
      </w:r>
      <w:r>
        <w:rPr>
          <w:rFonts w:ascii="Times New Roman" w:eastAsiaTheme="minorEastAsia" w:hAnsi="Times New Roman" w:cs="Times New Roman"/>
          <w:sz w:val="24"/>
          <w:szCs w:val="24"/>
        </w:rPr>
        <w:t xml:space="preserve">The term </w:t>
      </w:r>
      <m:oMath>
        <m:r>
          <m:rPr>
            <m:sty m:val="bi"/>
          </m:rPr>
          <w:rPr>
            <w:rFonts w:ascii="Cambria Math" w:hAnsi="Cambria Math" w:cs="Times New Roman"/>
            <w:color w:val="231F20"/>
            <w:sz w:val="24"/>
            <w:szCs w:val="24"/>
          </w:rPr>
          <m:t>XΓ</m:t>
        </m:r>
      </m:oMath>
      <w:r>
        <w:rPr>
          <w:rFonts w:ascii="Times New Roman" w:eastAsiaTheme="minorEastAsia" w:hAnsi="Times New Roman" w:cs="Times New Roman"/>
          <w:sz w:val="24"/>
          <w:szCs w:val="24"/>
        </w:rPr>
        <w:t xml:space="preserve"> is defined in the same way as in regression (1). Similar to ∆</w:t>
      </w:r>
      <w:r w:rsidRPr="0008623F">
        <w:rPr>
          <w:rFonts w:ascii="Times New Roman" w:eastAsiaTheme="minorEastAsia" w:hAnsi="Times New Roman" w:cs="Times New Roman"/>
          <w:i/>
          <w:sz w:val="24"/>
          <w:szCs w:val="24"/>
        </w:rPr>
        <w:t>CI_Loan</w:t>
      </w:r>
      <w:r>
        <w:rPr>
          <w:rFonts w:ascii="Times New Roman" w:eastAsiaTheme="minorEastAsia" w:hAnsi="Times New Roman" w:cs="Times New Roman"/>
          <w:sz w:val="24"/>
          <w:szCs w:val="24"/>
        </w:rPr>
        <w:t xml:space="preserve">, </w:t>
      </w:r>
      <w:r>
        <w:rPr>
          <w:rFonts w:ascii="Times New Roman" w:eastAsiaTheme="minorEastAsia" w:hAnsi="Times New Roman" w:cs="Times New Roman"/>
          <w:color w:val="231F20"/>
          <w:sz w:val="24"/>
          <w:szCs w:val="24"/>
          <w:lang w:val="fr-FR"/>
        </w:rPr>
        <w:t>∆</w:t>
      </w:r>
      <w:r w:rsidRPr="0008623F">
        <w:rPr>
          <w:rFonts w:ascii="Times New Roman" w:eastAsiaTheme="minorEastAsia" w:hAnsi="Times New Roman" w:cs="Times New Roman"/>
          <w:i/>
          <w:color w:val="231F20"/>
          <w:sz w:val="24"/>
          <w:szCs w:val="24"/>
          <w:lang w:val="fr-FR"/>
        </w:rPr>
        <w:t>Loan_FoF</w:t>
      </w:r>
      <w:r>
        <w:rPr>
          <w:rFonts w:ascii="Times New Roman" w:eastAsiaTheme="minorEastAsia" w:hAnsi="Times New Roman" w:cs="Times New Roman"/>
          <w:sz w:val="24"/>
          <w:szCs w:val="24"/>
        </w:rPr>
        <w:t xml:space="preserve"> is the change in bank debt and </w:t>
      </w:r>
      <w:r>
        <w:rPr>
          <w:rFonts w:ascii="Times New Roman" w:eastAsiaTheme="minorEastAsia" w:hAnsi="Times New Roman" w:cs="Times New Roman"/>
          <w:color w:val="231F20"/>
          <w:sz w:val="24"/>
          <w:szCs w:val="24"/>
          <w:lang w:val="fr-FR"/>
        </w:rPr>
        <w:t>∆</w:t>
      </w:r>
      <w:r w:rsidRPr="0008623F">
        <w:rPr>
          <w:rFonts w:ascii="Times New Roman" w:eastAsiaTheme="minorEastAsia" w:hAnsi="Times New Roman" w:cs="Times New Roman"/>
          <w:i/>
          <w:color w:val="231F20"/>
          <w:sz w:val="24"/>
          <w:szCs w:val="24"/>
          <w:lang w:val="fr-FR"/>
        </w:rPr>
        <w:t>Bond_FoF</w:t>
      </w:r>
      <w:r>
        <w:rPr>
          <w:rFonts w:ascii="Times New Roman" w:eastAsiaTheme="minorEastAsia" w:hAnsi="Times New Roman" w:cs="Times New Roman"/>
          <w:sz w:val="24"/>
          <w:szCs w:val="24"/>
        </w:rPr>
        <w:t xml:space="preserve"> is the change in public debt. The coefficient of interest is </w:t>
      </w:r>
      <m:oMath>
        <m:r>
          <w:rPr>
            <w:rFonts w:ascii="Cambria Math" w:hAnsi="Cambria Math" w:cs="Times New Roman"/>
            <w:color w:val="231F20"/>
            <w:sz w:val="24"/>
            <w:szCs w:val="24"/>
          </w:rPr>
          <m:t>β</m:t>
        </m:r>
      </m:oMath>
      <w:r>
        <w:rPr>
          <w:rFonts w:ascii="Times New Roman" w:eastAsiaTheme="minorEastAsia" w:hAnsi="Times New Roman" w:cs="Times New Roman"/>
          <w:color w:val="231F20"/>
          <w:sz w:val="24"/>
          <w:szCs w:val="24"/>
        </w:rPr>
        <w:t xml:space="preserve"> in the regression with loan-to-bond substitution measure as the dependent variable. Considering the case where the dependent variable is </w:t>
      </w:r>
      <w:r w:rsidRPr="00D3123F">
        <w:rPr>
          <w:rFonts w:ascii="Times New Roman" w:eastAsiaTheme="minorEastAsia" w:hAnsi="Times New Roman" w:cs="Times New Roman"/>
          <w:i/>
          <w:color w:val="231F20"/>
          <w:sz w:val="24"/>
          <w:szCs w:val="24"/>
        </w:rPr>
        <w:t>Loan-Bond</w:t>
      </w:r>
      <w:r>
        <w:rPr>
          <w:rFonts w:ascii="Times New Roman" w:eastAsiaTheme="minorEastAsia" w:hAnsi="Times New Roman" w:cs="Times New Roman"/>
          <w:color w:val="231F20"/>
          <w:sz w:val="24"/>
          <w:szCs w:val="24"/>
        </w:rPr>
        <w:t xml:space="preserve">, a negative </w:t>
      </w:r>
      <m:oMath>
        <m:r>
          <w:rPr>
            <w:rFonts w:ascii="Cambria Math" w:hAnsi="Cambria Math" w:cs="Times New Roman"/>
            <w:color w:val="231F20"/>
            <w:sz w:val="24"/>
            <w:szCs w:val="24"/>
          </w:rPr>
          <w:lastRenderedPageBreak/>
          <m:t>β</m:t>
        </m:r>
      </m:oMath>
      <w:r>
        <w:rPr>
          <w:rFonts w:ascii="Times New Roman" w:eastAsiaTheme="minorEastAsia" w:hAnsi="Times New Roman" w:cs="Times New Roman"/>
          <w:color w:val="231F20"/>
          <w:sz w:val="24"/>
          <w:szCs w:val="24"/>
        </w:rPr>
        <w:t xml:space="preserve"> coefficient implies that the growth rate of public debt surpasses that of bank loan when economic uncertainty heightens. The effect of uncertainty is to reduce both loans and bond issuance so that they both exhibit negative growth rates. To the extent that businesses are able to substitute </w:t>
      </w:r>
      <w:r w:rsidRPr="00284E3D">
        <w:rPr>
          <w:rFonts w:ascii="Times New Roman" w:eastAsiaTheme="minorEastAsia" w:hAnsi="Times New Roman" w:cs="Times New Roman"/>
          <w:color w:val="231F20"/>
          <w:sz w:val="24"/>
          <w:szCs w:val="24"/>
        </w:rPr>
        <w:t>loans for bonds</w:t>
      </w:r>
      <w:r>
        <w:rPr>
          <w:rFonts w:ascii="Times New Roman" w:eastAsiaTheme="minorEastAsia" w:hAnsi="Times New Roman" w:cs="Times New Roman"/>
          <w:color w:val="231F20"/>
          <w:sz w:val="24"/>
          <w:szCs w:val="24"/>
        </w:rPr>
        <w:t xml:space="preserve">, one should observe that the bond growth rate is lower in absolute terms than the growth rate regarding </w:t>
      </w:r>
      <w:r w:rsidRPr="00284E3D">
        <w:rPr>
          <w:rFonts w:ascii="Times New Roman" w:eastAsiaTheme="minorEastAsia" w:hAnsi="Times New Roman" w:cs="Times New Roman"/>
          <w:color w:val="231F20"/>
          <w:sz w:val="24"/>
          <w:szCs w:val="24"/>
        </w:rPr>
        <w:t>bank loans</w:t>
      </w:r>
      <w:r>
        <w:rPr>
          <w:rFonts w:ascii="Times New Roman" w:eastAsiaTheme="minorEastAsia" w:hAnsi="Times New Roman" w:cs="Times New Roman"/>
          <w:color w:val="231F20"/>
          <w:sz w:val="24"/>
          <w:szCs w:val="24"/>
        </w:rPr>
        <w:t xml:space="preserve">. In other words, the substitution effect from loans to bonds, which captures the shift in loan demand, offsets the negative growth rate in bond issuance. If the fall in loan demand is less than the fall in loan supply conditioned on higher uncertainty, we would expect a negative </w:t>
      </w:r>
      <w:r w:rsidRPr="00006D30">
        <w:rPr>
          <w:rFonts w:ascii="Times New Roman" w:eastAsiaTheme="minorEastAsia" w:hAnsi="Times New Roman" w:cs="Times New Roman"/>
          <w:i/>
          <w:color w:val="231F20"/>
          <w:sz w:val="24"/>
          <w:szCs w:val="24"/>
        </w:rPr>
        <w:t>Loan-Bond</w:t>
      </w:r>
      <w:r>
        <w:rPr>
          <w:rFonts w:ascii="Times New Roman" w:eastAsiaTheme="minorEastAsia" w:hAnsi="Times New Roman" w:cs="Times New Roman"/>
          <w:color w:val="231F20"/>
          <w:sz w:val="24"/>
          <w:szCs w:val="24"/>
        </w:rPr>
        <w:t xml:space="preserve"> value or a negative </w:t>
      </w:r>
      <m:oMath>
        <m:r>
          <w:rPr>
            <w:rFonts w:ascii="Cambria Math" w:hAnsi="Cambria Math" w:cs="Times New Roman"/>
            <w:sz w:val="24"/>
            <w:szCs w:val="24"/>
          </w:rPr>
          <m:t>β</m:t>
        </m:r>
      </m:oMath>
      <w:r>
        <w:rPr>
          <w:rFonts w:ascii="Times New Roman" w:eastAsiaTheme="minorEastAsia" w:hAnsi="Times New Roman" w:cs="Times New Roman"/>
          <w:color w:val="231F20"/>
          <w:sz w:val="24"/>
          <w:szCs w:val="24"/>
        </w:rPr>
        <w:t xml:space="preserve"> coefficient. If, on the other hand, the regression yields a positive </w:t>
      </w:r>
      <m:oMath>
        <m:r>
          <w:rPr>
            <w:rFonts w:ascii="Cambria Math" w:hAnsi="Cambria Math" w:cs="Times New Roman"/>
            <w:color w:val="231F20"/>
            <w:sz w:val="24"/>
            <w:szCs w:val="24"/>
          </w:rPr>
          <m:t>β</m:t>
        </m:r>
      </m:oMath>
      <w:r>
        <w:rPr>
          <w:rFonts w:ascii="Times New Roman" w:eastAsiaTheme="minorEastAsia" w:hAnsi="Times New Roman" w:cs="Times New Roman"/>
          <w:color w:val="231F20"/>
          <w:sz w:val="24"/>
          <w:szCs w:val="24"/>
        </w:rPr>
        <w:t xml:space="preserve"> coefficient, then the growth rate of bank loan surpasses that of public debt. In such a case, the effect of uncertainty on loan demand outweighs supply. </w:t>
      </w:r>
    </w:p>
    <w:p w14:paraId="06B73F04" w14:textId="4DFF75E0" w:rsidR="007C3344" w:rsidRDefault="007C3344" w:rsidP="00D44BAE">
      <w:pPr>
        <w:pStyle w:val="a6"/>
        <w:autoSpaceDE w:val="0"/>
        <w:autoSpaceDN w:val="0"/>
        <w:adjustRightInd w:val="0"/>
        <w:spacing w:after="0" w:line="480" w:lineRule="auto"/>
        <w:ind w:left="0"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For</w:t>
      </w:r>
      <w:r w:rsidRPr="006F6EE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the dependent variable of </w:t>
      </w:r>
      <w:r w:rsidRPr="00D3123F">
        <w:rPr>
          <w:rFonts w:ascii="Times New Roman" w:eastAsiaTheme="minorEastAsia" w:hAnsi="Times New Roman" w:cs="Times New Roman"/>
          <w:i/>
          <w:sz w:val="24"/>
          <w:szCs w:val="24"/>
        </w:rPr>
        <w:t>Loan/Debt</w:t>
      </w:r>
      <w:r>
        <w:rPr>
          <w:rFonts w:ascii="Times New Roman" w:eastAsiaTheme="minorEastAsia" w:hAnsi="Times New Roman" w:cs="Times New Roman"/>
          <w:sz w:val="24"/>
          <w:szCs w:val="24"/>
        </w:rPr>
        <w:t xml:space="preserve">, </w:t>
      </w:r>
      <w:r w:rsidRPr="006F6EE9">
        <w:rPr>
          <w:rFonts w:ascii="Times New Roman" w:eastAsiaTheme="minorEastAsia" w:hAnsi="Times New Roman" w:cs="Times New Roman"/>
          <w:sz w:val="24"/>
          <w:szCs w:val="24"/>
        </w:rPr>
        <w:t xml:space="preserve">a </w:t>
      </w:r>
      <w:r>
        <w:rPr>
          <w:rFonts w:ascii="Times New Roman" w:eastAsiaTheme="minorEastAsia" w:hAnsi="Times New Roman" w:cs="Times New Roman"/>
          <w:sz w:val="24"/>
          <w:szCs w:val="24"/>
        </w:rPr>
        <w:t>negative</w:t>
      </w:r>
      <w:r w:rsidRPr="006F6EE9">
        <w:rPr>
          <w:rFonts w:ascii="Times New Roman" w:eastAsiaTheme="minorEastAsia" w:hAnsi="Times New Roman" w:cs="Times New Roman"/>
          <w:sz w:val="24"/>
          <w:szCs w:val="24"/>
        </w:rPr>
        <w:t xml:space="preserve"> </w:t>
      </w:r>
      <m:oMath>
        <m:r>
          <m:rPr>
            <m:nor/>
          </m:rPr>
          <w:rPr>
            <w:rFonts w:ascii="Times New Roman" w:hAnsi="Times New Roman" w:cs="Times New Roman"/>
            <w:i/>
            <w:sz w:val="24"/>
            <w:szCs w:val="24"/>
          </w:rPr>
          <m:t>β</m:t>
        </m:r>
      </m:oMath>
      <w:r w:rsidRPr="006F6EE9">
        <w:rPr>
          <w:rFonts w:ascii="Times New Roman" w:eastAsiaTheme="minorEastAsia" w:hAnsi="Times New Roman" w:cs="Times New Roman"/>
          <w:sz w:val="24"/>
          <w:szCs w:val="24"/>
        </w:rPr>
        <w:t xml:space="preserve"> coefficient implies </w:t>
      </w:r>
      <m:oMath>
        <m:r>
          <m:rPr>
            <m:nor/>
          </m:rPr>
          <w:rPr>
            <w:rFonts w:ascii="Times New Roman" w:eastAsiaTheme="minorEastAsia" w:hAnsi="Times New Roman" w:cs="Times New Roman"/>
            <w:sz w:val="24"/>
            <w:szCs w:val="24"/>
          </w:rPr>
          <m:t>∆</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m:rPr>
                    <m:nor/>
                  </m:rPr>
                  <w:rPr>
                    <w:rFonts w:ascii="Times New Roman" w:eastAsiaTheme="minorEastAsia" w:hAnsi="Times New Roman" w:cs="Times New Roman"/>
                    <w:i/>
                    <w:sz w:val="24"/>
                    <w:szCs w:val="24"/>
                  </w:rPr>
                  <m:t>Loan</m:t>
                </m:r>
              </m:num>
              <m:den>
                <m:r>
                  <m:rPr>
                    <m:nor/>
                  </m:rPr>
                  <w:rPr>
                    <w:rFonts w:ascii="Times New Roman" w:eastAsiaTheme="minorEastAsia" w:hAnsi="Times New Roman" w:cs="Times New Roman"/>
                    <w:i/>
                    <w:sz w:val="24"/>
                    <w:szCs w:val="24"/>
                  </w:rPr>
                  <m:t>Loan</m:t>
                </m:r>
                <m:r>
                  <m:rPr>
                    <m:nor/>
                  </m:rPr>
                  <w:rPr>
                    <w:rFonts w:ascii="Cambria Math" w:eastAsiaTheme="minorEastAsia" w:hAnsi="Times New Roman" w:cs="Times New Roman"/>
                    <w:i/>
                    <w:sz w:val="24"/>
                    <w:szCs w:val="24"/>
                  </w:rPr>
                  <m:t xml:space="preserve"> </m:t>
                </m:r>
                <m:r>
                  <m:rPr>
                    <m:nor/>
                  </m:rPr>
                  <w:rPr>
                    <w:rFonts w:ascii="Times New Roman" w:eastAsiaTheme="minorEastAsia" w:hAnsi="Times New Roman" w:cs="Times New Roman"/>
                    <w:i/>
                    <w:sz w:val="24"/>
                    <w:szCs w:val="24"/>
                  </w:rPr>
                  <m:t>+</m:t>
                </m:r>
                <m:r>
                  <m:rPr>
                    <m:nor/>
                  </m:rPr>
                  <w:rPr>
                    <w:rFonts w:ascii="Cambria Math" w:eastAsiaTheme="minorEastAsia" w:hAnsi="Times New Roman" w:cs="Times New Roman"/>
                    <w:i/>
                    <w:sz w:val="24"/>
                    <w:szCs w:val="24"/>
                  </w:rPr>
                  <m:t xml:space="preserve"> </m:t>
                </m:r>
                <m:r>
                  <m:rPr>
                    <m:nor/>
                  </m:rPr>
                  <w:rPr>
                    <w:rFonts w:ascii="Times New Roman" w:eastAsiaTheme="minorEastAsia" w:hAnsi="Times New Roman" w:cs="Times New Roman"/>
                    <w:i/>
                    <w:sz w:val="24"/>
                    <w:szCs w:val="24"/>
                  </w:rPr>
                  <m:t>Bond</m:t>
                </m:r>
              </m:den>
            </m:f>
          </m:e>
        </m:d>
        <m:r>
          <m:rPr>
            <m:nor/>
          </m:rPr>
          <w:rPr>
            <w:rFonts w:ascii="Times New Roman" w:eastAsiaTheme="minorEastAsia" w:hAnsi="Times New Roman" w:cs="Times New Roman"/>
            <w:sz w:val="24"/>
            <w:szCs w:val="24"/>
          </w:rPr>
          <m:t>&lt;</m:t>
        </m:r>
        <m:r>
          <m:rPr>
            <m:nor/>
          </m:rPr>
          <w:rPr>
            <w:rFonts w:ascii="Cambria Math" w:eastAsiaTheme="minorEastAsia" w:hAnsi="Times New Roman" w:cs="Times New Roman"/>
            <w:sz w:val="24"/>
            <w:szCs w:val="24"/>
          </w:rPr>
          <m:t xml:space="preserve"> </m:t>
        </m:r>
        <m:r>
          <m:rPr>
            <m:nor/>
          </m:rPr>
          <w:rPr>
            <w:rFonts w:ascii="Times New Roman" w:eastAsiaTheme="minorEastAsia" w:hAnsi="Times New Roman" w:cs="Times New Roman"/>
            <w:sz w:val="24"/>
            <w:szCs w:val="24"/>
          </w:rPr>
          <m:t>0</m:t>
        </m:r>
      </m:oMath>
      <w:r>
        <w:rPr>
          <w:rFonts w:ascii="Times New Roman" w:hAnsi="Times New Roman" w:cs="Times New Roman" w:hint="eastAsia"/>
          <w:sz w:val="24"/>
          <w:szCs w:val="24"/>
          <w:lang w:eastAsia="zh-TW"/>
        </w:rPr>
        <w:t xml:space="preserve"> as </w:t>
      </w:r>
      <w:r>
        <w:rPr>
          <w:rFonts w:ascii="Times New Roman" w:hAnsi="Times New Roman" w:cs="Times New Roman"/>
          <w:sz w:val="24"/>
          <w:szCs w:val="24"/>
          <w:lang w:eastAsia="zh-TW"/>
        </w:rPr>
        <w:t>economic uncertainty</w:t>
      </w:r>
      <w:r>
        <w:rPr>
          <w:rFonts w:ascii="Times New Roman" w:hAnsi="Times New Roman" w:cs="Times New Roman" w:hint="eastAsia"/>
          <w:sz w:val="24"/>
          <w:szCs w:val="24"/>
          <w:lang w:eastAsia="zh-TW"/>
        </w:rPr>
        <w:t xml:space="preserve"> </w:t>
      </w:r>
      <w:r>
        <w:rPr>
          <w:rFonts w:ascii="Times New Roman" w:hAnsi="Times New Roman" w:cs="Times New Roman"/>
          <w:sz w:val="24"/>
          <w:szCs w:val="24"/>
          <w:lang w:eastAsia="zh-TW"/>
        </w:rPr>
        <w:t>increases</w:t>
      </w:r>
      <w:r w:rsidRPr="006F6EE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Higher</w:t>
      </w:r>
      <w:r w:rsidRPr="006F6EE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uncertainty</w:t>
      </w:r>
      <w:r w:rsidRPr="006F6EE9">
        <w:rPr>
          <w:rFonts w:ascii="Times New Roman" w:eastAsiaTheme="minorEastAsia" w:hAnsi="Times New Roman" w:cs="Times New Roman"/>
          <w:sz w:val="24"/>
          <w:szCs w:val="24"/>
        </w:rPr>
        <w:t xml:space="preserve"> which </w:t>
      </w:r>
      <w:r>
        <w:rPr>
          <w:rFonts w:ascii="Times New Roman" w:eastAsiaTheme="minorEastAsia" w:hAnsi="Times New Roman" w:cs="Times New Roman"/>
          <w:sz w:val="24"/>
          <w:szCs w:val="24"/>
        </w:rPr>
        <w:t>reduces</w:t>
      </w:r>
      <w:r w:rsidRPr="006F6EE9">
        <w:rPr>
          <w:rFonts w:ascii="Times New Roman" w:eastAsiaTheme="minorEastAsia" w:hAnsi="Times New Roman" w:cs="Times New Roman"/>
          <w:sz w:val="24"/>
          <w:szCs w:val="24"/>
        </w:rPr>
        <w:t xml:space="preserve"> loan </w:t>
      </w:r>
      <w:r>
        <w:rPr>
          <w:rFonts w:ascii="Times New Roman" w:eastAsiaTheme="minorEastAsia" w:hAnsi="Times New Roman" w:cs="Times New Roman"/>
          <w:sz w:val="24"/>
          <w:szCs w:val="24"/>
        </w:rPr>
        <w:t>supply</w:t>
      </w:r>
      <w:r w:rsidRPr="006F6EE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would lead firms to substitute from loans into bonds and result in a lower</w:t>
      </w:r>
      <w:r w:rsidRPr="006F6EE9">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m:rPr>
                <m:nor/>
              </m:rPr>
              <w:rPr>
                <w:rFonts w:ascii="Times New Roman" w:eastAsiaTheme="minorEastAsia" w:hAnsi="Times New Roman" w:cs="Times New Roman"/>
                <w:i/>
                <w:sz w:val="24"/>
                <w:szCs w:val="24"/>
              </w:rPr>
              <m:t>Loan</m:t>
            </m:r>
          </m:num>
          <m:den>
            <m:r>
              <m:rPr>
                <m:nor/>
              </m:rPr>
              <w:rPr>
                <w:rFonts w:ascii="Times New Roman" w:eastAsiaTheme="minorEastAsia" w:hAnsi="Times New Roman" w:cs="Times New Roman"/>
                <w:i/>
                <w:sz w:val="24"/>
                <w:szCs w:val="24"/>
              </w:rPr>
              <m:t>Loan</m:t>
            </m:r>
            <m:r>
              <m:rPr>
                <m:nor/>
              </m:rPr>
              <w:rPr>
                <w:rFonts w:ascii="Cambria Math" w:eastAsiaTheme="minorEastAsia" w:hAnsi="Times New Roman" w:cs="Times New Roman"/>
                <w:i/>
                <w:sz w:val="24"/>
                <w:szCs w:val="24"/>
              </w:rPr>
              <m:t xml:space="preserve"> </m:t>
            </m:r>
            <m:r>
              <m:rPr>
                <m:nor/>
              </m:rPr>
              <w:rPr>
                <w:rFonts w:ascii="Times New Roman" w:eastAsiaTheme="minorEastAsia" w:hAnsi="Times New Roman" w:cs="Times New Roman"/>
                <w:i/>
                <w:sz w:val="24"/>
                <w:szCs w:val="24"/>
              </w:rPr>
              <m:t>+</m:t>
            </m:r>
            <m:r>
              <m:rPr>
                <m:nor/>
              </m:rPr>
              <w:rPr>
                <w:rFonts w:ascii="Cambria Math" w:eastAsiaTheme="minorEastAsia" w:hAnsi="Times New Roman" w:cs="Times New Roman"/>
                <w:i/>
                <w:sz w:val="24"/>
                <w:szCs w:val="24"/>
              </w:rPr>
              <m:t xml:space="preserve"> </m:t>
            </m:r>
            <m:r>
              <m:rPr>
                <m:nor/>
              </m:rPr>
              <w:rPr>
                <w:rFonts w:ascii="Times New Roman" w:eastAsiaTheme="minorEastAsia" w:hAnsi="Times New Roman" w:cs="Times New Roman"/>
                <w:i/>
                <w:sz w:val="24"/>
                <w:szCs w:val="24"/>
              </w:rPr>
              <m:t>Bond</m:t>
            </m:r>
          </m:den>
        </m:f>
      </m:oMath>
      <w:r w:rsidRPr="006F6EE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ratio</w:t>
      </w:r>
      <w:r w:rsidRPr="006F6EE9">
        <w:rPr>
          <w:rFonts w:ascii="Times New Roman" w:eastAsiaTheme="minorEastAsia" w:hAnsi="Times New Roman" w:cs="Times New Roman"/>
          <w:sz w:val="24"/>
          <w:szCs w:val="24"/>
        </w:rPr>
        <w:t xml:space="preserve"> </w:t>
      </w:r>
      <w:r>
        <w:rPr>
          <w:rFonts w:ascii="Times New Roman" w:hAnsi="Times New Roman" w:cs="Times New Roman" w:hint="eastAsia"/>
          <w:sz w:val="24"/>
          <w:szCs w:val="24"/>
          <w:lang w:eastAsia="zh-TW"/>
        </w:rPr>
        <w:t>compared to last period</w:t>
      </w:r>
      <w:r>
        <w:rPr>
          <w:rFonts w:ascii="Times New Roman" w:eastAsiaTheme="minorEastAsia" w:hAnsi="Times New Roman" w:cs="Times New Roman"/>
          <w:sz w:val="24"/>
          <w:szCs w:val="24"/>
        </w:rPr>
        <w:t xml:space="preserve"> so that </w:t>
      </w:r>
      <m:oMath>
        <m:r>
          <m:rPr>
            <m:nor/>
          </m:rPr>
          <w:rPr>
            <w:rFonts w:ascii="Times New Roman" w:eastAsiaTheme="minorEastAsia" w:hAnsi="Times New Roman" w:cs="Times New Roman"/>
            <w:sz w:val="24"/>
            <w:szCs w:val="24"/>
          </w:rPr>
          <m:t>∆</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m:rPr>
                    <m:nor/>
                  </m:rPr>
                  <w:rPr>
                    <w:rFonts w:ascii="Times New Roman" w:eastAsiaTheme="minorEastAsia" w:hAnsi="Times New Roman" w:cs="Times New Roman"/>
                    <w:i/>
                    <w:sz w:val="24"/>
                    <w:szCs w:val="24"/>
                  </w:rPr>
                  <m:t>Loan</m:t>
                </m:r>
              </m:num>
              <m:den>
                <m:r>
                  <m:rPr>
                    <m:nor/>
                  </m:rPr>
                  <w:rPr>
                    <w:rFonts w:ascii="Times New Roman" w:eastAsiaTheme="minorEastAsia" w:hAnsi="Times New Roman" w:cs="Times New Roman"/>
                    <w:i/>
                    <w:sz w:val="24"/>
                    <w:szCs w:val="24"/>
                  </w:rPr>
                  <m:t>Loan</m:t>
                </m:r>
                <m:r>
                  <m:rPr>
                    <m:nor/>
                  </m:rPr>
                  <w:rPr>
                    <w:rFonts w:ascii="Cambria Math" w:eastAsiaTheme="minorEastAsia" w:hAnsi="Times New Roman" w:cs="Times New Roman"/>
                    <w:i/>
                    <w:sz w:val="24"/>
                    <w:szCs w:val="24"/>
                  </w:rPr>
                  <m:t xml:space="preserve"> </m:t>
                </m:r>
                <m:r>
                  <m:rPr>
                    <m:nor/>
                  </m:rPr>
                  <w:rPr>
                    <w:rFonts w:ascii="Times New Roman" w:eastAsiaTheme="minorEastAsia" w:hAnsi="Times New Roman" w:cs="Times New Roman"/>
                    <w:i/>
                    <w:sz w:val="24"/>
                    <w:szCs w:val="24"/>
                  </w:rPr>
                  <m:t>+</m:t>
                </m:r>
                <m:r>
                  <m:rPr>
                    <m:nor/>
                  </m:rPr>
                  <w:rPr>
                    <w:rFonts w:ascii="Cambria Math" w:eastAsiaTheme="minorEastAsia" w:hAnsi="Times New Roman" w:cs="Times New Roman"/>
                    <w:i/>
                    <w:sz w:val="24"/>
                    <w:szCs w:val="24"/>
                  </w:rPr>
                  <m:t xml:space="preserve"> </m:t>
                </m:r>
                <m:r>
                  <m:rPr>
                    <m:nor/>
                  </m:rPr>
                  <w:rPr>
                    <w:rFonts w:ascii="Times New Roman" w:eastAsiaTheme="minorEastAsia" w:hAnsi="Times New Roman" w:cs="Times New Roman"/>
                    <w:i/>
                    <w:sz w:val="24"/>
                    <w:szCs w:val="24"/>
                  </w:rPr>
                  <m:t>Bond</m:t>
                </m:r>
              </m:den>
            </m:f>
          </m:e>
        </m:d>
        <m:r>
          <m:rPr>
            <m:nor/>
          </m:rPr>
          <w:rPr>
            <w:rFonts w:ascii="Times New Roman" w:eastAsiaTheme="minorEastAsia" w:hAnsi="Times New Roman" w:cs="Times New Roman"/>
            <w:sz w:val="24"/>
            <w:szCs w:val="24"/>
          </w:rPr>
          <m:t>&lt;</m:t>
        </m:r>
        <m:r>
          <m:rPr>
            <m:nor/>
          </m:rPr>
          <w:rPr>
            <w:rFonts w:ascii="Cambria Math" w:eastAsiaTheme="minorEastAsia" w:hAnsi="Times New Roman" w:cs="Times New Roman"/>
            <w:sz w:val="24"/>
            <w:szCs w:val="24"/>
          </w:rPr>
          <m:t xml:space="preserve"> </m:t>
        </m:r>
        <m:r>
          <m:rPr>
            <m:nor/>
          </m:rPr>
          <w:rPr>
            <w:rFonts w:ascii="Times New Roman" w:eastAsiaTheme="minorEastAsia" w:hAnsi="Times New Roman" w:cs="Times New Roman"/>
            <w:sz w:val="24"/>
            <w:szCs w:val="24"/>
          </w:rPr>
          <m:t>0</m:t>
        </m:r>
      </m:oMath>
      <w:r w:rsidRPr="006F6EE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Here, the </w:t>
      </w:r>
      <w:r>
        <w:rPr>
          <w:rFonts w:ascii="Times New Roman" w:eastAsiaTheme="minorEastAsia" w:hAnsi="Times New Roman" w:cs="Times New Roman"/>
          <w:color w:val="231F20"/>
          <w:sz w:val="24"/>
          <w:szCs w:val="24"/>
        </w:rPr>
        <w:t>substitution effect from loans to bonds which captures the shift in loan demand offsets the fall in bond issuance arising from uncertainty.</w:t>
      </w:r>
      <w:r>
        <w:rPr>
          <w:rFonts w:ascii="Times New Roman" w:eastAsiaTheme="minorEastAsia" w:hAnsi="Times New Roman" w:cs="Times New Roman"/>
          <w:sz w:val="24"/>
          <w:szCs w:val="24"/>
        </w:rPr>
        <w:t xml:space="preserve"> The negative </w:t>
      </w:r>
      <m:oMath>
        <m:r>
          <m:rPr>
            <m:nor/>
          </m:rPr>
          <w:rPr>
            <w:rFonts w:ascii="Times New Roman" w:hAnsi="Times New Roman" w:cs="Times New Roman"/>
            <w:i/>
            <w:sz w:val="24"/>
            <w:szCs w:val="24"/>
          </w:rPr>
          <m:t>β</m:t>
        </m:r>
      </m:oMath>
      <w:r>
        <w:rPr>
          <w:rFonts w:ascii="Times New Roman" w:eastAsiaTheme="minorEastAsia" w:hAnsi="Times New Roman" w:cs="Times New Roman"/>
          <w:sz w:val="24"/>
          <w:szCs w:val="24"/>
        </w:rPr>
        <w:t xml:space="preserve"> coefficient suggests that the fall in loan demand conditioned on higher uncertainty is less than the loan supply. </w:t>
      </w:r>
      <w:r w:rsidRPr="006F6EE9">
        <w:rPr>
          <w:rFonts w:ascii="Times New Roman" w:eastAsiaTheme="minorEastAsia" w:hAnsi="Times New Roman" w:cs="Times New Roman"/>
          <w:sz w:val="24"/>
          <w:szCs w:val="24"/>
        </w:rPr>
        <w:t xml:space="preserve">The reverse is true if the regression yields a </w:t>
      </w:r>
      <w:r>
        <w:rPr>
          <w:rFonts w:ascii="Times New Roman" w:eastAsiaTheme="minorEastAsia" w:hAnsi="Times New Roman" w:cs="Times New Roman"/>
          <w:sz w:val="24"/>
          <w:szCs w:val="24"/>
        </w:rPr>
        <w:t>positive</w:t>
      </w:r>
      <w:r w:rsidRPr="006F6EE9">
        <w:rPr>
          <w:rFonts w:ascii="Times New Roman" w:eastAsiaTheme="minorEastAsia" w:hAnsi="Times New Roman" w:cs="Times New Roman"/>
          <w:sz w:val="24"/>
          <w:szCs w:val="24"/>
        </w:rPr>
        <w:t xml:space="preserve"> </w:t>
      </w:r>
      <m:oMath>
        <m:r>
          <m:rPr>
            <m:nor/>
          </m:rPr>
          <w:rPr>
            <w:rFonts w:ascii="Times New Roman" w:hAnsi="Times New Roman" w:cs="Times New Roman"/>
            <w:i/>
            <w:sz w:val="24"/>
            <w:szCs w:val="24"/>
          </w:rPr>
          <m:t>β</m:t>
        </m:r>
      </m:oMath>
      <w:r w:rsidRPr="006F6EE9">
        <w:rPr>
          <w:rFonts w:ascii="Times New Roman" w:eastAsiaTheme="minorEastAsia" w:hAnsi="Times New Roman" w:cs="Times New Roman"/>
          <w:sz w:val="24"/>
          <w:szCs w:val="24"/>
        </w:rPr>
        <w:t xml:space="preserve"> coefficient.</w:t>
      </w:r>
    </w:p>
    <w:p w14:paraId="3EF91DF2" w14:textId="77777777" w:rsidR="007C3344" w:rsidRPr="00CA513F"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w:t>
      </w:r>
      <w:r w:rsidRPr="00CA513F">
        <w:rPr>
          <w:rFonts w:ascii="Times New Roman" w:hAnsi="Times New Roman" w:cs="Times New Roman"/>
          <w:sz w:val="24"/>
          <w:szCs w:val="24"/>
        </w:rPr>
        <w:t xml:space="preserve">Table </w:t>
      </w:r>
      <w:r>
        <w:rPr>
          <w:rFonts w:ascii="Times New Roman" w:hAnsi="Times New Roman" w:cs="Times New Roman"/>
          <w:sz w:val="24"/>
          <w:szCs w:val="24"/>
        </w:rPr>
        <w:t>5</w:t>
      </w:r>
      <w:r w:rsidRPr="00CA513F">
        <w:rPr>
          <w:rFonts w:ascii="Times New Roman" w:hAnsi="Times New Roman" w:cs="Times New Roman"/>
          <w:sz w:val="24"/>
          <w:szCs w:val="24"/>
        </w:rPr>
        <w:t xml:space="preserve"> about here –</w:t>
      </w:r>
    </w:p>
    <w:p w14:paraId="75FEAE2B" w14:textId="5034D73F" w:rsidR="007C3344" w:rsidRDefault="007C3344" w:rsidP="00D44BAE">
      <w:pPr>
        <w:pStyle w:val="a6"/>
        <w:autoSpaceDE w:val="0"/>
        <w:autoSpaceDN w:val="0"/>
        <w:adjustRightInd w:val="0"/>
        <w:spacing w:after="0" w:line="480" w:lineRule="auto"/>
        <w:ind w:left="0" w:firstLine="720"/>
        <w:jc w:val="both"/>
        <w:rPr>
          <w:rFonts w:ascii="Times New Roman" w:hAnsi="Times New Roman" w:cs="Times New Roman"/>
          <w:b/>
          <w:sz w:val="24"/>
          <w:szCs w:val="24"/>
        </w:rPr>
      </w:pPr>
      <w:r>
        <w:rPr>
          <w:rFonts w:ascii="Times New Roman" w:eastAsiaTheme="minorEastAsia" w:hAnsi="Times New Roman" w:cs="Times New Roman"/>
          <w:sz w:val="24"/>
          <w:szCs w:val="24"/>
        </w:rPr>
        <w:t>The estimation results are reported in Table 5. Columns (1) and (2) report that the VRP has a negative impact on both bank debt and public debt; the coefficients are -26.07 and -2.89, respectively. One standard deviation increase in uncertainty causes a contraction in bank loans by about $</w:t>
      </w:r>
      <w:r w:rsidRPr="00F7286A">
        <w:rPr>
          <w:rFonts w:ascii="Times New Roman" w:eastAsiaTheme="minorEastAsia" w:hAnsi="Times New Roman" w:cs="Times New Roman"/>
          <w:sz w:val="24"/>
          <w:szCs w:val="24"/>
        </w:rPr>
        <w:t>15 billion</w:t>
      </w:r>
      <w:r>
        <w:rPr>
          <w:rFonts w:ascii="Times New Roman" w:eastAsiaTheme="minorEastAsia" w:hAnsi="Times New Roman" w:cs="Times New Roman"/>
          <w:sz w:val="24"/>
          <w:szCs w:val="24"/>
        </w:rPr>
        <w:t xml:space="preserve"> while public debt only falls by about $</w:t>
      </w:r>
      <w:r w:rsidRPr="00F7286A">
        <w:rPr>
          <w:rFonts w:ascii="Times New Roman" w:eastAsiaTheme="minorEastAsia" w:hAnsi="Times New Roman" w:cs="Times New Roman"/>
          <w:sz w:val="24"/>
          <w:szCs w:val="24"/>
        </w:rPr>
        <w:t xml:space="preserve">2 </w:t>
      </w:r>
      <w:r w:rsidRPr="00F7286A">
        <w:rPr>
          <w:rFonts w:ascii="Times New Roman" w:eastAsiaTheme="minorEastAsia" w:hAnsi="Times New Roman" w:cs="Times New Roman"/>
          <w:sz w:val="24"/>
          <w:szCs w:val="24"/>
        </w:rPr>
        <w:lastRenderedPageBreak/>
        <w:t>billion</w:t>
      </w:r>
      <w:r w:rsidRPr="00F7286A">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 xml:space="preserve">albeit it is statistically insignificant. This is indicative that the effect of uncertainty on bank loan is larger than on public debt. Columns (3) and (4) show the results for the loan-to-bond substitution measures. For both measures, the coefficient of </w:t>
      </w:r>
      <w:r w:rsidRPr="00FB30D4">
        <w:rPr>
          <w:rFonts w:ascii="Times New Roman" w:eastAsiaTheme="minorEastAsia" w:hAnsi="Times New Roman" w:cs="Times New Roman"/>
          <w:i/>
          <w:sz w:val="24"/>
          <w:szCs w:val="24"/>
        </w:rPr>
        <w:t>logVRP</w:t>
      </w:r>
      <w:r>
        <w:rPr>
          <w:rFonts w:ascii="Times New Roman" w:eastAsiaTheme="minorEastAsia" w:hAnsi="Times New Roman" w:cs="Times New Roman"/>
          <w:sz w:val="24"/>
          <w:szCs w:val="24"/>
        </w:rPr>
        <w:t xml:space="preserve"> is statistically significant at the 5% level and it is negative (the coefficients are -1.47 for the </w:t>
      </w:r>
      <w:r w:rsidRPr="008311D3">
        <w:rPr>
          <w:rFonts w:ascii="Times New Roman" w:eastAsiaTheme="minorEastAsia" w:hAnsi="Times New Roman" w:cs="Times New Roman"/>
          <w:i/>
          <w:sz w:val="24"/>
          <w:szCs w:val="24"/>
        </w:rPr>
        <w:t>Loan-Bond</w:t>
      </w:r>
      <w:r>
        <w:rPr>
          <w:rFonts w:ascii="Times New Roman" w:eastAsiaTheme="minorEastAsia" w:hAnsi="Times New Roman" w:cs="Times New Roman"/>
          <w:sz w:val="24"/>
          <w:szCs w:val="24"/>
        </w:rPr>
        <w:t xml:space="preserve"> regression and -0.33 for the </w:t>
      </w:r>
      <w:r w:rsidRPr="008311D3">
        <w:rPr>
          <w:rFonts w:ascii="Times New Roman" w:eastAsiaTheme="minorEastAsia" w:hAnsi="Times New Roman" w:cs="Times New Roman"/>
          <w:i/>
          <w:sz w:val="24"/>
          <w:szCs w:val="24"/>
        </w:rPr>
        <w:t>Loan</w:t>
      </w:r>
      <w:r>
        <w:rPr>
          <w:rFonts w:ascii="Times New Roman" w:eastAsiaTheme="minorEastAsia" w:hAnsi="Times New Roman" w:cs="Times New Roman"/>
          <w:i/>
          <w:sz w:val="24"/>
          <w:szCs w:val="24"/>
        </w:rPr>
        <w:t>/Debt</w:t>
      </w:r>
      <w:r>
        <w:rPr>
          <w:rFonts w:ascii="Times New Roman" w:eastAsiaTheme="minorEastAsia" w:hAnsi="Times New Roman" w:cs="Times New Roman"/>
          <w:sz w:val="24"/>
          <w:szCs w:val="24"/>
        </w:rPr>
        <w:t xml:space="preserve"> regression), thus supporting the hypothesis that economic uncertainty exerts a larger influence on loan supply than demand.</w:t>
      </w:r>
    </w:p>
    <w:p w14:paraId="4C3E945F" w14:textId="77777777" w:rsidR="00D50C95" w:rsidRDefault="00D50C95" w:rsidP="00D44BAE">
      <w:pPr>
        <w:spacing w:after="0" w:line="480" w:lineRule="auto"/>
        <w:rPr>
          <w:rFonts w:ascii="Times New Roman" w:hAnsi="Times New Roman" w:cs="Times New Roman"/>
          <w:b/>
          <w:color w:val="231F20"/>
          <w:sz w:val="24"/>
          <w:szCs w:val="24"/>
        </w:rPr>
      </w:pPr>
    </w:p>
    <w:p w14:paraId="4352ED56" w14:textId="22FCF073" w:rsidR="007C3344" w:rsidRPr="00D50C95" w:rsidRDefault="007C3344" w:rsidP="00D44BAE">
      <w:pPr>
        <w:spacing w:after="0" w:line="480" w:lineRule="auto"/>
        <w:rPr>
          <w:rFonts w:ascii="Times New Roman" w:hAnsi="Times New Roman" w:cs="Times New Roman"/>
          <w:b/>
          <w:i/>
          <w:color w:val="231F20"/>
          <w:sz w:val="24"/>
          <w:szCs w:val="24"/>
        </w:rPr>
      </w:pPr>
      <w:r w:rsidRPr="00D50C95">
        <w:rPr>
          <w:rFonts w:ascii="Times New Roman" w:hAnsi="Times New Roman" w:cs="Times New Roman"/>
          <w:b/>
          <w:i/>
          <w:color w:val="231F20"/>
          <w:sz w:val="24"/>
          <w:szCs w:val="24"/>
        </w:rPr>
        <w:t xml:space="preserve">4.3 The SVAR </w:t>
      </w:r>
      <w:r w:rsidR="00D50C95" w:rsidRPr="00D50C95">
        <w:rPr>
          <w:rFonts w:ascii="Times New Roman" w:hAnsi="Times New Roman" w:cs="Times New Roman"/>
          <w:b/>
          <w:i/>
          <w:color w:val="231F20"/>
          <w:sz w:val="24"/>
          <w:szCs w:val="24"/>
        </w:rPr>
        <w:t>Model</w:t>
      </w:r>
    </w:p>
    <w:p w14:paraId="27FD3FF2" w14:textId="77777777" w:rsidR="00D50C95" w:rsidRDefault="00D50C95" w:rsidP="00D44BAE">
      <w:pPr>
        <w:spacing w:after="0" w:line="480" w:lineRule="auto"/>
        <w:rPr>
          <w:rFonts w:ascii="Times New Roman" w:hAnsi="Times New Roman" w:cs="Times New Roman"/>
          <w:b/>
          <w:color w:val="231F20"/>
          <w:sz w:val="24"/>
          <w:szCs w:val="24"/>
        </w:rPr>
      </w:pPr>
    </w:p>
    <w:p w14:paraId="5F67E0B8" w14:textId="3048C992" w:rsidR="007C3344" w:rsidRDefault="007C3344" w:rsidP="00D44BAE">
      <w:pPr>
        <w:spacing w:after="0" w:line="480" w:lineRule="auto"/>
        <w:ind w:firstLineChars="303" w:firstLine="727"/>
        <w:jc w:val="both"/>
        <w:rPr>
          <w:rFonts w:ascii="Times New Roman" w:hAnsi="Times New Roman" w:cs="Times New Roman"/>
          <w:color w:val="231F20"/>
          <w:sz w:val="24"/>
          <w:szCs w:val="24"/>
        </w:rPr>
      </w:pPr>
      <w:r w:rsidRPr="004D5B3A">
        <w:rPr>
          <w:rFonts w:ascii="Times New Roman" w:hAnsi="Times New Roman" w:cs="Times New Roman"/>
          <w:color w:val="231F20"/>
          <w:sz w:val="24"/>
          <w:szCs w:val="24"/>
        </w:rPr>
        <w:t>To circumvent the problem of simultaneity bias and the lack of causality or identification in the treatment of the loan variables and economic uncertainty</w:t>
      </w:r>
      <w:r>
        <w:rPr>
          <w:rFonts w:ascii="Times New Roman" w:hAnsi="Times New Roman" w:cs="Times New Roman"/>
          <w:color w:val="231F20"/>
          <w:sz w:val="24"/>
          <w:szCs w:val="24"/>
        </w:rPr>
        <w:t>, we follow the literature which attempts to identify credit supply shocks in macroeconometric frameworks, mainly in the context of SVARs (Bijsterbosch and Falagiarda 2015, Gambetti and Musso 2017, Hristov, Hulsewig, and Wollmershauser 2012).  Consider the VAR model in reduced form:</w:t>
      </w:r>
    </w:p>
    <w:p w14:paraId="2F24E2F0" w14:textId="5E7A5BFA" w:rsidR="007C3344" w:rsidRPr="006C70E8" w:rsidRDefault="00C64E14" w:rsidP="00D44BAE">
      <w:pPr>
        <w:spacing w:after="0" w:line="480" w:lineRule="auto"/>
        <w:ind w:leftChars="324" w:left="713" w:firstLineChars="5" w:firstLine="12"/>
        <w:jc w:val="both"/>
        <w:rPr>
          <w:rFonts w:ascii="Cambria Math" w:hAnsi="Cambria Math" w:cs="Times New Roman"/>
          <w:color w:val="231F20"/>
          <w:sz w:val="24"/>
          <w:szCs w:val="24"/>
        </w:rPr>
      </w:pP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Y</m:t>
            </m:r>
          </m:e>
          <m:sub>
            <m:r>
              <m:rPr>
                <m:nor/>
              </m:rPr>
              <w:rPr>
                <w:rFonts w:ascii="Times New Roman" w:hAnsi="Times New Roman" w:cs="Times New Roman"/>
                <w:i/>
                <w:color w:val="231F20"/>
                <w:sz w:val="24"/>
                <w:szCs w:val="24"/>
              </w:rPr>
              <m:t>t</m:t>
            </m:r>
          </m:sub>
        </m:sSub>
        <m:r>
          <m:rPr>
            <m:nor/>
          </m:rPr>
          <w:rPr>
            <w:rFonts w:ascii="Times New Roman"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 xml:space="preserve"> B</m:t>
            </m:r>
          </m:e>
          <m:sub>
            <m:r>
              <m:rPr>
                <m:nor/>
              </m:rPr>
              <w:rPr>
                <w:rFonts w:ascii="Times New Roman" w:hAnsi="Times New Roman" w:cs="Times New Roman"/>
                <w:color w:val="231F20"/>
                <w:sz w:val="24"/>
                <w:szCs w:val="24"/>
              </w:rPr>
              <m:t>0</m:t>
            </m:r>
          </m:sub>
        </m:sSub>
        <m:r>
          <m:rPr>
            <m:nor/>
          </m:rPr>
          <w:rPr>
            <w:rFonts w:ascii="Times New Roman"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 xml:space="preserve"> B</m:t>
            </m:r>
          </m:e>
          <m:sub>
            <m:r>
              <m:rPr>
                <m:nor/>
              </m:rPr>
              <w:rPr>
                <w:rFonts w:ascii="Times New Roman" w:hAnsi="Times New Roman" w:cs="Times New Roman"/>
                <w:color w:val="231F20"/>
                <w:sz w:val="24"/>
                <w:szCs w:val="24"/>
              </w:rPr>
              <m:t>1</m:t>
            </m:r>
          </m:sub>
        </m:sSub>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Y</m:t>
            </m:r>
          </m:e>
          <m:sub>
            <m:r>
              <m:rPr>
                <m:nor/>
              </m:rPr>
              <w:rPr>
                <w:rFonts w:ascii="Times New Roman" w:hAnsi="Times New Roman" w:cs="Times New Roman"/>
                <w:i/>
                <w:color w:val="231F20"/>
                <w:sz w:val="24"/>
                <w:szCs w:val="24"/>
              </w:rPr>
              <m:t>t</m:t>
            </m:r>
            <m:r>
              <m:rPr>
                <m:nor/>
              </m:rPr>
              <w:rPr>
                <w:rFonts w:ascii="Times New Roman" w:hAnsi="Times New Roman" w:cs="Times New Roman"/>
                <w:color w:val="231F20"/>
                <w:sz w:val="24"/>
                <w:szCs w:val="24"/>
              </w:rPr>
              <m:t>-1</m:t>
            </m:r>
          </m:sub>
        </m:sSub>
        <m:r>
          <m:rPr>
            <m:nor/>
          </m:rPr>
          <w:rPr>
            <w:rFonts w:ascii="Times New Roman" w:hAnsi="Times New Roman" w:cs="Times New Roman"/>
            <w:i/>
            <w:color w:val="231F20"/>
            <w:sz w:val="24"/>
            <w:szCs w:val="24"/>
          </w:rPr>
          <m:t>+ …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 xml:space="preserve"> B</m:t>
            </m:r>
          </m:e>
          <m:sub>
            <m:r>
              <m:rPr>
                <m:nor/>
              </m:rPr>
              <w:rPr>
                <w:rFonts w:ascii="Times New Roman" w:hAnsi="Times New Roman" w:cs="Times New Roman"/>
                <w:i/>
                <w:color w:val="231F20"/>
                <w:sz w:val="24"/>
                <w:szCs w:val="24"/>
              </w:rPr>
              <m:t>p</m:t>
            </m:r>
          </m:sub>
        </m:sSub>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Y</m:t>
            </m:r>
          </m:e>
          <m:sub>
            <m:r>
              <m:rPr>
                <m:nor/>
              </m:rPr>
              <w:rPr>
                <w:rFonts w:ascii="Times New Roman" w:hAnsi="Times New Roman" w:cs="Times New Roman"/>
                <w:i/>
                <w:color w:val="231F20"/>
                <w:sz w:val="24"/>
                <w:szCs w:val="24"/>
              </w:rPr>
              <m:t>t-p</m:t>
            </m:r>
          </m:sub>
        </m:sSub>
        <m:r>
          <m:rPr>
            <m:nor/>
          </m:rPr>
          <w:rPr>
            <w:rFonts w:ascii="Times New Roman" w:hAnsi="Times New Roman" w:cs="Times New Roman"/>
            <w:i/>
            <w:color w:val="231F20"/>
            <w:sz w:val="24"/>
            <w:szCs w:val="24"/>
          </w:rPr>
          <m:t xml:space="preserve">+ </m:t>
        </m:r>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ε</m:t>
            </m:r>
          </m:e>
          <m:sub>
            <m:r>
              <m:rPr>
                <m:nor/>
              </m:rPr>
              <w:rPr>
                <w:rFonts w:ascii="Times New Roman" w:hAnsi="Times New Roman" w:cs="Times New Roman"/>
                <w:i/>
                <w:color w:val="231F20"/>
                <w:sz w:val="24"/>
                <w:szCs w:val="24"/>
              </w:rPr>
              <m:t>t</m:t>
            </m:r>
          </m:sub>
        </m:sSub>
        <m:r>
          <m:rPr>
            <m:nor/>
          </m:rPr>
          <w:rPr>
            <w:rFonts w:ascii="Times New Roman" w:hAnsi="Times New Roman" w:cs="Times New Roman"/>
            <w:color w:val="231F20"/>
            <w:sz w:val="24"/>
            <w:szCs w:val="24"/>
          </w:rPr>
          <m:t>,</m:t>
        </m:r>
      </m:oMath>
      <w:r w:rsidR="007C3344">
        <w:rPr>
          <w:rFonts w:ascii="Cambria Math" w:hAnsi="Cambria Math" w:cs="Times New Roman"/>
          <w:color w:val="231F20"/>
          <w:sz w:val="24"/>
          <w:szCs w:val="24"/>
        </w:rPr>
        <w:tab/>
      </w:r>
      <w:r w:rsidR="007C3344">
        <w:rPr>
          <w:rFonts w:ascii="Cambria Math" w:hAnsi="Cambria Math" w:cs="Times New Roman"/>
          <w:color w:val="231F20"/>
          <w:sz w:val="24"/>
          <w:szCs w:val="24"/>
        </w:rPr>
        <w:tab/>
      </w:r>
      <w:r w:rsidR="007C3344">
        <w:rPr>
          <w:rFonts w:ascii="Cambria Math" w:hAnsi="Cambria Math" w:cs="Times New Roman"/>
          <w:color w:val="231F20"/>
          <w:sz w:val="24"/>
          <w:szCs w:val="24"/>
        </w:rPr>
        <w:tab/>
      </w:r>
      <w:r w:rsidR="007C3344">
        <w:rPr>
          <w:rFonts w:ascii="Cambria Math" w:hAnsi="Cambria Math" w:cs="Times New Roman"/>
          <w:color w:val="231F20"/>
          <w:sz w:val="24"/>
          <w:szCs w:val="24"/>
        </w:rPr>
        <w:tab/>
      </w:r>
      <w:r w:rsidR="007C3344">
        <w:rPr>
          <w:rFonts w:ascii="Cambria Math" w:hAnsi="Cambria Math" w:cs="Times New Roman"/>
          <w:color w:val="231F20"/>
          <w:sz w:val="24"/>
          <w:szCs w:val="24"/>
        </w:rPr>
        <w:tab/>
      </w:r>
      <w:r w:rsidR="007C3344">
        <w:rPr>
          <w:rFonts w:ascii="Cambria Math" w:hAnsi="Cambria Math" w:cs="Times New Roman"/>
          <w:color w:val="231F20"/>
          <w:sz w:val="24"/>
          <w:szCs w:val="24"/>
        </w:rPr>
        <w:tab/>
      </w:r>
      <w:r w:rsidR="007C3344" w:rsidRPr="006C70E8">
        <w:rPr>
          <w:rFonts w:ascii="Times New Roman" w:hAnsi="Times New Roman" w:cs="Times New Roman"/>
          <w:color w:val="231F20"/>
          <w:sz w:val="24"/>
          <w:szCs w:val="24"/>
        </w:rPr>
        <w:t>(4)</w:t>
      </w:r>
    </w:p>
    <w:p w14:paraId="3522E0D6" w14:textId="42467EE7" w:rsidR="001A71F3" w:rsidRDefault="007C3344" w:rsidP="00D44BAE">
      <w:pPr>
        <w:spacing w:after="0" w:line="480" w:lineRule="auto"/>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where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Y</m:t>
            </m:r>
          </m:e>
          <m:sub>
            <m:r>
              <m:rPr>
                <m:nor/>
              </m:rPr>
              <w:rPr>
                <w:rFonts w:ascii="Times New Roman" w:hAnsi="Times New Roman" w:cs="Times New Roman"/>
                <w:i/>
                <w:color w:val="231F20"/>
                <w:sz w:val="24"/>
                <w:szCs w:val="24"/>
              </w:rPr>
              <m:t>t</m:t>
            </m:r>
          </m:sub>
        </m:sSub>
      </m:oMath>
      <w:r>
        <w:rPr>
          <w:rFonts w:ascii="Times New Roman" w:hAnsi="Times New Roman" w:cs="Times New Roman"/>
          <w:color w:val="231F20"/>
          <w:sz w:val="24"/>
          <w:szCs w:val="24"/>
        </w:rPr>
        <w:t xml:space="preserve"> is a vector including economic uncertainty (</w:t>
      </w:r>
      <w:r w:rsidRPr="0052288E">
        <w:rPr>
          <w:rFonts w:ascii="Times New Roman" w:hAnsi="Times New Roman" w:cs="Times New Roman"/>
          <w:i/>
          <w:color w:val="231F20"/>
          <w:sz w:val="24"/>
          <w:szCs w:val="24"/>
        </w:rPr>
        <w:t>logVRP</w:t>
      </w:r>
      <w:r>
        <w:rPr>
          <w:rFonts w:ascii="Times New Roman" w:hAnsi="Times New Roman" w:cs="Times New Roman"/>
          <w:color w:val="231F20"/>
          <w:sz w:val="24"/>
          <w:szCs w:val="24"/>
        </w:rPr>
        <w:t>), real GDP growth (</w:t>
      </w:r>
      <w:r w:rsidRPr="00F34D51">
        <w:rPr>
          <w:rFonts w:ascii="Times New Roman" w:hAnsi="Times New Roman" w:cs="Times New Roman"/>
          <w:i/>
          <w:color w:val="231F20"/>
          <w:sz w:val="24"/>
          <w:szCs w:val="24"/>
        </w:rPr>
        <w:t>GDP</w:t>
      </w:r>
      <w:r>
        <w:rPr>
          <w:rFonts w:ascii="Times New Roman" w:hAnsi="Times New Roman" w:cs="Times New Roman"/>
          <w:color w:val="231F20"/>
          <w:sz w:val="24"/>
          <w:szCs w:val="24"/>
        </w:rPr>
        <w:t>), consumer price growth (</w:t>
      </w:r>
      <w:r w:rsidRPr="00F34D51">
        <w:rPr>
          <w:rFonts w:ascii="Times New Roman" w:hAnsi="Times New Roman" w:cs="Times New Roman"/>
          <w:i/>
          <w:color w:val="231F20"/>
          <w:sz w:val="24"/>
          <w:szCs w:val="24"/>
        </w:rPr>
        <w:t>CPI</w:t>
      </w:r>
      <w:r>
        <w:rPr>
          <w:rFonts w:ascii="Times New Roman" w:hAnsi="Times New Roman" w:cs="Times New Roman"/>
          <w:color w:val="231F20"/>
          <w:sz w:val="24"/>
          <w:szCs w:val="24"/>
        </w:rPr>
        <w:t>), the Federal fund rate (</w:t>
      </w:r>
      <w:r w:rsidRPr="00F34D51">
        <w:rPr>
          <w:rFonts w:ascii="Times New Roman" w:hAnsi="Times New Roman" w:cs="Times New Roman"/>
          <w:i/>
          <w:color w:val="231F20"/>
          <w:sz w:val="24"/>
          <w:szCs w:val="24"/>
        </w:rPr>
        <w:t>FF_rate</w:t>
      </w:r>
      <w:r>
        <w:rPr>
          <w:rFonts w:ascii="Times New Roman" w:hAnsi="Times New Roman" w:cs="Times New Roman"/>
          <w:color w:val="231F20"/>
          <w:sz w:val="24"/>
          <w:szCs w:val="24"/>
        </w:rPr>
        <w:t>), loan spreads (</w:t>
      </w:r>
      <w:r w:rsidRPr="00F34D51">
        <w:rPr>
          <w:rFonts w:ascii="Times New Roman" w:hAnsi="Times New Roman" w:cs="Times New Roman"/>
          <w:i/>
          <w:color w:val="231F20"/>
          <w:sz w:val="24"/>
          <w:szCs w:val="24"/>
        </w:rPr>
        <w:t>Loan_Spr</w:t>
      </w:r>
      <w:r>
        <w:rPr>
          <w:rFonts w:ascii="Times New Roman" w:hAnsi="Times New Roman" w:cs="Times New Roman"/>
          <w:color w:val="231F20"/>
          <w:sz w:val="24"/>
          <w:szCs w:val="24"/>
        </w:rPr>
        <w:t xml:space="preserve"> or </w:t>
      </w:r>
      <w:r>
        <w:rPr>
          <w:rFonts w:ascii="Times New Roman" w:hAnsi="Times New Roman" w:cs="Times New Roman"/>
          <w:i/>
          <w:color w:val="231F20"/>
          <w:sz w:val="24"/>
          <w:szCs w:val="24"/>
        </w:rPr>
        <w:t>Spr_Synd</w:t>
      </w:r>
      <w:r>
        <w:rPr>
          <w:rFonts w:ascii="Times New Roman" w:hAnsi="Times New Roman" w:cs="Times New Roman"/>
          <w:color w:val="231F20"/>
          <w:sz w:val="24"/>
          <w:szCs w:val="24"/>
        </w:rPr>
        <w:t>), and loan volume growth (</w:t>
      </w:r>
      <w:r w:rsidRPr="00574EF0">
        <w:rPr>
          <w:rFonts w:ascii="Times New Roman" w:hAnsi="Times New Roman" w:cs="Times New Roman"/>
          <w:color w:val="231F20"/>
          <w:sz w:val="24"/>
          <w:szCs w:val="24"/>
        </w:rPr>
        <w:t>Δ</w:t>
      </w:r>
      <w:r w:rsidRPr="00F34D51">
        <w:rPr>
          <w:rFonts w:ascii="Times New Roman" w:hAnsi="Times New Roman" w:cs="Times New Roman"/>
          <w:i/>
          <w:color w:val="231F20"/>
          <w:sz w:val="24"/>
          <w:szCs w:val="24"/>
        </w:rPr>
        <w:t>CI_Loan</w:t>
      </w:r>
      <w:r>
        <w:rPr>
          <w:rFonts w:ascii="Times New Roman" w:hAnsi="Times New Roman" w:cs="Times New Roman"/>
          <w:color w:val="231F20"/>
          <w:sz w:val="24"/>
          <w:szCs w:val="24"/>
        </w:rPr>
        <w:t xml:space="preserve"> or </w:t>
      </w:r>
      <w:r>
        <w:rPr>
          <w:rFonts w:ascii="Times New Roman" w:hAnsi="Times New Roman" w:cs="Times New Roman"/>
          <w:i/>
          <w:color w:val="231F20"/>
          <w:sz w:val="24"/>
          <w:szCs w:val="24"/>
        </w:rPr>
        <w:t>Synd_Loan</w:t>
      </w:r>
      <w:r>
        <w:rPr>
          <w:rFonts w:ascii="Times New Roman" w:hAnsi="Times New Roman" w:cs="Times New Roman"/>
          <w:color w:val="231F20"/>
          <w:sz w:val="24"/>
          <w:szCs w:val="24"/>
        </w:rPr>
        <w:t xml:space="preserve">). </w:t>
      </w:r>
      <m:oMath>
        <m:sSub>
          <m:sSubPr>
            <m:ctrlPr>
              <w:rPr>
                <w:rFonts w:ascii="Cambria Math" w:hAnsi="Cambria Math" w:cs="Times New Roman"/>
                <w:i/>
                <w:color w:val="231F20"/>
                <w:sz w:val="24"/>
                <w:szCs w:val="24"/>
              </w:rPr>
            </m:ctrlPr>
          </m:sSubPr>
          <m:e>
            <m:r>
              <m:rPr>
                <m:nor/>
              </m:rPr>
              <w:rPr>
                <w:rFonts w:ascii="Times New Roman" w:hAnsi="Times New Roman" w:cs="Times New Roman"/>
                <w:i/>
                <w:color w:val="231F20"/>
                <w:sz w:val="24"/>
                <w:szCs w:val="24"/>
              </w:rPr>
              <m:t>ε</m:t>
            </m:r>
          </m:e>
          <m:sub>
            <m:r>
              <m:rPr>
                <m:nor/>
              </m:rPr>
              <w:rPr>
                <w:rFonts w:ascii="Times New Roman" w:hAnsi="Times New Roman" w:cs="Times New Roman"/>
                <w:i/>
                <w:color w:val="231F20"/>
                <w:sz w:val="24"/>
                <w:szCs w:val="24"/>
              </w:rPr>
              <m:t>t</m:t>
            </m:r>
          </m:sub>
        </m:sSub>
      </m:oMath>
      <w:r>
        <w:rPr>
          <w:rFonts w:ascii="Times New Roman" w:hAnsi="Times New Roman" w:cs="Times New Roman"/>
          <w:color w:val="231F20"/>
          <w:sz w:val="24"/>
          <w:szCs w:val="24"/>
        </w:rPr>
        <w:t xml:space="preserve"> is a Gaussian white noise vector of innovations with covariance matrix </w:t>
      </w:r>
      <w:r w:rsidRPr="00BE771D">
        <w:rPr>
          <w:rFonts w:ascii="Times New Roman" w:hAnsi="Times New Roman" w:cs="Times New Roman"/>
          <w:i/>
          <w:color w:val="231F20"/>
          <w:sz w:val="24"/>
          <w:szCs w:val="24"/>
        </w:rPr>
        <w:t>Σ</w:t>
      </w:r>
      <w:r>
        <w:rPr>
          <w:rFonts w:ascii="Times New Roman" w:hAnsi="Times New Roman" w:cs="Times New Roman"/>
          <w:color w:val="231F20"/>
          <w:sz w:val="24"/>
          <w:szCs w:val="24"/>
        </w:rPr>
        <w:t xml:space="preserve">. Based on the </w:t>
      </w:r>
      <w:r w:rsidRPr="00EF0482">
        <w:rPr>
          <w:rFonts w:ascii="Times New Roman" w:hAnsi="Times New Roman" w:cs="Times New Roman"/>
          <w:lang w:eastAsia="zh-TW"/>
        </w:rPr>
        <w:t>Bayesian</w:t>
      </w:r>
      <w:r>
        <w:rPr>
          <w:rFonts w:ascii="Times New Roman" w:hAnsi="Times New Roman" w:cs="Times New Roman"/>
          <w:color w:val="231F20"/>
          <w:sz w:val="24"/>
          <w:szCs w:val="24"/>
        </w:rPr>
        <w:t xml:space="preserve"> information criterion,</w:t>
      </w:r>
      <w:r w:rsidR="001A71F3">
        <w:rPr>
          <w:rStyle w:val="af7"/>
          <w:rFonts w:ascii="Times New Roman" w:hAnsi="Times New Roman" w:cs="Times New Roman"/>
          <w:color w:val="231F20"/>
          <w:sz w:val="24"/>
          <w:szCs w:val="24"/>
        </w:rPr>
        <w:endnoteReference w:id="17"/>
      </w:r>
      <w:r w:rsidR="001A71F3">
        <w:rPr>
          <w:rFonts w:ascii="Times New Roman" w:hAnsi="Times New Roman" w:cs="Times New Roman"/>
          <w:color w:val="231F20"/>
          <w:sz w:val="24"/>
          <w:szCs w:val="24"/>
        </w:rPr>
        <w:t xml:space="preserve"> a lag order of one and two is chosen for the STBL and loan syndication data, respectively. Note that for this analysis, we do not employ the SLOOS data as precise loan quantity and spreads are unavailable.</w:t>
      </w:r>
      <w:r w:rsidR="001A71F3">
        <w:rPr>
          <w:rStyle w:val="af7"/>
          <w:rFonts w:ascii="Times New Roman" w:hAnsi="Times New Roman" w:cs="Times New Roman"/>
          <w:color w:val="231F20"/>
          <w:sz w:val="24"/>
          <w:szCs w:val="24"/>
        </w:rPr>
        <w:endnoteReference w:id="18"/>
      </w:r>
    </w:p>
    <w:p w14:paraId="6E57AA3D" w14:textId="7000F1F8" w:rsidR="007C3344" w:rsidRDefault="007C3344" w:rsidP="00D44BAE">
      <w:pPr>
        <w:pStyle w:val="a6"/>
        <w:autoSpaceDE w:val="0"/>
        <w:autoSpaceDN w:val="0"/>
        <w:adjustRightInd w:val="0"/>
        <w:spacing w:after="0" w:line="480" w:lineRule="auto"/>
        <w:ind w:left="0" w:firstLine="720"/>
        <w:jc w:val="both"/>
        <w:rPr>
          <w:rFonts w:ascii="Times New Roman" w:hAnsi="Times New Roman" w:cs="Times New Roman"/>
          <w:color w:val="231F20"/>
          <w:sz w:val="24"/>
          <w:szCs w:val="24"/>
        </w:rPr>
      </w:pPr>
      <w:r w:rsidRPr="00CC6159">
        <w:rPr>
          <w:rFonts w:ascii="Times New Roman" w:hAnsi="Times New Roman" w:cs="Times New Roman"/>
          <w:color w:val="231F20"/>
          <w:sz w:val="24"/>
          <w:szCs w:val="24"/>
        </w:rPr>
        <w:lastRenderedPageBreak/>
        <w:t xml:space="preserve">Two schemes are employed to identify structural shocks: a </w:t>
      </w:r>
      <w:r>
        <w:rPr>
          <w:rFonts w:ascii="Times New Roman" w:hAnsi="Times New Roman" w:cs="Times New Roman"/>
          <w:color w:val="231F20"/>
          <w:sz w:val="24"/>
          <w:szCs w:val="24"/>
        </w:rPr>
        <w:t xml:space="preserve">Cholesky </w:t>
      </w:r>
      <w:r w:rsidRPr="00CC6159">
        <w:rPr>
          <w:rFonts w:ascii="Times New Roman" w:hAnsi="Times New Roman" w:cs="Times New Roman"/>
          <w:color w:val="231F20"/>
          <w:sz w:val="24"/>
          <w:szCs w:val="24"/>
        </w:rPr>
        <w:t>recursive causal ordering</w:t>
      </w:r>
      <w:r>
        <w:rPr>
          <w:rFonts w:ascii="Times New Roman" w:hAnsi="Times New Roman" w:cs="Times New Roman"/>
          <w:color w:val="231F20"/>
          <w:sz w:val="24"/>
          <w:szCs w:val="24"/>
        </w:rPr>
        <w:t xml:space="preserve"> (zero restrictions)</w:t>
      </w:r>
      <w:r>
        <w:rPr>
          <w:rFonts w:ascii="Times New Roman" w:hAnsi="Times New Roman" w:cs="Times New Roman" w:hint="eastAsia"/>
          <w:color w:val="231F20"/>
          <w:sz w:val="24"/>
          <w:szCs w:val="24"/>
          <w:lang w:eastAsia="zh-TW"/>
        </w:rPr>
        <w:t xml:space="preserve"> </w:t>
      </w:r>
      <w:r>
        <w:rPr>
          <w:rFonts w:ascii="Times New Roman" w:hAnsi="Times New Roman" w:cs="Times New Roman"/>
          <w:color w:val="231F20"/>
          <w:sz w:val="24"/>
          <w:szCs w:val="24"/>
          <w:lang w:eastAsia="zh-TW"/>
        </w:rPr>
        <w:t>as documented in Sims (1980)</w:t>
      </w:r>
      <w:r w:rsidRPr="00CC6159">
        <w:rPr>
          <w:rFonts w:ascii="Times New Roman" w:hAnsi="Times New Roman" w:cs="Times New Roman"/>
          <w:color w:val="231F20"/>
          <w:sz w:val="24"/>
          <w:szCs w:val="24"/>
        </w:rPr>
        <w:t xml:space="preserve"> and the sign restrictions </w:t>
      </w:r>
      <w:r>
        <w:rPr>
          <w:rFonts w:ascii="Times New Roman" w:hAnsi="Times New Roman" w:cs="Times New Roman"/>
          <w:color w:val="231F20"/>
          <w:sz w:val="24"/>
          <w:szCs w:val="24"/>
        </w:rPr>
        <w:t>in</w:t>
      </w:r>
      <w:r w:rsidRPr="00CC6159">
        <w:rPr>
          <w:rFonts w:ascii="Times New Roman" w:hAnsi="Times New Roman" w:cs="Times New Roman"/>
          <w:color w:val="231F20"/>
          <w:sz w:val="24"/>
          <w:szCs w:val="24"/>
        </w:rPr>
        <w:t xml:space="preserve"> Uhlig (2005). Both schemes permit quantifying the effects of adverse uncertainty shocks on loan quantity and spreads. Nonetheless, the former scheme is subject to the usual caveat </w:t>
      </w:r>
      <w:r w:rsidRPr="00CC6159">
        <w:rPr>
          <w:rFonts w:ascii="Times New Roman" w:hAnsi="Times New Roman" w:cs="Times New Roman"/>
          <w:sz w:val="24"/>
          <w:szCs w:val="24"/>
        </w:rPr>
        <w:t>that there is no empirical or statistical basis for the choice of the causal orderings (i.e. orthogonalizing transformations) so that one must appeal to a priori knowledge.</w:t>
      </w:r>
      <w:r w:rsidR="001A71F3" w:rsidRPr="00CC6159">
        <w:rPr>
          <w:rStyle w:val="af7"/>
          <w:rFonts w:ascii="Times New Roman" w:hAnsi="Times New Roman" w:cs="Times New Roman"/>
          <w:sz w:val="24"/>
          <w:szCs w:val="24"/>
        </w:rPr>
        <w:endnoteReference w:id="19"/>
      </w:r>
      <w:r w:rsidR="001A71F3" w:rsidRPr="00CC6159">
        <w:rPr>
          <w:rFonts w:ascii="Times New Roman" w:hAnsi="Times New Roman" w:cs="Times New Roman"/>
          <w:sz w:val="24"/>
          <w:szCs w:val="24"/>
        </w:rPr>
        <w:t xml:space="preserve"> </w:t>
      </w:r>
      <w:r w:rsidR="001A71F3" w:rsidRPr="00CC6159">
        <w:rPr>
          <w:rFonts w:ascii="Times New Roman" w:hAnsi="Times New Roman" w:cs="Times New Roman"/>
          <w:color w:val="231F20"/>
          <w:sz w:val="24"/>
          <w:szCs w:val="24"/>
        </w:rPr>
        <w:t xml:space="preserve">For brevity, we only </w:t>
      </w:r>
      <w:r w:rsidR="001A71F3">
        <w:rPr>
          <w:rFonts w:ascii="Times New Roman" w:hAnsi="Times New Roman" w:cs="Times New Roman"/>
          <w:color w:val="231F20"/>
          <w:sz w:val="24"/>
          <w:szCs w:val="24"/>
        </w:rPr>
        <w:t>discuss</w:t>
      </w:r>
      <w:r w:rsidR="001A71F3" w:rsidRPr="00CC6159">
        <w:rPr>
          <w:rFonts w:ascii="Times New Roman" w:hAnsi="Times New Roman" w:cs="Times New Roman"/>
          <w:color w:val="231F20"/>
          <w:sz w:val="24"/>
          <w:szCs w:val="24"/>
        </w:rPr>
        <w:t xml:space="preserve"> the results of the latter scheme</w:t>
      </w:r>
      <w:r w:rsidR="001A71F3">
        <w:rPr>
          <w:rFonts w:ascii="Times New Roman" w:hAnsi="Times New Roman" w:cs="Times New Roman"/>
          <w:color w:val="231F20"/>
          <w:sz w:val="24"/>
          <w:szCs w:val="24"/>
        </w:rPr>
        <w:t>.</w:t>
      </w:r>
      <w:r w:rsidR="001A71F3">
        <w:rPr>
          <w:rStyle w:val="af7"/>
          <w:rFonts w:ascii="Times New Roman" w:hAnsi="Times New Roman" w:cs="Times New Roman"/>
          <w:color w:val="231F20"/>
          <w:sz w:val="24"/>
          <w:szCs w:val="24"/>
        </w:rPr>
        <w:endnoteReference w:id="20"/>
      </w:r>
      <w:r w:rsidR="001A71F3" w:rsidRPr="00CC6159">
        <w:rPr>
          <w:rFonts w:ascii="Times New Roman" w:hAnsi="Times New Roman" w:cs="Times New Roman"/>
          <w:color w:val="231F20"/>
          <w:sz w:val="24"/>
          <w:szCs w:val="24"/>
        </w:rPr>
        <w:t xml:space="preserve"> </w:t>
      </w:r>
      <w:r>
        <w:rPr>
          <w:rFonts w:ascii="Times New Roman" w:hAnsi="Times New Roman" w:cs="Times New Roman"/>
          <w:color w:val="231F20"/>
          <w:sz w:val="24"/>
          <w:szCs w:val="24"/>
        </w:rPr>
        <w:t>I</w:t>
      </w:r>
      <w:r w:rsidRPr="00CC6159">
        <w:rPr>
          <w:rFonts w:ascii="Times New Roman" w:hAnsi="Times New Roman" w:cs="Times New Roman"/>
          <w:color w:val="231F20"/>
          <w:sz w:val="24"/>
          <w:szCs w:val="24"/>
        </w:rPr>
        <w:t>dentification of the structural shocks is achieved ex-post by imposing sign restrictions on impulse response functions</w:t>
      </w:r>
      <w:r>
        <w:rPr>
          <w:rFonts w:ascii="Times New Roman" w:hAnsi="Times New Roman" w:cs="Times New Roman"/>
          <w:color w:val="231F20"/>
          <w:sz w:val="24"/>
          <w:szCs w:val="24"/>
        </w:rPr>
        <w:t xml:space="preserve"> (Uhlig 2005)</w:t>
      </w:r>
      <w:r w:rsidRPr="00CC6159">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At the outset we need to </w:t>
      </w:r>
      <w:r w:rsidRPr="00CC6159">
        <w:rPr>
          <w:rFonts w:ascii="Times New Roman" w:hAnsi="Times New Roman" w:cs="Times New Roman"/>
          <w:color w:val="231F20"/>
          <w:sz w:val="24"/>
          <w:szCs w:val="24"/>
        </w:rPr>
        <w:t xml:space="preserve">determine the number of sign restrictions to identify </w:t>
      </w:r>
      <w:r>
        <w:rPr>
          <w:rFonts w:ascii="Times New Roman" w:hAnsi="Times New Roman" w:cs="Times New Roman"/>
          <w:color w:val="231F20"/>
          <w:sz w:val="24"/>
          <w:szCs w:val="24"/>
        </w:rPr>
        <w:t xml:space="preserve">the </w:t>
      </w:r>
      <w:r w:rsidRPr="00CC6159">
        <w:rPr>
          <w:rFonts w:ascii="Times New Roman" w:hAnsi="Times New Roman" w:cs="Times New Roman"/>
          <w:color w:val="231F20"/>
          <w:sz w:val="24"/>
          <w:szCs w:val="24"/>
        </w:rPr>
        <w:t xml:space="preserve">structural shocks. While the identification of additional shocks </w:t>
      </w:r>
      <w:r>
        <w:rPr>
          <w:rFonts w:ascii="Times New Roman" w:hAnsi="Times New Roman" w:cs="Times New Roman"/>
          <w:color w:val="231F20"/>
          <w:sz w:val="24"/>
          <w:szCs w:val="24"/>
        </w:rPr>
        <w:t xml:space="preserve">such as aggregate demand, aggregate supply and credit supply shocks (see, e.g., Bijsterbosch and Falagiarda 2015, Gambetti and Musso 2017, Hristov, Hulsewig, and Wollmershauser 2012) </w:t>
      </w:r>
      <w:r w:rsidRPr="00CC6159">
        <w:rPr>
          <w:rFonts w:ascii="Times New Roman" w:hAnsi="Times New Roman" w:cs="Times New Roman"/>
          <w:color w:val="231F20"/>
          <w:sz w:val="24"/>
          <w:szCs w:val="24"/>
        </w:rPr>
        <w:t xml:space="preserve">contributes to a better identification of the </w:t>
      </w:r>
      <w:r>
        <w:rPr>
          <w:rFonts w:ascii="Times New Roman" w:hAnsi="Times New Roman" w:cs="Times New Roman"/>
          <w:color w:val="231F20"/>
          <w:sz w:val="24"/>
          <w:szCs w:val="24"/>
        </w:rPr>
        <w:t xml:space="preserve">economic uncertainty </w:t>
      </w:r>
      <w:r w:rsidRPr="00CC6159">
        <w:rPr>
          <w:rFonts w:ascii="Times New Roman" w:hAnsi="Times New Roman" w:cs="Times New Roman"/>
          <w:color w:val="231F20"/>
          <w:sz w:val="24"/>
          <w:szCs w:val="24"/>
        </w:rPr>
        <w:t>shocks under scrutiny, it is important to ensure that the orthogonality between the</w:t>
      </w:r>
      <w:r>
        <w:rPr>
          <w:rFonts w:ascii="Times New Roman" w:hAnsi="Times New Roman" w:cs="Times New Roman"/>
          <w:color w:val="231F20"/>
          <w:sz w:val="24"/>
          <w:szCs w:val="24"/>
        </w:rPr>
        <w:t>se</w:t>
      </w:r>
      <w:r w:rsidRPr="00CC6159">
        <w:rPr>
          <w:rFonts w:ascii="Times New Roman" w:hAnsi="Times New Roman" w:cs="Times New Roman"/>
          <w:color w:val="231F20"/>
          <w:sz w:val="24"/>
          <w:szCs w:val="24"/>
        </w:rPr>
        <w:t xml:space="preserve"> structural shocks is satisfied. In other words, the imposed sign restrictions must be mutually exclusive to uniquely identify the structural shocks</w:t>
      </w:r>
      <w:r>
        <w:rPr>
          <w:rFonts w:ascii="Times New Roman" w:hAnsi="Times New Roman" w:cs="Times New Roman"/>
          <w:color w:val="231F20"/>
          <w:sz w:val="24"/>
          <w:szCs w:val="24"/>
        </w:rPr>
        <w:t xml:space="preserve"> (Fry and Pagan 2011)</w:t>
      </w:r>
      <w:r w:rsidRPr="00CC6159">
        <w:rPr>
          <w:rFonts w:ascii="Times New Roman" w:hAnsi="Times New Roman" w:cs="Times New Roman"/>
          <w:color w:val="231F20"/>
          <w:sz w:val="24"/>
          <w:szCs w:val="24"/>
        </w:rPr>
        <w:t xml:space="preserve">. </w:t>
      </w:r>
    </w:p>
    <w:p w14:paraId="16184ECE" w14:textId="3E7A212E" w:rsidR="007C3344" w:rsidRDefault="007C3344" w:rsidP="00D44BAE">
      <w:pPr>
        <w:pStyle w:val="a6"/>
        <w:autoSpaceDE w:val="0"/>
        <w:autoSpaceDN w:val="0"/>
        <w:adjustRightInd w:val="0"/>
        <w:spacing w:after="0" w:line="480" w:lineRule="auto"/>
        <w:ind w:left="0" w:firstLine="720"/>
        <w:jc w:val="both"/>
        <w:rPr>
          <w:rFonts w:ascii="Times New Roman" w:eastAsiaTheme="minorEastAsia" w:hAnsi="Times New Roman" w:cs="Times New Roman"/>
          <w:sz w:val="24"/>
          <w:szCs w:val="24"/>
        </w:rPr>
      </w:pPr>
      <w:r w:rsidRPr="00CC6159">
        <w:rPr>
          <w:rFonts w:ascii="Times New Roman" w:hAnsi="Times New Roman" w:cs="Times New Roman"/>
          <w:color w:val="231F20"/>
          <w:sz w:val="24"/>
          <w:szCs w:val="24"/>
        </w:rPr>
        <w:t>For our purpose,</w:t>
      </w:r>
      <w:r>
        <w:rPr>
          <w:rFonts w:ascii="Times New Roman" w:hAnsi="Times New Roman" w:cs="Times New Roman"/>
          <w:color w:val="231F20"/>
          <w:sz w:val="24"/>
          <w:szCs w:val="24"/>
        </w:rPr>
        <w:t xml:space="preserve"> however,</w:t>
      </w:r>
      <w:r w:rsidRPr="00CC6159">
        <w:rPr>
          <w:rFonts w:ascii="Times New Roman" w:hAnsi="Times New Roman" w:cs="Times New Roman"/>
          <w:color w:val="231F20"/>
          <w:sz w:val="24"/>
          <w:szCs w:val="24"/>
        </w:rPr>
        <w:t xml:space="preserve"> uncertainty shocks are predicted to be highly correlated with the aggregate demand and aggregate supply shocks, as well as the credit supply shock</w:t>
      </w:r>
      <w:r>
        <w:rPr>
          <w:rFonts w:ascii="Times New Roman" w:hAnsi="Times New Roman" w:cs="Times New Roman"/>
          <w:color w:val="231F20"/>
          <w:sz w:val="24"/>
          <w:szCs w:val="24"/>
        </w:rPr>
        <w:t>s</w:t>
      </w:r>
      <w:r w:rsidRPr="00CC6159">
        <w:rPr>
          <w:rFonts w:ascii="Times New Roman" w:hAnsi="Times New Roman" w:cs="Times New Roman"/>
          <w:color w:val="231F20"/>
          <w:sz w:val="24"/>
          <w:szCs w:val="24"/>
        </w:rPr>
        <w:t xml:space="preserve">. In light of these considerations, we set sign restrictions </w:t>
      </w:r>
      <w:r>
        <w:rPr>
          <w:rFonts w:ascii="Times New Roman" w:hAnsi="Times New Roman" w:cs="Times New Roman"/>
          <w:color w:val="231F20"/>
          <w:sz w:val="24"/>
          <w:szCs w:val="24"/>
        </w:rPr>
        <w:t>focusing mainly on monetary policy shocks and economic uncertainty shocks</w:t>
      </w:r>
      <w:r w:rsidRPr="00CC6159">
        <w:rPr>
          <w:rFonts w:ascii="Times New Roman" w:hAnsi="Times New Roman" w:cs="Times New Roman"/>
          <w:color w:val="231F20"/>
          <w:sz w:val="24"/>
          <w:szCs w:val="24"/>
        </w:rPr>
        <w:t>.</w:t>
      </w:r>
      <w:r>
        <w:rPr>
          <w:rFonts w:ascii="Times New Roman" w:hAnsi="Times New Roman" w:cs="Times New Roman"/>
          <w:color w:val="231F20"/>
          <w:sz w:val="24"/>
          <w:szCs w:val="24"/>
        </w:rPr>
        <w:t xml:space="preserve"> A positive economic uncertainty shock leads to a decrease in output, loan quantity and an increase in </w:t>
      </w:r>
      <w:r w:rsidRPr="00DA16E5">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but its effects on inflation, short-term interest rate, and loan spread are unrestricted. For a contractionary monetary policy shock, it leads to a fall in output, inflation and an increase in short-term interest rate, while its effects on </w:t>
      </w:r>
      <w:r w:rsidRPr="00DA16E5">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loan quantity, and </w:t>
      </w:r>
      <w:r>
        <w:rPr>
          <w:rFonts w:ascii="Times New Roman" w:hAnsi="Times New Roman" w:cs="Times New Roman"/>
          <w:color w:val="231F20"/>
          <w:sz w:val="24"/>
          <w:szCs w:val="24"/>
        </w:rPr>
        <w:lastRenderedPageBreak/>
        <w:t>spreads are unrestricted. Table 6 summarizes the set of sign restrictions we impose on the impulse responses.</w:t>
      </w:r>
    </w:p>
    <w:p w14:paraId="3D93FF3D" w14:textId="77777777" w:rsidR="007C3344" w:rsidRPr="00CA513F"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w:t>
      </w:r>
      <w:r w:rsidRPr="00CA513F">
        <w:rPr>
          <w:rFonts w:ascii="Times New Roman" w:hAnsi="Times New Roman" w:cs="Times New Roman"/>
          <w:sz w:val="24"/>
          <w:szCs w:val="24"/>
        </w:rPr>
        <w:t xml:space="preserve">Table </w:t>
      </w:r>
      <w:r>
        <w:rPr>
          <w:rFonts w:ascii="Times New Roman" w:hAnsi="Times New Roman" w:cs="Times New Roman"/>
          <w:sz w:val="24"/>
          <w:szCs w:val="24"/>
        </w:rPr>
        <w:t>6</w:t>
      </w:r>
      <w:r w:rsidRPr="00CA513F">
        <w:rPr>
          <w:rFonts w:ascii="Times New Roman" w:hAnsi="Times New Roman" w:cs="Times New Roman"/>
          <w:sz w:val="24"/>
          <w:szCs w:val="24"/>
        </w:rPr>
        <w:t xml:space="preserve"> about here –</w:t>
      </w:r>
    </w:p>
    <w:p w14:paraId="71B3AF28" w14:textId="2BFBAF39" w:rsidR="007C3344" w:rsidRPr="00792568" w:rsidRDefault="007C3344" w:rsidP="00D44BAE">
      <w:pPr>
        <w:pStyle w:val="a6"/>
        <w:autoSpaceDE w:val="0"/>
        <w:autoSpaceDN w:val="0"/>
        <w:adjustRightInd w:val="0"/>
        <w:spacing w:after="0" w:line="480" w:lineRule="auto"/>
        <w:ind w:left="0"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To obtain impulse response functions that satisfy our sign restrictions, assume that </w:t>
      </w:r>
      <m:oMath>
        <m:r>
          <w:rPr>
            <w:rFonts w:ascii="Cambria Math" w:hAnsi="Cambria Math" w:cs="Times New Roman"/>
            <w:color w:val="231F20"/>
            <w:sz w:val="24"/>
            <w:szCs w:val="24"/>
          </w:rPr>
          <m:t>ϑ</m:t>
        </m:r>
      </m:oMath>
      <w:r>
        <w:rPr>
          <w:rFonts w:ascii="Times New Roman" w:hAnsi="Times New Roman" w:cs="Times New Roman" w:hint="eastAsia"/>
          <w:color w:val="231F20"/>
          <w:sz w:val="24"/>
          <w:szCs w:val="24"/>
          <w:lang w:eastAsia="zh-TW"/>
        </w:rPr>
        <w:t xml:space="preserve"> </w:t>
      </w:r>
      <w:r>
        <w:rPr>
          <w:rFonts w:ascii="Times New Roman" w:hAnsi="Times New Roman" w:cs="Times New Roman"/>
          <w:color w:val="231F20"/>
          <w:sz w:val="24"/>
          <w:szCs w:val="24"/>
        </w:rPr>
        <w:t xml:space="preserve">is the unique lower triangular Cholesky matrix such that </w:t>
      </w:r>
      <m:oMath>
        <m:r>
          <w:rPr>
            <w:rFonts w:ascii="Cambria Math" w:hAnsi="Cambria Math" w:cs="Times New Roman"/>
            <w:color w:val="231F20"/>
            <w:sz w:val="24"/>
            <w:szCs w:val="24"/>
          </w:rPr>
          <m:t>ϑ</m:t>
        </m:r>
        <m:sSup>
          <m:sSupPr>
            <m:ctrlPr>
              <w:rPr>
                <w:rFonts w:ascii="Cambria Math" w:hAnsi="Cambria Math" w:cs="Times New Roman"/>
                <w:i/>
                <w:color w:val="231F20"/>
                <w:sz w:val="24"/>
                <w:szCs w:val="24"/>
              </w:rPr>
            </m:ctrlPr>
          </m:sSupPr>
          <m:e>
            <m:r>
              <w:rPr>
                <w:rFonts w:ascii="Cambria Math" w:hAnsi="Cambria Math" w:cs="Times New Roman"/>
                <w:color w:val="231F20"/>
                <w:sz w:val="24"/>
                <w:szCs w:val="24"/>
              </w:rPr>
              <m:t>ϑ</m:t>
            </m:r>
          </m:e>
          <m:sup>
            <m:r>
              <w:rPr>
                <w:rFonts w:ascii="Cambria Math" w:hAnsi="Cambria Math" w:cs="Times New Roman"/>
                <w:color w:val="231F20"/>
                <w:sz w:val="24"/>
                <w:szCs w:val="24"/>
                <w:lang w:eastAsia="zh-TW"/>
              </w:rPr>
              <m:t>'</m:t>
            </m:r>
          </m:sup>
        </m:sSup>
        <m:r>
          <w:rPr>
            <w:rFonts w:ascii="Cambria Math" w:hAnsi="Cambria Math" w:cs="Times New Roman"/>
            <w:color w:val="231F20"/>
            <w:sz w:val="24"/>
            <w:szCs w:val="24"/>
          </w:rPr>
          <m:t>=Σ</m:t>
        </m:r>
      </m:oMath>
      <w:r>
        <w:rPr>
          <w:rFonts w:ascii="Times New Roman" w:hAnsi="Times New Roman" w:cs="Times New Roman"/>
          <w:color w:val="231F20"/>
          <w:sz w:val="24"/>
          <w:szCs w:val="24"/>
        </w:rPr>
        <w:t xml:space="preserve">. For any </w:t>
      </w:r>
      <w:r>
        <w:rPr>
          <w:rFonts w:ascii="Times New Roman" w:hAnsi="Times New Roman" w:cs="Times New Roman"/>
          <w:color w:val="231F20"/>
          <w:sz w:val="24"/>
          <w:szCs w:val="24"/>
          <w:lang w:eastAsia="zh-HK"/>
        </w:rPr>
        <w:t>orthogonal matrix</w:t>
      </w:r>
      <w:r>
        <w:rPr>
          <w:rFonts w:ascii="Times New Roman" w:hAnsi="Times New Roman" w:cs="Times New Roman"/>
          <w:color w:val="231F20"/>
          <w:sz w:val="24"/>
          <w:szCs w:val="24"/>
          <w:lang w:eastAsia="zh-TW"/>
        </w:rPr>
        <w:t xml:space="preserve"> </w:t>
      </w:r>
      <m:oMath>
        <m:r>
          <w:rPr>
            <w:rFonts w:ascii="Cambria Math" w:hAnsi="Cambria Math" w:cs="Times New Roman"/>
            <w:color w:val="231F20"/>
            <w:sz w:val="24"/>
            <w:szCs w:val="24"/>
          </w:rPr>
          <m:t>ξ</m:t>
        </m:r>
      </m:oMath>
      <w:r>
        <w:rPr>
          <w:rFonts w:ascii="Times New Roman" w:hAnsi="Times New Roman" w:cs="Times New Roman"/>
          <w:color w:val="231F20"/>
          <w:sz w:val="24"/>
          <w:szCs w:val="24"/>
          <w:lang w:eastAsia="zh-TW"/>
        </w:rPr>
        <w:t xml:space="preserve"> </w:t>
      </w:r>
      <w:r>
        <w:rPr>
          <w:rFonts w:ascii="Times New Roman" w:hAnsi="Times New Roman" w:cs="Times New Roman"/>
          <w:color w:val="231F20"/>
          <w:sz w:val="24"/>
          <w:szCs w:val="24"/>
        </w:rPr>
        <w:t xml:space="preserve">we have </w:t>
      </w:r>
      <m:oMath>
        <m:r>
          <w:rPr>
            <w:rFonts w:ascii="Cambria Math" w:hAnsi="Cambria Math" w:cs="Times New Roman"/>
            <w:color w:val="231F20"/>
            <w:sz w:val="24"/>
            <w:szCs w:val="24"/>
          </w:rPr>
          <m:t>Σ=ϑ</m:t>
        </m:r>
        <m:sSup>
          <m:sSupPr>
            <m:ctrlPr>
              <w:rPr>
                <w:rFonts w:ascii="Cambria Math" w:hAnsi="Cambria Math" w:cs="Times New Roman"/>
                <w:i/>
                <w:color w:val="231F20"/>
                <w:sz w:val="24"/>
                <w:szCs w:val="24"/>
              </w:rPr>
            </m:ctrlPr>
          </m:sSupPr>
          <m:e>
            <m:r>
              <w:rPr>
                <w:rFonts w:ascii="Cambria Math" w:hAnsi="Cambria Math" w:cs="Times New Roman"/>
                <w:color w:val="231F20"/>
                <w:sz w:val="24"/>
                <w:szCs w:val="24"/>
              </w:rPr>
              <m:t>ϑ</m:t>
            </m:r>
          </m:e>
          <m:sup>
            <m:r>
              <w:rPr>
                <w:rFonts w:ascii="Cambria Math" w:hAnsi="Cambria Math" w:cs="Times New Roman"/>
                <w:color w:val="231F20"/>
                <w:sz w:val="24"/>
                <w:szCs w:val="24"/>
              </w:rPr>
              <m:t>'</m:t>
            </m:r>
          </m:sup>
        </m:sSup>
        <m:r>
          <w:rPr>
            <w:rFonts w:ascii="Cambria Math" w:hAnsi="Cambria Math" w:cs="Times New Roman"/>
            <w:color w:val="231F20"/>
            <w:sz w:val="24"/>
            <w:szCs w:val="24"/>
          </w:rPr>
          <m:t>=ϑ</m:t>
        </m:r>
        <m:sSup>
          <m:sSupPr>
            <m:ctrlPr>
              <w:rPr>
                <w:rFonts w:ascii="Cambria Math" w:hAnsi="Cambria Math" w:cs="Times New Roman"/>
                <w:i/>
                <w:color w:val="231F20"/>
                <w:sz w:val="24"/>
                <w:szCs w:val="24"/>
              </w:rPr>
            </m:ctrlPr>
          </m:sSupPr>
          <m:e>
            <m:r>
              <w:rPr>
                <w:rFonts w:ascii="Cambria Math" w:hAnsi="Cambria Math" w:cs="Times New Roman"/>
                <w:color w:val="231F20"/>
                <w:sz w:val="24"/>
                <w:szCs w:val="24"/>
              </w:rPr>
              <m:t>ξ</m:t>
            </m:r>
            <m:sSup>
              <m:sSupPr>
                <m:ctrlPr>
                  <w:rPr>
                    <w:rFonts w:ascii="Cambria Math" w:hAnsi="Cambria Math" w:cs="Times New Roman"/>
                    <w:i/>
                    <w:color w:val="231F20"/>
                    <w:sz w:val="24"/>
                    <w:szCs w:val="24"/>
                  </w:rPr>
                </m:ctrlPr>
              </m:sSupPr>
              <m:e>
                <m:r>
                  <w:rPr>
                    <w:rFonts w:ascii="Cambria Math" w:hAnsi="Cambria Math" w:cs="Times New Roman"/>
                    <w:color w:val="231F20"/>
                    <w:sz w:val="24"/>
                    <w:szCs w:val="24"/>
                  </w:rPr>
                  <m:t>ξ</m:t>
                </m:r>
              </m:e>
              <m:sup>
                <m:r>
                  <w:rPr>
                    <w:rFonts w:ascii="Cambria Math" w:hAnsi="Cambria Math" w:cs="Times New Roman"/>
                    <w:color w:val="231F20"/>
                    <w:sz w:val="24"/>
                    <w:szCs w:val="24"/>
                  </w:rPr>
                  <m:t>'</m:t>
                </m:r>
              </m:sup>
            </m:sSup>
            <m:r>
              <w:rPr>
                <w:rFonts w:ascii="Cambria Math" w:hAnsi="Cambria Math" w:cs="Times New Roman"/>
                <w:color w:val="231F20"/>
                <w:sz w:val="24"/>
                <w:szCs w:val="24"/>
              </w:rPr>
              <m:t>ϑ</m:t>
            </m:r>
          </m:e>
          <m:sup>
            <m:r>
              <w:rPr>
                <w:rFonts w:ascii="Cambria Math" w:hAnsi="Cambria Math" w:cs="Times New Roman"/>
                <w:color w:val="231F20"/>
                <w:sz w:val="24"/>
                <w:szCs w:val="24"/>
              </w:rPr>
              <m:t>'</m:t>
            </m:r>
          </m:sup>
        </m:sSup>
      </m:oMath>
      <w:r>
        <w:rPr>
          <w:rFonts w:ascii="Times New Roman" w:hAnsi="Times New Roman" w:cs="Times New Roman"/>
          <w:color w:val="231F20"/>
          <w:sz w:val="24"/>
          <w:szCs w:val="24"/>
        </w:rPr>
        <w:t>. Therefore</w:t>
      </w:r>
      <w:r>
        <w:rPr>
          <w:rFonts w:ascii="Times New Roman" w:hAnsi="Times New Roman" w:cs="Times New Roman" w:hint="eastAsia"/>
          <w:color w:val="231F20"/>
          <w:sz w:val="24"/>
          <w:szCs w:val="24"/>
          <w:lang w:eastAsia="zh-TW"/>
        </w:rPr>
        <w:t>,</w:t>
      </w:r>
      <w:r>
        <w:rPr>
          <w:rFonts w:ascii="Times New Roman" w:hAnsi="Times New Roman" w:cs="Times New Roman"/>
          <w:color w:val="231F20"/>
          <w:sz w:val="24"/>
          <w:szCs w:val="24"/>
        </w:rPr>
        <w:t xml:space="preserve"> </w:t>
      </w:r>
      <m:oMath>
        <m:r>
          <w:rPr>
            <w:rFonts w:ascii="Cambria Math" w:hAnsi="Cambria Math" w:cs="Times New Roman"/>
            <w:color w:val="231F20"/>
            <w:sz w:val="24"/>
            <w:szCs w:val="24"/>
          </w:rPr>
          <m:t xml:space="preserve">ϑξ </m:t>
        </m:r>
      </m:oMath>
      <w:r>
        <w:rPr>
          <w:rFonts w:ascii="Times New Roman" w:hAnsi="Times New Roman" w:cs="Times New Roman" w:hint="eastAsia"/>
          <w:color w:val="231F20"/>
          <w:sz w:val="24"/>
          <w:szCs w:val="24"/>
          <w:lang w:eastAsia="zh-TW"/>
        </w:rPr>
        <w:t>c</w:t>
      </w:r>
      <w:r>
        <w:rPr>
          <w:rFonts w:ascii="Times New Roman" w:hAnsi="Times New Roman" w:cs="Times New Roman"/>
          <w:color w:val="231F20"/>
          <w:sz w:val="24"/>
          <w:szCs w:val="24"/>
          <w:lang w:eastAsia="zh-TW"/>
        </w:rPr>
        <w:t>an</w:t>
      </w:r>
      <w:r>
        <w:rPr>
          <w:rFonts w:ascii="Times New Roman" w:hAnsi="Times New Roman" w:cs="Times New Roman"/>
          <w:color w:val="231F20"/>
          <w:sz w:val="24"/>
          <w:szCs w:val="24"/>
        </w:rPr>
        <w:t xml:space="preserve"> be used to construct a new decomposition</w:t>
      </w:r>
      <w:r>
        <w:rPr>
          <w:rFonts w:ascii="Times New Roman" w:hAnsi="Times New Roman" w:cs="Times New Roman" w:hint="eastAsia"/>
          <w:color w:val="231F20"/>
          <w:sz w:val="24"/>
          <w:szCs w:val="24"/>
          <w:lang w:eastAsia="zh-TW"/>
        </w:rPr>
        <w:t>.</w:t>
      </w:r>
      <w:r>
        <w:rPr>
          <w:rFonts w:ascii="Times New Roman" w:hAnsi="Times New Roman" w:cs="Times New Roman"/>
          <w:color w:val="231F20"/>
          <w:sz w:val="24"/>
          <w:szCs w:val="24"/>
        </w:rPr>
        <w:t xml:space="preserve"> </w:t>
      </w:r>
      <w:r>
        <w:rPr>
          <w:rFonts w:ascii="Times New Roman" w:hAnsi="Times New Roman" w:cs="Times New Roman"/>
          <w:color w:val="231F20"/>
          <w:sz w:val="24"/>
          <w:szCs w:val="24"/>
          <w:lang w:eastAsia="zh-TW"/>
        </w:rPr>
        <w:t>We then</w:t>
      </w:r>
      <w:r>
        <w:rPr>
          <w:rFonts w:ascii="Times New Roman" w:hAnsi="Times New Roman" w:cs="Times New Roman"/>
          <w:color w:val="231F20"/>
          <w:sz w:val="24"/>
          <w:szCs w:val="24"/>
        </w:rPr>
        <w:t xml:space="preserve"> check whether the generated impulse response functions satisfy simultaneously the restrictions imposed.  </w:t>
      </w:r>
      <m:oMath>
        <m:r>
          <w:rPr>
            <w:rFonts w:ascii="Cambria Math" w:hAnsi="Cambria Math" w:cs="Times New Roman"/>
            <w:color w:val="231F20"/>
            <w:sz w:val="24"/>
            <w:szCs w:val="24"/>
          </w:rPr>
          <m:t>ξ</m:t>
        </m:r>
      </m:oMath>
      <w:r>
        <w:rPr>
          <w:rFonts w:ascii="Times New Roman" w:hAnsi="Times New Roman" w:cs="Times New Roman"/>
          <w:color w:val="231F20"/>
          <w:sz w:val="24"/>
          <w:szCs w:val="24"/>
        </w:rPr>
        <w:t xml:space="preserve"> is determined by means of rotation matrices, as described by Canova and De Nicolo (2002). If a particular rotation matrix generates impulse responses compatible with our sign restrictions, the impulse responses are stored. Otherwise, we discard them. Restrictions are imposed for one quarter on the impulse responses. Similar to Uhlig (2005) and Hristov, Hulsewig, and Wollmershauser (2012), our SVAR model is estimated with B</w:t>
      </w:r>
      <w:r w:rsidRPr="00B55797">
        <w:rPr>
          <w:rFonts w:ascii="Times New Roman" w:hAnsi="Times New Roman" w:cs="Times New Roman"/>
          <w:color w:val="231F20"/>
          <w:sz w:val="24"/>
          <w:szCs w:val="24"/>
        </w:rPr>
        <w:t>ayesian</w:t>
      </w:r>
      <w:r>
        <w:rPr>
          <w:rFonts w:ascii="Times New Roman" w:hAnsi="Times New Roman" w:cs="Times New Roman"/>
          <w:color w:val="231F20"/>
          <w:sz w:val="24"/>
          <w:szCs w:val="24"/>
        </w:rPr>
        <w:t xml:space="preserve"> methods using a Normal-Wishart prior and 500 impulse responses which satisfy the set of sign restrictions are generated. The median (solid line) as well as 16% and the 84% quantiles (dotted lines) for the sample of impulse responses are plotted in Figures 4 and 5.</w:t>
      </w:r>
    </w:p>
    <w:p w14:paraId="1553963B" w14:textId="77777777" w:rsidR="007C3344" w:rsidRPr="00CA513F" w:rsidRDefault="007C3344" w:rsidP="00D44BAE">
      <w:pPr>
        <w:pStyle w:val="a6"/>
        <w:autoSpaceDE w:val="0"/>
        <w:autoSpaceDN w:val="0"/>
        <w:adjustRightInd w:val="0"/>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–Figures</w:t>
      </w:r>
      <w:r w:rsidRPr="00CA513F">
        <w:rPr>
          <w:rFonts w:ascii="Times New Roman" w:hAnsi="Times New Roman" w:cs="Times New Roman"/>
          <w:sz w:val="24"/>
          <w:szCs w:val="24"/>
        </w:rPr>
        <w:t xml:space="preserve"> </w:t>
      </w:r>
      <w:r>
        <w:rPr>
          <w:rFonts w:ascii="Times New Roman" w:hAnsi="Times New Roman" w:cs="Times New Roman"/>
          <w:sz w:val="24"/>
          <w:szCs w:val="24"/>
        </w:rPr>
        <w:t>4</w:t>
      </w:r>
      <w:r w:rsidRPr="00CA513F">
        <w:rPr>
          <w:rFonts w:ascii="Times New Roman" w:hAnsi="Times New Roman" w:cs="Times New Roman"/>
          <w:sz w:val="24"/>
          <w:szCs w:val="24"/>
        </w:rPr>
        <w:t xml:space="preserve"> </w:t>
      </w:r>
      <w:r>
        <w:rPr>
          <w:rFonts w:ascii="Times New Roman" w:hAnsi="Times New Roman" w:cs="Times New Roman"/>
          <w:sz w:val="24"/>
          <w:szCs w:val="24"/>
        </w:rPr>
        <w:t xml:space="preserve">and 5 </w:t>
      </w:r>
      <w:r w:rsidRPr="00CA513F">
        <w:rPr>
          <w:rFonts w:ascii="Times New Roman" w:hAnsi="Times New Roman" w:cs="Times New Roman"/>
          <w:sz w:val="24"/>
          <w:szCs w:val="24"/>
        </w:rPr>
        <w:t>about here –</w:t>
      </w:r>
    </w:p>
    <w:p w14:paraId="42B72349" w14:textId="30D741B4" w:rsidR="003D15CA" w:rsidRPr="00CC6159" w:rsidRDefault="007C3344" w:rsidP="00D44BAE">
      <w:pPr>
        <w:autoSpaceDE w:val="0"/>
        <w:autoSpaceDN w:val="0"/>
        <w:adjustRightInd w:val="0"/>
        <w:spacing w:after="0" w:line="480" w:lineRule="auto"/>
        <w:ind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Panels A and B of Figure 4 shows the impulse responses to a positive (standard deviation) uncertainty shock and an expansionary monetary policy shock, respectively for the syndicated loans. Results for the data from the </w:t>
      </w:r>
      <w:r w:rsidRPr="00AA51F5">
        <w:rPr>
          <w:rFonts w:ascii="Times New Roman" w:hAnsi="Times New Roman" w:cs="Times New Roman"/>
          <w:color w:val="231F20"/>
          <w:sz w:val="24"/>
          <w:szCs w:val="24"/>
        </w:rPr>
        <w:t>Federal Reserve Statistical Release H8</w:t>
      </w:r>
      <w:r>
        <w:rPr>
          <w:rFonts w:ascii="Times New Roman" w:hAnsi="Times New Roman" w:cs="Times New Roman"/>
          <w:color w:val="231F20"/>
          <w:sz w:val="24"/>
          <w:szCs w:val="24"/>
        </w:rPr>
        <w:t xml:space="preserve"> are reported in Figure 5. The impulse response functions to uncertainty shocks over the entire sample period look intuitive. The effect of a positive uncertainty shock increases the </w:t>
      </w:r>
      <w:r w:rsidRPr="007F6BE8">
        <w:rPr>
          <w:rFonts w:ascii="Times New Roman" w:hAnsi="Times New Roman" w:cs="Times New Roman"/>
          <w:i/>
          <w:color w:val="231F20"/>
          <w:sz w:val="24"/>
          <w:szCs w:val="24"/>
        </w:rPr>
        <w:t>logVRP</w:t>
      </w:r>
      <w:r>
        <w:rPr>
          <w:rFonts w:ascii="Times New Roman" w:hAnsi="Times New Roman" w:cs="Times New Roman"/>
          <w:color w:val="231F20"/>
          <w:sz w:val="24"/>
          <w:szCs w:val="24"/>
        </w:rPr>
        <w:t xml:space="preserve"> in the first three quarters, increases the loan spreads in the second quarter and decreases the loan volume upon initial impact. The delayed response documented by an increase in loan spreads arising from positive economic uncertainty </w:t>
      </w:r>
      <w:r>
        <w:rPr>
          <w:rFonts w:ascii="Times New Roman" w:hAnsi="Times New Roman" w:cs="Times New Roman"/>
          <w:color w:val="231F20"/>
          <w:sz w:val="24"/>
          <w:szCs w:val="24"/>
        </w:rPr>
        <w:lastRenderedPageBreak/>
        <w:t xml:space="preserve">shocks is broadly consistent with our findings based on the other methods, and point to greater responsiveness of loan supply to uncertainty than loan demand. A similar pattern of results for the impulse responses is observed based on the </w:t>
      </w:r>
      <w:r w:rsidRPr="00AA51F5">
        <w:rPr>
          <w:rFonts w:ascii="Times New Roman" w:hAnsi="Times New Roman" w:cs="Times New Roman"/>
          <w:color w:val="231F20"/>
          <w:sz w:val="24"/>
          <w:szCs w:val="24"/>
        </w:rPr>
        <w:t>Federal Reserve Statistical Release H8</w:t>
      </w:r>
      <w:r>
        <w:rPr>
          <w:rFonts w:ascii="Times New Roman" w:hAnsi="Times New Roman" w:cs="Times New Roman"/>
          <w:color w:val="231F20"/>
          <w:sz w:val="24"/>
          <w:szCs w:val="24"/>
        </w:rPr>
        <w:t xml:space="preserve"> data. The only exception is that the significance of the response of loan spread to heightened economic uncertainty is marginal because the impulse response function displays a large confidence interval. However, this impulse response function can be biased by the definition of </w:t>
      </w:r>
      <w:r w:rsidRPr="007B7626">
        <w:rPr>
          <w:rFonts w:ascii="Times New Roman" w:hAnsi="Times New Roman" w:cs="Times New Roman"/>
          <w:i/>
          <w:color w:val="231F20"/>
          <w:sz w:val="24"/>
          <w:szCs w:val="24"/>
        </w:rPr>
        <w:t>Loan_Spr</w:t>
      </w:r>
      <w:r>
        <w:rPr>
          <w:rFonts w:ascii="Times New Roman" w:hAnsi="Times New Roman" w:cs="Times New Roman"/>
          <w:color w:val="231F20"/>
          <w:sz w:val="24"/>
          <w:szCs w:val="24"/>
        </w:rPr>
        <w:t xml:space="preserve"> which </w:t>
      </w:r>
      <w:r>
        <w:rPr>
          <w:rFonts w:ascii="Times New Roman" w:hAnsi="Times New Roman" w:cs="Times New Roman"/>
          <w:color w:val="000000"/>
          <w:sz w:val="24"/>
          <w:szCs w:val="24"/>
        </w:rPr>
        <w:t xml:space="preserve">measures the weighted new-loan spreads during the first business week of the mid-month of each quarter while the </w:t>
      </w:r>
      <w:r w:rsidRPr="00BE771D">
        <w:rPr>
          <w:rFonts w:ascii="Times New Roman" w:hAnsi="Times New Roman" w:cs="Times New Roman"/>
          <w:color w:val="000000"/>
          <w:sz w:val="24"/>
          <w:szCs w:val="24"/>
        </w:rPr>
        <w:t>Δ</w:t>
      </w:r>
      <w:r w:rsidRPr="007B7626">
        <w:rPr>
          <w:rFonts w:ascii="Times New Roman" w:hAnsi="Times New Roman" w:cs="Times New Roman"/>
          <w:i/>
          <w:color w:val="000000"/>
          <w:sz w:val="24"/>
          <w:szCs w:val="24"/>
        </w:rPr>
        <w:t>CI_Loan</w:t>
      </w:r>
      <w:r>
        <w:rPr>
          <w:rFonts w:ascii="Times New Roman" w:hAnsi="Times New Roman" w:cs="Times New Roman"/>
          <w:i/>
          <w:color w:val="231F20"/>
          <w:sz w:val="24"/>
          <w:szCs w:val="24"/>
        </w:rPr>
        <w:t xml:space="preserve"> </w:t>
      </w:r>
      <w:r w:rsidRPr="007B7626">
        <w:rPr>
          <w:rFonts w:ascii="Times New Roman" w:hAnsi="Times New Roman" w:cs="Times New Roman"/>
          <w:color w:val="231F20"/>
          <w:sz w:val="24"/>
          <w:szCs w:val="24"/>
        </w:rPr>
        <w:t>reports</w:t>
      </w:r>
      <w:r>
        <w:rPr>
          <w:rFonts w:ascii="Times New Roman" w:hAnsi="Times New Roman" w:cs="Times New Roman"/>
          <w:color w:val="231F20"/>
          <w:sz w:val="24"/>
          <w:szCs w:val="24"/>
        </w:rPr>
        <w:t xml:space="preserve"> the change in total C&amp;I loan during a full quarter.</w:t>
      </w:r>
      <w:r w:rsidR="001A71F3">
        <w:rPr>
          <w:rStyle w:val="af7"/>
          <w:rFonts w:ascii="Times New Roman" w:hAnsi="Times New Roman" w:cs="Times New Roman"/>
          <w:color w:val="231F20"/>
          <w:sz w:val="24"/>
          <w:szCs w:val="24"/>
        </w:rPr>
        <w:endnoteReference w:id="21"/>
      </w:r>
      <w:r w:rsidR="001A71F3">
        <w:rPr>
          <w:rFonts w:ascii="Times New Roman" w:hAnsi="Times New Roman" w:cs="Times New Roman"/>
          <w:color w:val="231F20"/>
          <w:sz w:val="24"/>
          <w:szCs w:val="24"/>
        </w:rPr>
        <w:t xml:space="preserve"> </w:t>
      </w:r>
      <w:r w:rsidR="003D15CA">
        <w:rPr>
          <w:rFonts w:ascii="Times New Roman" w:hAnsi="Times New Roman" w:cs="Times New Roman"/>
          <w:color w:val="231F20"/>
          <w:sz w:val="24"/>
          <w:szCs w:val="24"/>
        </w:rPr>
        <w:t xml:space="preserve">This mismatch between loan quantity and price could have dampened the significance in the impulse response results. </w:t>
      </w:r>
      <w:r w:rsidR="00C863C0">
        <w:rPr>
          <w:rFonts w:ascii="Times New Roman" w:hAnsi="Times New Roman" w:cs="Times New Roman"/>
          <w:color w:val="231F20"/>
          <w:sz w:val="24"/>
          <w:szCs w:val="24"/>
        </w:rPr>
        <w:t xml:space="preserve">Although the </w:t>
      </w:r>
      <w:r w:rsidR="003D15CA">
        <w:rPr>
          <w:rFonts w:ascii="Times New Roman" w:hAnsi="Times New Roman" w:cs="Times New Roman"/>
          <w:color w:val="231F20"/>
          <w:sz w:val="24"/>
          <w:szCs w:val="24"/>
        </w:rPr>
        <w:t xml:space="preserve">effect of heightened economic uncertainty is to </w:t>
      </w:r>
      <w:r w:rsidR="003A0451">
        <w:rPr>
          <w:rFonts w:ascii="Times New Roman" w:hAnsi="Times New Roman" w:cs="Times New Roman"/>
          <w:color w:val="231F20"/>
          <w:sz w:val="24"/>
          <w:szCs w:val="24"/>
        </w:rPr>
        <w:t xml:space="preserve">significantly </w:t>
      </w:r>
      <w:r w:rsidR="003D15CA">
        <w:rPr>
          <w:rFonts w:ascii="Times New Roman" w:hAnsi="Times New Roman" w:cs="Times New Roman"/>
          <w:color w:val="231F20"/>
          <w:sz w:val="24"/>
          <w:szCs w:val="24"/>
        </w:rPr>
        <w:t>decrease real output growth</w:t>
      </w:r>
      <w:r w:rsidR="00C863C0">
        <w:rPr>
          <w:rFonts w:ascii="Times New Roman" w:hAnsi="Times New Roman" w:cs="Times New Roman"/>
          <w:color w:val="231F20"/>
          <w:sz w:val="24"/>
          <w:szCs w:val="24"/>
        </w:rPr>
        <w:t>,</w:t>
      </w:r>
      <w:r w:rsidR="003D15CA">
        <w:rPr>
          <w:rFonts w:ascii="Times New Roman" w:hAnsi="Times New Roman" w:cs="Times New Roman"/>
          <w:color w:val="231F20"/>
          <w:sz w:val="24"/>
          <w:szCs w:val="24"/>
        </w:rPr>
        <w:t xml:space="preserve"> </w:t>
      </w:r>
      <w:r w:rsidR="003A0451">
        <w:rPr>
          <w:rFonts w:ascii="Times New Roman" w:hAnsi="Times New Roman" w:cs="Times New Roman"/>
          <w:color w:val="231F20"/>
          <w:sz w:val="24"/>
          <w:szCs w:val="24"/>
        </w:rPr>
        <w:t xml:space="preserve">the influence on </w:t>
      </w:r>
      <w:r w:rsidR="003D15CA">
        <w:rPr>
          <w:rFonts w:ascii="Times New Roman" w:hAnsi="Times New Roman" w:cs="Times New Roman"/>
          <w:color w:val="231F20"/>
          <w:sz w:val="24"/>
          <w:szCs w:val="24"/>
        </w:rPr>
        <w:t xml:space="preserve">inflation </w:t>
      </w:r>
      <w:r w:rsidR="003A0451">
        <w:rPr>
          <w:rFonts w:ascii="Times New Roman" w:hAnsi="Times New Roman" w:cs="Times New Roman"/>
          <w:color w:val="231F20"/>
          <w:sz w:val="24"/>
          <w:szCs w:val="24"/>
        </w:rPr>
        <w:t xml:space="preserve">is </w:t>
      </w:r>
      <w:r w:rsidR="003D15CA">
        <w:rPr>
          <w:rFonts w:ascii="Times New Roman" w:hAnsi="Times New Roman" w:cs="Times New Roman"/>
          <w:color w:val="231F20"/>
          <w:sz w:val="24"/>
          <w:szCs w:val="24"/>
        </w:rPr>
        <w:t xml:space="preserve">statistically </w:t>
      </w:r>
      <w:r w:rsidR="003A0451">
        <w:rPr>
          <w:rFonts w:ascii="Times New Roman" w:hAnsi="Times New Roman" w:cs="Times New Roman"/>
          <w:color w:val="231F20"/>
          <w:sz w:val="24"/>
          <w:szCs w:val="24"/>
        </w:rPr>
        <w:t>in</w:t>
      </w:r>
      <w:r w:rsidR="003D15CA">
        <w:rPr>
          <w:rFonts w:ascii="Times New Roman" w:hAnsi="Times New Roman" w:cs="Times New Roman"/>
          <w:color w:val="231F20"/>
          <w:sz w:val="24"/>
          <w:szCs w:val="24"/>
        </w:rPr>
        <w:t xml:space="preserve">significant. The impulse response functions of monetary policy shocks </w:t>
      </w:r>
      <w:r w:rsidR="003D15CA" w:rsidRPr="00F7286A">
        <w:rPr>
          <w:rFonts w:ascii="Times New Roman" w:hAnsi="Times New Roman" w:cs="Times New Roman"/>
          <w:color w:val="231F20"/>
          <w:sz w:val="24"/>
          <w:szCs w:val="24"/>
        </w:rPr>
        <w:t>exhibit plausible pattern</w:t>
      </w:r>
      <w:r w:rsidR="00F7286A" w:rsidRPr="00F7286A">
        <w:rPr>
          <w:rFonts w:ascii="Times New Roman" w:hAnsi="Times New Roman" w:cs="Times New Roman"/>
          <w:color w:val="231F20"/>
          <w:sz w:val="24"/>
          <w:szCs w:val="24"/>
        </w:rPr>
        <w:t>s</w:t>
      </w:r>
      <w:r w:rsidR="003D15CA">
        <w:rPr>
          <w:rFonts w:ascii="Times New Roman" w:hAnsi="Times New Roman" w:cs="Times New Roman"/>
          <w:color w:val="231F20"/>
          <w:sz w:val="24"/>
          <w:szCs w:val="24"/>
        </w:rPr>
        <w:t xml:space="preserve"> and are broadly in line with the findings </w:t>
      </w:r>
      <w:r w:rsidR="00C863C0">
        <w:rPr>
          <w:rFonts w:ascii="Times New Roman" w:hAnsi="Times New Roman" w:cs="Times New Roman"/>
          <w:color w:val="231F20"/>
          <w:sz w:val="24"/>
          <w:szCs w:val="24"/>
        </w:rPr>
        <w:t xml:space="preserve">reported </w:t>
      </w:r>
      <w:r w:rsidR="003D15CA">
        <w:rPr>
          <w:rFonts w:ascii="Times New Roman" w:hAnsi="Times New Roman" w:cs="Times New Roman"/>
          <w:color w:val="231F20"/>
          <w:sz w:val="24"/>
          <w:szCs w:val="24"/>
        </w:rPr>
        <w:t>in related studies</w:t>
      </w:r>
      <w:r w:rsidR="00C863C0">
        <w:rPr>
          <w:rFonts w:ascii="Times New Roman" w:hAnsi="Times New Roman" w:cs="Times New Roman"/>
          <w:color w:val="231F20"/>
          <w:sz w:val="24"/>
          <w:szCs w:val="24"/>
        </w:rPr>
        <w:t xml:space="preserve">, for example </w:t>
      </w:r>
      <w:r w:rsidR="002D55EE">
        <w:rPr>
          <w:rFonts w:ascii="Times New Roman" w:hAnsi="Times New Roman" w:cs="Times New Roman"/>
          <w:color w:val="231F20"/>
          <w:sz w:val="24"/>
          <w:szCs w:val="24"/>
        </w:rPr>
        <w:t>Bekaert, Hoerova, and Lo Duca (2013)</w:t>
      </w:r>
      <w:r w:rsidR="003B6B5A">
        <w:rPr>
          <w:rFonts w:ascii="Times New Roman" w:hAnsi="Times New Roman" w:cs="Times New Roman"/>
          <w:color w:val="231F20"/>
          <w:sz w:val="24"/>
          <w:szCs w:val="24"/>
        </w:rPr>
        <w:t>, Breitenlechner, Scharler, and Sindermann (2016), and Uhlig (2005)</w:t>
      </w:r>
      <w:r w:rsidR="003D15CA">
        <w:rPr>
          <w:rFonts w:ascii="Times New Roman" w:hAnsi="Times New Roman" w:cs="Times New Roman"/>
          <w:color w:val="231F20"/>
          <w:sz w:val="24"/>
          <w:szCs w:val="24"/>
        </w:rPr>
        <w:t>.</w:t>
      </w:r>
    </w:p>
    <w:p w14:paraId="645B884C" w14:textId="77777777" w:rsidR="005C263A" w:rsidRDefault="005C263A" w:rsidP="00D44BAE">
      <w:pPr>
        <w:autoSpaceDE w:val="0"/>
        <w:autoSpaceDN w:val="0"/>
        <w:adjustRightInd w:val="0"/>
        <w:spacing w:after="0" w:line="480" w:lineRule="auto"/>
        <w:rPr>
          <w:rFonts w:ascii="Times New Roman" w:hAnsi="Times New Roman" w:cs="Times New Roman"/>
          <w:b/>
          <w:color w:val="231F20"/>
          <w:sz w:val="24"/>
          <w:szCs w:val="24"/>
        </w:rPr>
      </w:pPr>
    </w:p>
    <w:p w14:paraId="387B849B" w14:textId="58BB09EE" w:rsidR="00634CE3" w:rsidRDefault="00C93A04" w:rsidP="00D44BAE">
      <w:pPr>
        <w:autoSpaceDE w:val="0"/>
        <w:autoSpaceDN w:val="0"/>
        <w:adjustRightInd w:val="0"/>
        <w:spacing w:after="0" w:line="480" w:lineRule="auto"/>
        <w:rPr>
          <w:rFonts w:ascii="Times New Roman" w:hAnsi="Times New Roman" w:cs="Times New Roman"/>
          <w:b/>
          <w:color w:val="231F20"/>
          <w:sz w:val="24"/>
          <w:szCs w:val="24"/>
        </w:rPr>
      </w:pPr>
      <w:r>
        <w:rPr>
          <w:rFonts w:ascii="Times New Roman" w:hAnsi="Times New Roman" w:cs="Times New Roman"/>
          <w:b/>
          <w:color w:val="231F20"/>
          <w:sz w:val="24"/>
          <w:szCs w:val="24"/>
        </w:rPr>
        <w:t>5</w:t>
      </w:r>
      <w:r w:rsidR="005C263A">
        <w:rPr>
          <w:rFonts w:ascii="Times New Roman" w:hAnsi="Times New Roman" w:cs="Times New Roman"/>
          <w:b/>
          <w:color w:val="231F20"/>
          <w:sz w:val="24"/>
          <w:szCs w:val="24"/>
        </w:rPr>
        <w:t>. SUMMARY AND CONCLUSION</w:t>
      </w:r>
    </w:p>
    <w:p w14:paraId="1A78D84A" w14:textId="77777777" w:rsidR="005C263A" w:rsidRPr="00551E0A" w:rsidRDefault="005C263A" w:rsidP="00D44BAE">
      <w:pPr>
        <w:autoSpaceDE w:val="0"/>
        <w:autoSpaceDN w:val="0"/>
        <w:adjustRightInd w:val="0"/>
        <w:spacing w:after="0" w:line="480" w:lineRule="auto"/>
        <w:rPr>
          <w:rFonts w:ascii="Times New Roman" w:hAnsi="Times New Roman" w:cs="Times New Roman"/>
          <w:b/>
          <w:color w:val="231F20"/>
          <w:sz w:val="24"/>
          <w:szCs w:val="24"/>
        </w:rPr>
      </w:pPr>
    </w:p>
    <w:p w14:paraId="57552E52" w14:textId="6D893588" w:rsidR="00324573" w:rsidRPr="00A30469" w:rsidRDefault="00B6383A" w:rsidP="00D44BAE">
      <w:pPr>
        <w:autoSpaceDE w:val="0"/>
        <w:autoSpaceDN w:val="0"/>
        <w:adjustRightInd w:val="0"/>
        <w:spacing w:after="0" w:line="480" w:lineRule="auto"/>
        <w:ind w:firstLine="720"/>
        <w:jc w:val="both"/>
        <w:rPr>
          <w:rFonts w:ascii="Times New Roman" w:hAnsi="Times New Roman" w:cs="Times New Roman"/>
          <w:color w:val="2E3093"/>
          <w:sz w:val="24"/>
          <w:szCs w:val="24"/>
        </w:rPr>
      </w:pPr>
      <w:r w:rsidRPr="00B6383A">
        <w:rPr>
          <w:rFonts w:ascii="Times New Roman" w:hAnsi="Times New Roman" w:cs="Times New Roman"/>
          <w:color w:val="231F20"/>
          <w:sz w:val="24"/>
          <w:szCs w:val="24"/>
        </w:rPr>
        <w:t xml:space="preserve">In this paper, we argue that </w:t>
      </w:r>
      <w:r w:rsidR="009410E9">
        <w:rPr>
          <w:rFonts w:ascii="Times New Roman" w:hAnsi="Times New Roman" w:cs="Times New Roman"/>
          <w:color w:val="231F20"/>
          <w:sz w:val="24"/>
          <w:szCs w:val="24"/>
        </w:rPr>
        <w:t>economic uncertainty</w:t>
      </w:r>
      <w:r w:rsidRPr="00B6383A">
        <w:rPr>
          <w:rFonts w:ascii="Times New Roman" w:hAnsi="Times New Roman" w:cs="Times New Roman"/>
          <w:color w:val="231F20"/>
          <w:sz w:val="24"/>
          <w:szCs w:val="24"/>
        </w:rPr>
        <w:t xml:space="preserve"> should have clear effects on the allocation of loanable funds</w:t>
      </w:r>
      <w:r>
        <w:rPr>
          <w:rFonts w:ascii="Times New Roman" w:hAnsi="Times New Roman" w:cs="Times New Roman"/>
          <w:color w:val="231F20"/>
          <w:sz w:val="24"/>
          <w:szCs w:val="24"/>
        </w:rPr>
        <w:t xml:space="preserve"> </w:t>
      </w:r>
      <w:r w:rsidRPr="00B6383A">
        <w:rPr>
          <w:rFonts w:ascii="Times New Roman" w:hAnsi="Times New Roman" w:cs="Times New Roman"/>
          <w:color w:val="231F20"/>
          <w:sz w:val="24"/>
          <w:szCs w:val="24"/>
        </w:rPr>
        <w:t>over and above the movements of macroeconomic aggregates or the constraints posed by monetary policy</w:t>
      </w:r>
      <w:r w:rsidR="00BE2D31">
        <w:rPr>
          <w:rFonts w:ascii="Times New Roman" w:hAnsi="Times New Roman" w:cs="Times New Roman"/>
          <w:color w:val="231F20"/>
          <w:sz w:val="24"/>
          <w:szCs w:val="24"/>
        </w:rPr>
        <w:t>-</w:t>
      </w:r>
      <w:r w:rsidRPr="00B6383A">
        <w:rPr>
          <w:rFonts w:ascii="Times New Roman" w:hAnsi="Times New Roman" w:cs="Times New Roman"/>
          <w:color w:val="231F20"/>
          <w:sz w:val="24"/>
          <w:szCs w:val="24"/>
        </w:rPr>
        <w:t>makers</w:t>
      </w:r>
      <w:r w:rsidR="00832EE7" w:rsidRPr="00A47D20">
        <w:rPr>
          <w:rFonts w:ascii="Times New Roman" w:hAnsi="Times New Roman" w:cs="Times New Roman"/>
          <w:sz w:val="24"/>
          <w:szCs w:val="24"/>
        </w:rPr>
        <w:t>’</w:t>
      </w:r>
      <w:r w:rsidRPr="00B6383A">
        <w:rPr>
          <w:rFonts w:ascii="Times New Roman" w:hAnsi="Times New Roman" w:cs="Times New Roman"/>
          <w:color w:val="231F20"/>
          <w:sz w:val="24"/>
          <w:szCs w:val="24"/>
        </w:rPr>
        <w:t xml:space="preserve"> actions. We provide</w:t>
      </w:r>
      <w:r>
        <w:rPr>
          <w:rFonts w:ascii="Times New Roman" w:hAnsi="Times New Roman" w:cs="Times New Roman"/>
          <w:color w:val="231F20"/>
          <w:sz w:val="24"/>
          <w:szCs w:val="24"/>
        </w:rPr>
        <w:t xml:space="preserve"> </w:t>
      </w:r>
      <w:r w:rsidRPr="00B6383A">
        <w:rPr>
          <w:rFonts w:ascii="Times New Roman" w:hAnsi="Times New Roman" w:cs="Times New Roman"/>
          <w:color w:val="231F20"/>
          <w:sz w:val="24"/>
          <w:szCs w:val="24"/>
        </w:rPr>
        <w:t>robust evidence</w:t>
      </w:r>
      <w:r w:rsidR="00444A4F">
        <w:rPr>
          <w:rFonts w:ascii="Times New Roman" w:hAnsi="Times New Roman" w:cs="Times New Roman"/>
          <w:color w:val="231F20"/>
          <w:sz w:val="24"/>
          <w:szCs w:val="24"/>
        </w:rPr>
        <w:t xml:space="preserve"> using different methods and four different datasets</w:t>
      </w:r>
      <w:r w:rsidRPr="00B6383A">
        <w:rPr>
          <w:rFonts w:ascii="Times New Roman" w:hAnsi="Times New Roman" w:cs="Times New Roman"/>
          <w:color w:val="231F20"/>
          <w:sz w:val="24"/>
          <w:szCs w:val="24"/>
        </w:rPr>
        <w:t xml:space="preserve"> that </w:t>
      </w:r>
      <w:r w:rsidR="009410E9">
        <w:rPr>
          <w:rFonts w:ascii="Times New Roman" w:hAnsi="Times New Roman" w:cs="Times New Roman"/>
          <w:color w:val="231F20"/>
          <w:sz w:val="24"/>
          <w:szCs w:val="24"/>
        </w:rPr>
        <w:t>economic uncertainty</w:t>
      </w:r>
      <w:r w:rsidRPr="00B6383A">
        <w:rPr>
          <w:rFonts w:ascii="Times New Roman" w:hAnsi="Times New Roman" w:cs="Times New Roman"/>
          <w:color w:val="231F20"/>
          <w:sz w:val="24"/>
          <w:szCs w:val="24"/>
        </w:rPr>
        <w:t xml:space="preserve"> significantly </w:t>
      </w:r>
      <w:r w:rsidR="009844F1">
        <w:rPr>
          <w:rFonts w:ascii="Times New Roman" w:hAnsi="Times New Roman" w:cs="Times New Roman"/>
          <w:color w:val="231F20"/>
          <w:sz w:val="24"/>
          <w:szCs w:val="24"/>
        </w:rPr>
        <w:t>affect</w:t>
      </w:r>
      <w:r w:rsidRPr="00B6383A">
        <w:rPr>
          <w:rFonts w:ascii="Times New Roman" w:hAnsi="Times New Roman" w:cs="Times New Roman"/>
          <w:color w:val="231F20"/>
          <w:sz w:val="24"/>
          <w:szCs w:val="24"/>
        </w:rPr>
        <w:t>s the allocation process, and t</w:t>
      </w:r>
      <w:r w:rsidR="00C924BA">
        <w:rPr>
          <w:rFonts w:ascii="Times New Roman" w:hAnsi="Times New Roman" w:cs="Times New Roman"/>
          <w:color w:val="231F20"/>
          <w:sz w:val="24"/>
          <w:szCs w:val="24"/>
        </w:rPr>
        <w:t>he effects on both loan demand and bank</w:t>
      </w:r>
      <w:r w:rsidR="00596D06">
        <w:rPr>
          <w:rFonts w:ascii="Times New Roman" w:hAnsi="Times New Roman" w:cs="Times New Roman"/>
          <w:color w:val="231F20"/>
          <w:sz w:val="24"/>
          <w:szCs w:val="24"/>
        </w:rPr>
        <w:t xml:space="preserve"> </w:t>
      </w:r>
      <w:r w:rsidR="00C924BA">
        <w:rPr>
          <w:rFonts w:ascii="Times New Roman" w:hAnsi="Times New Roman" w:cs="Times New Roman"/>
          <w:color w:val="231F20"/>
          <w:sz w:val="24"/>
          <w:szCs w:val="24"/>
        </w:rPr>
        <w:t xml:space="preserve">credit supply are negative. Furthermore, there is clear evidence to </w:t>
      </w:r>
      <w:r w:rsidR="00C924BA">
        <w:rPr>
          <w:rFonts w:ascii="Times New Roman" w:hAnsi="Times New Roman" w:cs="Times New Roman"/>
          <w:color w:val="231F20"/>
          <w:sz w:val="24"/>
          <w:szCs w:val="24"/>
        </w:rPr>
        <w:lastRenderedPageBreak/>
        <w:t xml:space="preserve">suggest </w:t>
      </w:r>
      <w:r w:rsidR="00C924BA" w:rsidRPr="00A30469">
        <w:rPr>
          <w:rFonts w:ascii="Times New Roman" w:hAnsi="Times New Roman" w:cs="Times New Roman"/>
          <w:color w:val="231F20"/>
          <w:sz w:val="24"/>
          <w:szCs w:val="24"/>
        </w:rPr>
        <w:t xml:space="preserve">during times of </w:t>
      </w:r>
      <w:r w:rsidR="00C924BA">
        <w:rPr>
          <w:rFonts w:ascii="Times New Roman" w:hAnsi="Times New Roman" w:cs="Times New Roman"/>
          <w:color w:val="231F20"/>
          <w:sz w:val="24"/>
          <w:szCs w:val="24"/>
        </w:rPr>
        <w:t>greater</w:t>
      </w:r>
      <w:r w:rsidR="00C924BA" w:rsidRPr="00A30469">
        <w:rPr>
          <w:rFonts w:ascii="Times New Roman" w:hAnsi="Times New Roman" w:cs="Times New Roman"/>
          <w:color w:val="231F20"/>
          <w:sz w:val="24"/>
          <w:szCs w:val="24"/>
        </w:rPr>
        <w:t xml:space="preserve"> </w:t>
      </w:r>
      <w:r w:rsidR="009410E9">
        <w:rPr>
          <w:rFonts w:ascii="Times New Roman" w:hAnsi="Times New Roman" w:cs="Times New Roman"/>
          <w:color w:val="231F20"/>
          <w:sz w:val="24"/>
          <w:szCs w:val="24"/>
        </w:rPr>
        <w:t>economic uncertainty</w:t>
      </w:r>
      <w:r w:rsidR="00C924BA" w:rsidRPr="00A30469">
        <w:rPr>
          <w:rFonts w:ascii="Times New Roman" w:hAnsi="Times New Roman" w:cs="Times New Roman"/>
          <w:color w:val="231F20"/>
          <w:sz w:val="24"/>
          <w:szCs w:val="24"/>
        </w:rPr>
        <w:t xml:space="preserve"> </w:t>
      </w:r>
      <w:r w:rsidR="00C924BA">
        <w:rPr>
          <w:rFonts w:ascii="Times New Roman" w:hAnsi="Times New Roman" w:cs="Times New Roman"/>
          <w:color w:val="231F20"/>
          <w:sz w:val="24"/>
          <w:szCs w:val="24"/>
        </w:rPr>
        <w:t xml:space="preserve">both </w:t>
      </w:r>
      <w:r w:rsidR="00C924BA" w:rsidRPr="00A30469">
        <w:rPr>
          <w:rFonts w:ascii="Times New Roman" w:hAnsi="Times New Roman" w:cs="Times New Roman"/>
          <w:color w:val="231F20"/>
          <w:sz w:val="24"/>
          <w:szCs w:val="24"/>
        </w:rPr>
        <w:t>banks</w:t>
      </w:r>
      <w:r w:rsidR="00C924BA">
        <w:rPr>
          <w:rFonts w:ascii="Times New Roman" w:hAnsi="Times New Roman" w:cs="Times New Roman"/>
          <w:color w:val="231F20"/>
          <w:sz w:val="24"/>
          <w:szCs w:val="24"/>
        </w:rPr>
        <w:t xml:space="preserve"> and firms</w:t>
      </w:r>
      <w:r w:rsidR="00C924BA" w:rsidRPr="00A30469">
        <w:rPr>
          <w:rFonts w:ascii="Times New Roman" w:hAnsi="Times New Roman" w:cs="Times New Roman"/>
          <w:color w:val="231F20"/>
          <w:sz w:val="24"/>
          <w:szCs w:val="24"/>
        </w:rPr>
        <w:t xml:space="preserve"> will behave more </w:t>
      </w:r>
      <w:r w:rsidR="00C924BA">
        <w:rPr>
          <w:rFonts w:ascii="Times New Roman" w:hAnsi="Times New Roman" w:cs="Times New Roman"/>
          <w:color w:val="231F20"/>
          <w:sz w:val="24"/>
          <w:szCs w:val="24"/>
        </w:rPr>
        <w:t>conservative</w:t>
      </w:r>
      <w:r w:rsidR="00C924BA" w:rsidRPr="00A30469">
        <w:rPr>
          <w:rFonts w:ascii="Times New Roman" w:hAnsi="Times New Roman" w:cs="Times New Roman"/>
          <w:color w:val="231F20"/>
          <w:sz w:val="24"/>
          <w:szCs w:val="24"/>
        </w:rPr>
        <w:t>ly</w:t>
      </w:r>
      <w:r w:rsidR="00C924BA">
        <w:rPr>
          <w:rFonts w:ascii="Times New Roman" w:hAnsi="Times New Roman" w:cs="Times New Roman"/>
          <w:color w:val="231F20"/>
          <w:sz w:val="24"/>
          <w:szCs w:val="24"/>
        </w:rPr>
        <w:t xml:space="preserve"> but the effects are larger on bank</w:t>
      </w:r>
      <w:r w:rsidR="00596D06">
        <w:rPr>
          <w:rFonts w:ascii="Times New Roman" w:hAnsi="Times New Roman" w:cs="Times New Roman"/>
          <w:color w:val="231F20"/>
          <w:sz w:val="24"/>
          <w:szCs w:val="24"/>
        </w:rPr>
        <w:t xml:space="preserve"> </w:t>
      </w:r>
      <w:r w:rsidR="00C924BA">
        <w:rPr>
          <w:rFonts w:ascii="Times New Roman" w:hAnsi="Times New Roman" w:cs="Times New Roman"/>
          <w:color w:val="231F20"/>
          <w:sz w:val="24"/>
          <w:szCs w:val="24"/>
        </w:rPr>
        <w:t>credit supply than on loan demand. T</w:t>
      </w:r>
      <w:r w:rsidRPr="00B6383A">
        <w:rPr>
          <w:rFonts w:ascii="Times New Roman" w:hAnsi="Times New Roman" w:cs="Times New Roman"/>
          <w:color w:val="231F20"/>
          <w:sz w:val="24"/>
          <w:szCs w:val="24"/>
        </w:rPr>
        <w:t>he magnitude of effects</w:t>
      </w:r>
      <w:r w:rsidR="00C924BA">
        <w:rPr>
          <w:rFonts w:ascii="Times New Roman" w:hAnsi="Times New Roman" w:cs="Times New Roman"/>
          <w:color w:val="231F20"/>
          <w:sz w:val="24"/>
          <w:szCs w:val="24"/>
        </w:rPr>
        <w:t xml:space="preserve"> on loan </w:t>
      </w:r>
      <w:r w:rsidR="009410E9">
        <w:rPr>
          <w:rFonts w:ascii="Times New Roman" w:hAnsi="Times New Roman" w:cs="Times New Roman"/>
          <w:color w:val="231F20"/>
          <w:sz w:val="24"/>
          <w:szCs w:val="24"/>
        </w:rPr>
        <w:t>quantity</w:t>
      </w:r>
      <w:r w:rsidR="00C924BA">
        <w:rPr>
          <w:rFonts w:ascii="Times New Roman" w:hAnsi="Times New Roman" w:cs="Times New Roman"/>
          <w:color w:val="231F20"/>
          <w:sz w:val="24"/>
          <w:szCs w:val="24"/>
        </w:rPr>
        <w:t>, spread</w:t>
      </w:r>
      <w:r w:rsidR="00346C18">
        <w:rPr>
          <w:rFonts w:ascii="Times New Roman" w:hAnsi="Times New Roman" w:cs="Times New Roman"/>
          <w:color w:val="231F20"/>
          <w:sz w:val="24"/>
          <w:szCs w:val="24"/>
        </w:rPr>
        <w:t>s</w:t>
      </w:r>
      <w:r w:rsidR="00C924BA">
        <w:rPr>
          <w:rFonts w:ascii="Times New Roman" w:hAnsi="Times New Roman" w:cs="Times New Roman"/>
          <w:color w:val="231F20"/>
          <w:sz w:val="24"/>
          <w:szCs w:val="24"/>
        </w:rPr>
        <w:t>, and non-price loan terms</w:t>
      </w:r>
      <w:r w:rsidRPr="00B6383A">
        <w:rPr>
          <w:rFonts w:ascii="Times New Roman" w:hAnsi="Times New Roman" w:cs="Times New Roman"/>
          <w:color w:val="231F20"/>
          <w:sz w:val="24"/>
          <w:szCs w:val="24"/>
        </w:rPr>
        <w:t xml:space="preserve"> that we find</w:t>
      </w:r>
      <w:r>
        <w:rPr>
          <w:rFonts w:ascii="Times New Roman" w:hAnsi="Times New Roman" w:cs="Times New Roman"/>
          <w:color w:val="231F20"/>
          <w:sz w:val="24"/>
          <w:szCs w:val="24"/>
        </w:rPr>
        <w:t xml:space="preserve"> </w:t>
      </w:r>
      <w:r w:rsidRPr="00B6383A">
        <w:rPr>
          <w:rFonts w:ascii="Times New Roman" w:hAnsi="Times New Roman" w:cs="Times New Roman"/>
          <w:color w:val="231F20"/>
          <w:sz w:val="24"/>
          <w:szCs w:val="24"/>
        </w:rPr>
        <w:t xml:space="preserve">in this paper </w:t>
      </w:r>
      <w:r w:rsidR="00C924BA">
        <w:rPr>
          <w:rFonts w:ascii="Times New Roman" w:hAnsi="Times New Roman" w:cs="Times New Roman"/>
          <w:color w:val="231F20"/>
          <w:sz w:val="24"/>
          <w:szCs w:val="24"/>
        </w:rPr>
        <w:t>are</w:t>
      </w:r>
      <w:r w:rsidRPr="00B6383A">
        <w:rPr>
          <w:rFonts w:ascii="Times New Roman" w:hAnsi="Times New Roman" w:cs="Times New Roman"/>
          <w:color w:val="231F20"/>
          <w:sz w:val="24"/>
          <w:szCs w:val="24"/>
        </w:rPr>
        <w:t xml:space="preserve"> </w:t>
      </w:r>
      <w:r w:rsidR="001A4E7D">
        <w:rPr>
          <w:rFonts w:ascii="Times New Roman" w:hAnsi="Times New Roman" w:cs="Times New Roman"/>
          <w:color w:val="231F20"/>
          <w:sz w:val="24"/>
          <w:szCs w:val="24"/>
        </w:rPr>
        <w:t xml:space="preserve">quantitatively and </w:t>
      </w:r>
      <w:r w:rsidRPr="00B6383A">
        <w:rPr>
          <w:rFonts w:ascii="Times New Roman" w:hAnsi="Times New Roman" w:cs="Times New Roman"/>
          <w:color w:val="231F20"/>
          <w:sz w:val="24"/>
          <w:szCs w:val="24"/>
        </w:rPr>
        <w:t xml:space="preserve">qualitatively important: </w:t>
      </w:r>
      <w:r w:rsidR="00C924BA">
        <w:rPr>
          <w:rFonts w:ascii="Times New Roman" w:hAnsi="Times New Roman" w:cs="Times New Roman"/>
          <w:color w:val="231F20"/>
          <w:sz w:val="24"/>
          <w:szCs w:val="24"/>
        </w:rPr>
        <w:t>the reduction in quarterly syndicated loan volume is</w:t>
      </w:r>
      <w:r w:rsidR="001A4E7D">
        <w:rPr>
          <w:rFonts w:ascii="Times New Roman" w:hAnsi="Times New Roman" w:cs="Times New Roman"/>
          <w:color w:val="231F20"/>
          <w:sz w:val="24"/>
          <w:szCs w:val="24"/>
        </w:rPr>
        <w:t xml:space="preserve"> </w:t>
      </w:r>
      <w:r w:rsidR="00C924BA">
        <w:rPr>
          <w:rFonts w:ascii="Times New Roman" w:hAnsi="Times New Roman" w:cs="Times New Roman"/>
          <w:color w:val="231F20"/>
          <w:sz w:val="24"/>
          <w:szCs w:val="24"/>
        </w:rPr>
        <w:t>$5</w:t>
      </w:r>
      <w:r w:rsidR="007F6BE8">
        <w:rPr>
          <w:rFonts w:ascii="Times New Roman" w:hAnsi="Times New Roman" w:cs="Times New Roman"/>
          <w:color w:val="231F20"/>
          <w:sz w:val="24"/>
          <w:szCs w:val="24"/>
        </w:rPr>
        <w:t>0</w:t>
      </w:r>
      <w:r w:rsidR="00C924BA">
        <w:rPr>
          <w:rFonts w:ascii="Times New Roman" w:hAnsi="Times New Roman" w:cs="Times New Roman"/>
          <w:color w:val="231F20"/>
          <w:sz w:val="24"/>
          <w:szCs w:val="24"/>
        </w:rPr>
        <w:t xml:space="preserve"> billion which is 2</w:t>
      </w:r>
      <w:r w:rsidR="007F6BE8">
        <w:rPr>
          <w:rFonts w:ascii="Times New Roman" w:hAnsi="Times New Roman" w:cs="Times New Roman"/>
          <w:color w:val="231F20"/>
          <w:sz w:val="24"/>
          <w:szCs w:val="24"/>
        </w:rPr>
        <w:t>5</w:t>
      </w:r>
      <w:r w:rsidR="00C924BA">
        <w:rPr>
          <w:rFonts w:ascii="Times New Roman" w:hAnsi="Times New Roman" w:cs="Times New Roman"/>
          <w:color w:val="231F20"/>
          <w:sz w:val="24"/>
          <w:szCs w:val="24"/>
        </w:rPr>
        <w:t xml:space="preserve">% lower than the average </w:t>
      </w:r>
      <w:r w:rsidR="001A4E7D">
        <w:rPr>
          <w:rFonts w:ascii="Times New Roman" w:hAnsi="Times New Roman" w:cs="Times New Roman"/>
          <w:color w:val="231F20"/>
          <w:sz w:val="24"/>
          <w:szCs w:val="24"/>
        </w:rPr>
        <w:t>loan</w:t>
      </w:r>
      <w:r w:rsidR="00C924BA">
        <w:rPr>
          <w:rFonts w:ascii="Times New Roman" w:hAnsi="Times New Roman" w:cs="Times New Roman"/>
          <w:color w:val="231F20"/>
          <w:sz w:val="24"/>
          <w:szCs w:val="24"/>
        </w:rPr>
        <w:t xml:space="preserve"> volume, </w:t>
      </w:r>
      <w:r w:rsidR="00400CB4">
        <w:rPr>
          <w:rFonts w:ascii="Times New Roman" w:hAnsi="Times New Roman" w:cs="Times New Roman"/>
          <w:color w:val="231F20"/>
          <w:sz w:val="24"/>
          <w:szCs w:val="24"/>
        </w:rPr>
        <w:t>25 basis points higher in spread</w:t>
      </w:r>
      <w:r w:rsidR="00346C18">
        <w:rPr>
          <w:rFonts w:ascii="Times New Roman" w:hAnsi="Times New Roman" w:cs="Times New Roman"/>
          <w:color w:val="231F20"/>
          <w:sz w:val="24"/>
          <w:szCs w:val="24"/>
        </w:rPr>
        <w:t>s</w:t>
      </w:r>
      <w:r w:rsidR="00400CB4">
        <w:rPr>
          <w:rFonts w:ascii="Times New Roman" w:hAnsi="Times New Roman" w:cs="Times New Roman"/>
          <w:color w:val="231F20"/>
          <w:sz w:val="24"/>
          <w:szCs w:val="24"/>
        </w:rPr>
        <w:t xml:space="preserve"> which is 16% above its mean </w:t>
      </w:r>
      <w:r w:rsidR="000B40D3">
        <w:rPr>
          <w:rFonts w:ascii="Times New Roman" w:hAnsi="Times New Roman" w:cs="Times New Roman"/>
          <w:color w:val="231F20"/>
          <w:sz w:val="24"/>
          <w:szCs w:val="24"/>
        </w:rPr>
        <w:t>level</w:t>
      </w:r>
      <w:r w:rsidR="00400CB4">
        <w:rPr>
          <w:rFonts w:ascii="Times New Roman" w:hAnsi="Times New Roman" w:cs="Times New Roman"/>
          <w:color w:val="231F20"/>
          <w:sz w:val="24"/>
          <w:szCs w:val="24"/>
        </w:rPr>
        <w:t>.</w:t>
      </w:r>
      <w:r w:rsidR="00C31CA7">
        <w:rPr>
          <w:rFonts w:ascii="Times New Roman" w:hAnsi="Times New Roman" w:cs="Times New Roman"/>
          <w:color w:val="231F20"/>
          <w:sz w:val="24"/>
          <w:szCs w:val="24"/>
        </w:rPr>
        <w:t xml:space="preserve"> This is </w:t>
      </w:r>
      <w:r w:rsidRPr="00B6383A">
        <w:rPr>
          <w:rFonts w:ascii="Times New Roman" w:hAnsi="Times New Roman" w:cs="Times New Roman"/>
          <w:color w:val="231F20"/>
          <w:sz w:val="24"/>
          <w:szCs w:val="24"/>
        </w:rPr>
        <w:t xml:space="preserve">quite substantial in economic terms implying that the </w:t>
      </w:r>
      <w:r w:rsidR="00863235">
        <w:rPr>
          <w:rFonts w:ascii="Times New Roman" w:hAnsi="Times New Roman" w:cs="Times New Roman"/>
          <w:color w:val="231F20"/>
          <w:sz w:val="24"/>
          <w:szCs w:val="24"/>
        </w:rPr>
        <w:t>VRP</w:t>
      </w:r>
      <w:r w:rsidRPr="00B6383A">
        <w:rPr>
          <w:rFonts w:ascii="Times New Roman" w:hAnsi="Times New Roman" w:cs="Times New Roman"/>
          <w:color w:val="231F20"/>
          <w:sz w:val="24"/>
          <w:szCs w:val="24"/>
        </w:rPr>
        <w:t xml:space="preserve"> matter</w:t>
      </w:r>
      <w:r w:rsidR="00BE2D31">
        <w:rPr>
          <w:rFonts w:ascii="Times New Roman" w:hAnsi="Times New Roman" w:cs="Times New Roman"/>
          <w:color w:val="231F20"/>
          <w:sz w:val="24"/>
          <w:szCs w:val="24"/>
        </w:rPr>
        <w:t>s</w:t>
      </w:r>
      <w:r w:rsidRPr="00B6383A">
        <w:rPr>
          <w:rFonts w:ascii="Times New Roman" w:hAnsi="Times New Roman" w:cs="Times New Roman"/>
          <w:color w:val="231F20"/>
          <w:sz w:val="24"/>
          <w:szCs w:val="24"/>
        </w:rPr>
        <w:t xml:space="preserve"> and</w:t>
      </w:r>
      <w:r>
        <w:rPr>
          <w:rFonts w:ascii="Times New Roman" w:hAnsi="Times New Roman" w:cs="Times New Roman"/>
          <w:color w:val="231F20"/>
          <w:sz w:val="24"/>
          <w:szCs w:val="24"/>
        </w:rPr>
        <w:t xml:space="preserve"> </w:t>
      </w:r>
      <w:r w:rsidR="000B40D3">
        <w:rPr>
          <w:rFonts w:ascii="Times New Roman" w:hAnsi="Times New Roman" w:cs="Times New Roman"/>
          <w:color w:val="231F20"/>
          <w:sz w:val="24"/>
          <w:szCs w:val="24"/>
        </w:rPr>
        <w:t xml:space="preserve">it </w:t>
      </w:r>
      <w:r w:rsidR="00E84628">
        <w:rPr>
          <w:rFonts w:ascii="Times New Roman" w:hAnsi="Times New Roman" w:cs="Times New Roman"/>
          <w:color w:val="231F20"/>
          <w:sz w:val="24"/>
          <w:szCs w:val="24"/>
        </w:rPr>
        <w:t>deserves attention</w:t>
      </w:r>
      <w:r w:rsidRPr="00B6383A">
        <w:rPr>
          <w:rFonts w:ascii="Times New Roman" w:hAnsi="Times New Roman" w:cs="Times New Roman"/>
          <w:color w:val="231F20"/>
          <w:sz w:val="24"/>
          <w:szCs w:val="24"/>
        </w:rPr>
        <w:t xml:space="preserve"> by </w:t>
      </w:r>
      <w:r w:rsidR="00863235">
        <w:rPr>
          <w:rFonts w:ascii="Times New Roman" w:hAnsi="Times New Roman" w:cs="Times New Roman"/>
          <w:color w:val="231F20"/>
          <w:sz w:val="24"/>
          <w:szCs w:val="24"/>
        </w:rPr>
        <w:t xml:space="preserve">financial practitioners and </w:t>
      </w:r>
      <w:r w:rsidRPr="00B6383A">
        <w:rPr>
          <w:rFonts w:ascii="Times New Roman" w:hAnsi="Times New Roman" w:cs="Times New Roman"/>
          <w:color w:val="231F20"/>
          <w:sz w:val="24"/>
          <w:szCs w:val="24"/>
        </w:rPr>
        <w:t>policy</w:t>
      </w:r>
      <w:r w:rsidR="00BE2D31">
        <w:rPr>
          <w:rFonts w:ascii="Times New Roman" w:hAnsi="Times New Roman" w:cs="Times New Roman"/>
          <w:color w:val="231F20"/>
          <w:sz w:val="24"/>
          <w:szCs w:val="24"/>
        </w:rPr>
        <w:t>-</w:t>
      </w:r>
      <w:r w:rsidRPr="00B6383A">
        <w:rPr>
          <w:rFonts w:ascii="Times New Roman" w:hAnsi="Times New Roman" w:cs="Times New Roman"/>
          <w:color w:val="231F20"/>
          <w:sz w:val="24"/>
          <w:szCs w:val="24"/>
        </w:rPr>
        <w:t>makers.</w:t>
      </w:r>
      <w:r w:rsidR="00F4627E">
        <w:rPr>
          <w:rFonts w:ascii="Times New Roman" w:hAnsi="Times New Roman" w:cs="Times New Roman"/>
          <w:color w:val="231F20"/>
          <w:sz w:val="24"/>
          <w:szCs w:val="24"/>
        </w:rPr>
        <w:t xml:space="preserve"> </w:t>
      </w:r>
      <w:r w:rsidR="00811340">
        <w:rPr>
          <w:rFonts w:ascii="Times New Roman" w:hAnsi="Times New Roman" w:cs="Times New Roman"/>
          <w:color w:val="231F20"/>
          <w:sz w:val="24"/>
          <w:szCs w:val="24"/>
        </w:rPr>
        <w:t>It is evident from the results of our analysis that the</w:t>
      </w:r>
      <w:r w:rsidR="00324573" w:rsidRPr="00A30469">
        <w:rPr>
          <w:rFonts w:ascii="Times New Roman" w:hAnsi="Times New Roman" w:cs="Times New Roman"/>
          <w:color w:val="231F20"/>
          <w:sz w:val="24"/>
          <w:szCs w:val="24"/>
        </w:rPr>
        <w:t xml:space="preserve"> stability of the</w:t>
      </w:r>
      <w:r w:rsidR="00324573">
        <w:rPr>
          <w:rFonts w:ascii="Times New Roman" w:hAnsi="Times New Roman" w:cs="Times New Roman"/>
          <w:color w:val="231F20"/>
          <w:sz w:val="24"/>
          <w:szCs w:val="24"/>
        </w:rPr>
        <w:t xml:space="preserve"> </w:t>
      </w:r>
      <w:r w:rsidR="00324573" w:rsidRPr="00A30469">
        <w:rPr>
          <w:rFonts w:ascii="Times New Roman" w:hAnsi="Times New Roman" w:cs="Times New Roman"/>
          <w:color w:val="231F20"/>
          <w:sz w:val="24"/>
          <w:szCs w:val="24"/>
        </w:rPr>
        <w:t>economic environment</w:t>
      </w:r>
      <w:r w:rsidR="00811340">
        <w:rPr>
          <w:rFonts w:ascii="Times New Roman" w:hAnsi="Times New Roman" w:cs="Times New Roman"/>
          <w:color w:val="231F20"/>
          <w:sz w:val="24"/>
          <w:szCs w:val="24"/>
        </w:rPr>
        <w:t xml:space="preserve"> and financial market</w:t>
      </w:r>
      <w:r w:rsidR="00324573" w:rsidRPr="00A30469">
        <w:rPr>
          <w:rFonts w:ascii="Times New Roman" w:hAnsi="Times New Roman" w:cs="Times New Roman"/>
          <w:color w:val="231F20"/>
          <w:sz w:val="24"/>
          <w:szCs w:val="24"/>
        </w:rPr>
        <w:t xml:space="preserve"> will favor more efficient allocation of</w:t>
      </w:r>
      <w:r w:rsidR="00324573">
        <w:rPr>
          <w:rFonts w:ascii="Times New Roman" w:hAnsi="Times New Roman" w:cs="Times New Roman"/>
          <w:color w:val="231F20"/>
          <w:sz w:val="24"/>
          <w:szCs w:val="24"/>
        </w:rPr>
        <w:t xml:space="preserve"> </w:t>
      </w:r>
      <w:r w:rsidR="00324573" w:rsidRPr="00A30469">
        <w:rPr>
          <w:rFonts w:ascii="Times New Roman" w:hAnsi="Times New Roman" w:cs="Times New Roman"/>
          <w:color w:val="231F20"/>
          <w:sz w:val="24"/>
          <w:szCs w:val="24"/>
        </w:rPr>
        <w:t>loanable funds</w:t>
      </w:r>
      <w:r w:rsidR="00362874">
        <w:rPr>
          <w:rFonts w:ascii="Times New Roman" w:hAnsi="Times New Roman" w:cs="Times New Roman"/>
          <w:color w:val="231F20"/>
          <w:sz w:val="24"/>
          <w:szCs w:val="24"/>
        </w:rPr>
        <w:t>, promote bank lending</w:t>
      </w:r>
      <w:r w:rsidR="00811340">
        <w:rPr>
          <w:rFonts w:ascii="Times New Roman" w:hAnsi="Times New Roman" w:cs="Times New Roman"/>
          <w:color w:val="231F20"/>
          <w:sz w:val="24"/>
          <w:szCs w:val="24"/>
        </w:rPr>
        <w:t xml:space="preserve"> and sustain loan demand</w:t>
      </w:r>
      <w:r w:rsidR="00373231">
        <w:rPr>
          <w:rFonts w:ascii="Times New Roman" w:hAnsi="Times New Roman" w:cs="Times New Roman"/>
          <w:color w:val="231F20"/>
          <w:sz w:val="24"/>
          <w:szCs w:val="24"/>
        </w:rPr>
        <w:t>.</w:t>
      </w:r>
    </w:p>
    <w:p w14:paraId="652EB492" w14:textId="073166CB" w:rsidR="00C653E8" w:rsidRDefault="00F4627E" w:rsidP="00EC6FB3">
      <w:pPr>
        <w:pStyle w:val="a6"/>
        <w:autoSpaceDE w:val="0"/>
        <w:autoSpaceDN w:val="0"/>
        <w:adjustRightInd w:val="0"/>
        <w:spacing w:after="0" w:line="480" w:lineRule="auto"/>
        <w:ind w:left="0" w:firstLine="720"/>
        <w:jc w:val="both"/>
        <w:rPr>
          <w:rFonts w:ascii="Times New Roman" w:hAnsi="Times New Roman" w:cs="Times New Roman"/>
          <w:color w:val="231F20"/>
          <w:sz w:val="24"/>
          <w:szCs w:val="24"/>
        </w:rPr>
      </w:pPr>
      <w:r>
        <w:rPr>
          <w:rFonts w:ascii="Times New Roman" w:hAnsi="Times New Roman" w:cs="Times New Roman"/>
          <w:color w:val="231F20"/>
          <w:sz w:val="24"/>
          <w:szCs w:val="24"/>
        </w:rPr>
        <w:t xml:space="preserve">Our study </w:t>
      </w:r>
      <w:r w:rsidR="00BF7C81">
        <w:rPr>
          <w:rFonts w:ascii="Times New Roman" w:hAnsi="Times New Roman" w:cs="Times New Roman"/>
          <w:color w:val="231F20"/>
          <w:sz w:val="24"/>
          <w:szCs w:val="24"/>
        </w:rPr>
        <w:t xml:space="preserve">provides new </w:t>
      </w:r>
      <w:r w:rsidR="00BE2D31">
        <w:rPr>
          <w:rFonts w:ascii="Times New Roman" w:hAnsi="Times New Roman" w:cs="Times New Roman"/>
          <w:color w:val="231F20"/>
          <w:sz w:val="24"/>
          <w:szCs w:val="24"/>
        </w:rPr>
        <w:t xml:space="preserve">insights </w:t>
      </w:r>
      <w:r w:rsidR="00B51BAC">
        <w:rPr>
          <w:rFonts w:ascii="Times New Roman" w:hAnsi="Times New Roman" w:cs="Times New Roman"/>
          <w:color w:val="231F20"/>
          <w:sz w:val="24"/>
          <w:szCs w:val="24"/>
        </w:rPr>
        <w:t xml:space="preserve">on </w:t>
      </w:r>
      <w:r>
        <w:rPr>
          <w:rFonts w:ascii="Times New Roman" w:hAnsi="Times New Roman" w:cs="Times New Roman"/>
          <w:color w:val="231F20"/>
          <w:sz w:val="24"/>
          <w:szCs w:val="24"/>
        </w:rPr>
        <w:t>two</w:t>
      </w:r>
      <w:r w:rsidR="00964BA1">
        <w:rPr>
          <w:rFonts w:ascii="Times New Roman" w:hAnsi="Times New Roman" w:cs="Times New Roman"/>
          <w:color w:val="231F20"/>
          <w:sz w:val="24"/>
          <w:szCs w:val="24"/>
        </w:rPr>
        <w:t xml:space="preserve"> important</w:t>
      </w:r>
      <w:r w:rsidR="00BE2D31">
        <w:rPr>
          <w:rFonts w:ascii="Times New Roman" w:hAnsi="Times New Roman" w:cs="Times New Roman"/>
          <w:color w:val="231F20"/>
          <w:sz w:val="24"/>
          <w:szCs w:val="24"/>
        </w:rPr>
        <w:t xml:space="preserve"> analyses</w:t>
      </w:r>
      <w:r w:rsidR="00964BA1">
        <w:rPr>
          <w:rFonts w:ascii="Times New Roman" w:hAnsi="Times New Roman" w:cs="Times New Roman"/>
          <w:color w:val="231F20"/>
          <w:sz w:val="24"/>
          <w:szCs w:val="24"/>
        </w:rPr>
        <w:t xml:space="preserve"> </w:t>
      </w:r>
      <w:r w:rsidR="00BE2D31">
        <w:rPr>
          <w:rFonts w:ascii="Times New Roman" w:hAnsi="Times New Roman" w:cs="Times New Roman"/>
          <w:color w:val="231F20"/>
          <w:sz w:val="24"/>
          <w:szCs w:val="24"/>
        </w:rPr>
        <w:t>focusing on</w:t>
      </w:r>
      <w:r w:rsidR="00964BA1">
        <w:rPr>
          <w:rFonts w:ascii="Times New Roman" w:hAnsi="Times New Roman" w:cs="Times New Roman"/>
          <w:color w:val="231F20"/>
          <w:sz w:val="24"/>
          <w:szCs w:val="24"/>
        </w:rPr>
        <w:t xml:space="preserve"> monetary policy and its effects on loan supply (</w:t>
      </w:r>
      <w:r w:rsidR="007B4F33">
        <w:rPr>
          <w:rFonts w:ascii="Times New Roman" w:hAnsi="Times New Roman" w:cs="Times New Roman"/>
          <w:color w:val="231F20"/>
          <w:sz w:val="24"/>
          <w:szCs w:val="24"/>
        </w:rPr>
        <w:t>Bassett et al. 2014</w:t>
      </w:r>
      <w:r w:rsidR="00453ADF">
        <w:rPr>
          <w:rFonts w:ascii="Times New Roman" w:hAnsi="Times New Roman" w:cs="Times New Roman"/>
          <w:color w:val="231F20"/>
          <w:sz w:val="24"/>
          <w:szCs w:val="24"/>
        </w:rPr>
        <w:t>,</w:t>
      </w:r>
      <w:r w:rsidR="007B4F33">
        <w:rPr>
          <w:rFonts w:ascii="Times New Roman" w:hAnsi="Times New Roman" w:cs="Times New Roman"/>
          <w:color w:val="231F20"/>
          <w:sz w:val="24"/>
          <w:szCs w:val="24"/>
        </w:rPr>
        <w:t xml:space="preserve"> </w:t>
      </w:r>
      <w:r w:rsidR="00B00AA8" w:rsidRPr="00B00AA8">
        <w:rPr>
          <w:rFonts w:ascii="Times New Roman" w:hAnsi="Times New Roman" w:cs="Times New Roman"/>
          <w:color w:val="231F20"/>
          <w:sz w:val="24"/>
          <w:szCs w:val="24"/>
        </w:rPr>
        <w:t>Kashyap, Stein, and Wilcox</w:t>
      </w:r>
      <w:r w:rsidR="00964BA1">
        <w:rPr>
          <w:rFonts w:ascii="Times New Roman" w:hAnsi="Times New Roman" w:cs="Times New Roman"/>
          <w:color w:val="231F20"/>
          <w:sz w:val="24"/>
          <w:szCs w:val="24"/>
        </w:rPr>
        <w:t xml:space="preserve"> 1993) and bank </w:t>
      </w:r>
      <w:r w:rsidR="00BE2D31">
        <w:rPr>
          <w:rFonts w:ascii="Times New Roman" w:hAnsi="Times New Roman" w:cs="Times New Roman"/>
          <w:color w:val="231F20"/>
          <w:sz w:val="24"/>
          <w:szCs w:val="24"/>
        </w:rPr>
        <w:t>risk-</w:t>
      </w:r>
      <w:r w:rsidR="00964BA1">
        <w:rPr>
          <w:rFonts w:ascii="Times New Roman" w:hAnsi="Times New Roman" w:cs="Times New Roman"/>
          <w:color w:val="231F20"/>
          <w:sz w:val="24"/>
          <w:szCs w:val="24"/>
        </w:rPr>
        <w:t>taking behavior (</w:t>
      </w:r>
      <w:r w:rsidR="00D27B58" w:rsidRPr="00D27B58">
        <w:rPr>
          <w:rFonts w:ascii="Times New Roman" w:hAnsi="Times New Roman" w:cs="Times New Roman"/>
          <w:color w:val="231F20"/>
          <w:sz w:val="24"/>
          <w:szCs w:val="24"/>
        </w:rPr>
        <w:t>Bekaert, Hoerova, and Lo Duca</w:t>
      </w:r>
      <w:r w:rsidR="00964BA1">
        <w:rPr>
          <w:rFonts w:ascii="Times New Roman" w:hAnsi="Times New Roman" w:cs="Times New Roman"/>
          <w:color w:val="231F20"/>
          <w:sz w:val="24"/>
          <w:szCs w:val="24"/>
        </w:rPr>
        <w:t xml:space="preserve"> 2013</w:t>
      </w:r>
      <w:r w:rsidR="00453ADF">
        <w:rPr>
          <w:rFonts w:ascii="Times New Roman" w:hAnsi="Times New Roman" w:cs="Times New Roman"/>
          <w:color w:val="231F20"/>
          <w:sz w:val="24"/>
          <w:szCs w:val="24"/>
        </w:rPr>
        <w:t>,</w:t>
      </w:r>
      <w:r w:rsidR="00964BA1">
        <w:rPr>
          <w:rFonts w:ascii="Times New Roman" w:hAnsi="Times New Roman" w:cs="Times New Roman"/>
          <w:color w:val="231F20"/>
          <w:sz w:val="24"/>
          <w:szCs w:val="24"/>
        </w:rPr>
        <w:t xml:space="preserve"> </w:t>
      </w:r>
      <w:r w:rsidR="00CB3090" w:rsidRPr="00CB3090">
        <w:rPr>
          <w:rFonts w:ascii="Times New Roman" w:hAnsi="Times New Roman" w:cs="Times New Roman"/>
          <w:color w:val="231F20"/>
          <w:sz w:val="24"/>
          <w:szCs w:val="24"/>
        </w:rPr>
        <w:t>Buch, Eickmeier, and Prieto</w:t>
      </w:r>
      <w:r w:rsidR="00964BA1">
        <w:rPr>
          <w:rFonts w:ascii="Times New Roman" w:hAnsi="Times New Roman" w:cs="Times New Roman"/>
          <w:color w:val="231F20"/>
          <w:sz w:val="24"/>
          <w:szCs w:val="24"/>
        </w:rPr>
        <w:t xml:space="preserve"> 2014). By identifying the role played by the VRP </w:t>
      </w:r>
      <w:r w:rsidR="00BF7C81">
        <w:rPr>
          <w:rFonts w:ascii="Times New Roman" w:hAnsi="Times New Roman" w:cs="Times New Roman"/>
          <w:color w:val="231F20"/>
          <w:sz w:val="24"/>
          <w:szCs w:val="24"/>
        </w:rPr>
        <w:t>in predicting</w:t>
      </w:r>
      <w:r w:rsidR="00964BA1">
        <w:rPr>
          <w:rFonts w:ascii="Times New Roman" w:hAnsi="Times New Roman" w:cs="Times New Roman"/>
          <w:color w:val="231F20"/>
          <w:sz w:val="24"/>
          <w:szCs w:val="24"/>
        </w:rPr>
        <w:t xml:space="preserve"> bank</w:t>
      </w:r>
      <w:r w:rsidR="00596D06">
        <w:rPr>
          <w:rFonts w:ascii="Times New Roman" w:hAnsi="Times New Roman" w:cs="Times New Roman"/>
          <w:color w:val="231F20"/>
          <w:sz w:val="24"/>
          <w:szCs w:val="24"/>
        </w:rPr>
        <w:t xml:space="preserve"> </w:t>
      </w:r>
      <w:r w:rsidR="00964BA1">
        <w:rPr>
          <w:rFonts w:ascii="Times New Roman" w:hAnsi="Times New Roman" w:cs="Times New Roman"/>
          <w:color w:val="231F20"/>
          <w:sz w:val="24"/>
          <w:szCs w:val="24"/>
        </w:rPr>
        <w:t xml:space="preserve">credit supply and </w:t>
      </w:r>
      <w:r w:rsidR="00BF7C81">
        <w:rPr>
          <w:rFonts w:ascii="Times New Roman" w:hAnsi="Times New Roman" w:cs="Times New Roman"/>
          <w:color w:val="231F20"/>
          <w:sz w:val="24"/>
          <w:szCs w:val="24"/>
        </w:rPr>
        <w:t xml:space="preserve">the extant findings that monetary policy affects the level of </w:t>
      </w:r>
      <w:r w:rsidR="009410E9">
        <w:rPr>
          <w:rFonts w:ascii="Times New Roman" w:hAnsi="Times New Roman" w:cs="Times New Roman"/>
          <w:color w:val="231F20"/>
          <w:sz w:val="24"/>
          <w:szCs w:val="24"/>
        </w:rPr>
        <w:t>economic uncertainty</w:t>
      </w:r>
      <w:r w:rsidR="00BF7C81">
        <w:rPr>
          <w:rFonts w:ascii="Times New Roman" w:hAnsi="Times New Roman" w:cs="Times New Roman"/>
          <w:color w:val="231F20"/>
          <w:sz w:val="24"/>
          <w:szCs w:val="24"/>
        </w:rPr>
        <w:t xml:space="preserve"> (or risk aversion </w:t>
      </w:r>
      <w:r w:rsidR="00B51BAC">
        <w:rPr>
          <w:rFonts w:ascii="Times New Roman" w:hAnsi="Times New Roman" w:cs="Times New Roman"/>
          <w:color w:val="231F20"/>
          <w:sz w:val="24"/>
          <w:szCs w:val="24"/>
        </w:rPr>
        <w:t>as termed by</w:t>
      </w:r>
      <w:r w:rsidR="00BF7C81">
        <w:rPr>
          <w:rFonts w:ascii="Times New Roman" w:hAnsi="Times New Roman" w:cs="Times New Roman"/>
          <w:color w:val="231F20"/>
          <w:sz w:val="24"/>
          <w:szCs w:val="24"/>
        </w:rPr>
        <w:t xml:space="preserve"> </w:t>
      </w:r>
      <w:r w:rsidR="00D27B58" w:rsidRPr="00D27B58">
        <w:rPr>
          <w:rFonts w:ascii="Times New Roman" w:hAnsi="Times New Roman" w:cs="Times New Roman"/>
          <w:color w:val="231F20"/>
          <w:sz w:val="24"/>
          <w:szCs w:val="24"/>
        </w:rPr>
        <w:t>Bekaert, Hoerova, and Lo Duca</w:t>
      </w:r>
      <w:r w:rsidR="00BF7C81">
        <w:rPr>
          <w:rFonts w:ascii="Times New Roman" w:hAnsi="Times New Roman" w:cs="Times New Roman"/>
          <w:color w:val="231F20"/>
          <w:sz w:val="24"/>
          <w:szCs w:val="24"/>
        </w:rPr>
        <w:t xml:space="preserve"> 2013), future </w:t>
      </w:r>
      <w:r w:rsidR="00BE2D31">
        <w:rPr>
          <w:rFonts w:ascii="Times New Roman" w:hAnsi="Times New Roman" w:cs="Times New Roman"/>
          <w:color w:val="231F20"/>
          <w:sz w:val="24"/>
          <w:szCs w:val="24"/>
        </w:rPr>
        <w:t xml:space="preserve">studies </w:t>
      </w:r>
      <w:r w:rsidR="00BF7C81">
        <w:rPr>
          <w:rFonts w:ascii="Times New Roman" w:hAnsi="Times New Roman" w:cs="Times New Roman"/>
          <w:color w:val="231F20"/>
          <w:sz w:val="24"/>
          <w:szCs w:val="24"/>
        </w:rPr>
        <w:t>should examine the role played by the VRP as a transmission channel through which monetary policy operate</w:t>
      </w:r>
      <w:r w:rsidR="00BE2D31">
        <w:rPr>
          <w:rFonts w:ascii="Times New Roman" w:hAnsi="Times New Roman" w:cs="Times New Roman"/>
          <w:color w:val="231F20"/>
          <w:sz w:val="24"/>
          <w:szCs w:val="24"/>
        </w:rPr>
        <w:t>s</w:t>
      </w:r>
      <w:r w:rsidR="00BF7C81">
        <w:rPr>
          <w:rFonts w:ascii="Times New Roman" w:hAnsi="Times New Roman" w:cs="Times New Roman"/>
          <w:color w:val="231F20"/>
          <w:sz w:val="24"/>
          <w:szCs w:val="24"/>
        </w:rPr>
        <w:t xml:space="preserve"> to </w:t>
      </w:r>
      <w:r w:rsidR="00CF622A">
        <w:rPr>
          <w:rFonts w:ascii="Times New Roman" w:hAnsi="Times New Roman" w:cs="Times New Roman"/>
          <w:color w:val="231F20"/>
          <w:sz w:val="24"/>
          <w:szCs w:val="24"/>
        </w:rPr>
        <w:t xml:space="preserve">affect </w:t>
      </w:r>
      <w:r w:rsidR="00BF7C81">
        <w:rPr>
          <w:rFonts w:ascii="Times New Roman" w:hAnsi="Times New Roman" w:cs="Times New Roman"/>
          <w:color w:val="231F20"/>
          <w:sz w:val="24"/>
          <w:szCs w:val="24"/>
        </w:rPr>
        <w:t>bank</w:t>
      </w:r>
      <w:r w:rsidR="00596D06">
        <w:rPr>
          <w:rFonts w:ascii="Times New Roman" w:hAnsi="Times New Roman" w:cs="Times New Roman"/>
          <w:color w:val="231F20"/>
          <w:sz w:val="24"/>
          <w:szCs w:val="24"/>
        </w:rPr>
        <w:t xml:space="preserve"> </w:t>
      </w:r>
      <w:r w:rsidR="00BF7C81">
        <w:rPr>
          <w:rFonts w:ascii="Times New Roman" w:hAnsi="Times New Roman" w:cs="Times New Roman"/>
          <w:color w:val="231F20"/>
          <w:sz w:val="24"/>
          <w:szCs w:val="24"/>
        </w:rPr>
        <w:t>credit supply and the real economy</w:t>
      </w:r>
      <w:r w:rsidR="00964BA1">
        <w:rPr>
          <w:rFonts w:ascii="Times New Roman" w:hAnsi="Times New Roman" w:cs="Times New Roman"/>
          <w:color w:val="231F20"/>
          <w:sz w:val="24"/>
          <w:szCs w:val="24"/>
        </w:rPr>
        <w:t>.</w:t>
      </w:r>
    </w:p>
    <w:p w14:paraId="21A5422E" w14:textId="65EB6165" w:rsidR="003C7611" w:rsidRDefault="003C7611" w:rsidP="003C7611">
      <w:pPr>
        <w:spacing w:after="0"/>
        <w:rPr>
          <w:rFonts w:ascii="Times New Roman" w:hAnsi="Times New Roman" w:cs="Times New Roman"/>
          <w:b/>
          <w:sz w:val="28"/>
          <w:szCs w:val="28"/>
        </w:rPr>
      </w:pPr>
    </w:p>
    <w:p w14:paraId="1F46C7F8" w14:textId="77777777" w:rsidR="003C7611" w:rsidRDefault="003C7611" w:rsidP="00AF648E">
      <w:pPr>
        <w:spacing w:after="0"/>
        <w:jc w:val="both"/>
        <w:rPr>
          <w:rFonts w:ascii="Times New Roman" w:hAnsi="Times New Roman" w:cs="Times New Roman"/>
          <w:b/>
          <w:sz w:val="28"/>
          <w:szCs w:val="28"/>
        </w:rPr>
      </w:pPr>
      <w:r>
        <w:rPr>
          <w:rFonts w:ascii="Times New Roman" w:hAnsi="Times New Roman" w:cs="Times New Roman"/>
          <w:b/>
          <w:sz w:val="28"/>
          <w:szCs w:val="28"/>
        </w:rPr>
        <w:br w:type="page"/>
      </w:r>
    </w:p>
    <w:p w14:paraId="4121FCB1" w14:textId="2422D8B1" w:rsidR="00AF648E" w:rsidRPr="00D97E5C" w:rsidRDefault="00A711DF" w:rsidP="00AF648E">
      <w:pPr>
        <w:spacing w:after="0"/>
        <w:jc w:val="both"/>
        <w:rPr>
          <w:rFonts w:ascii="Times New Roman" w:hAnsi="Times New Roman" w:cs="Times New Roman"/>
          <w:b/>
          <w:sz w:val="28"/>
          <w:szCs w:val="28"/>
        </w:rPr>
      </w:pPr>
      <w:r w:rsidRPr="00D97E5C">
        <w:rPr>
          <w:rFonts w:ascii="Times New Roman" w:hAnsi="Times New Roman" w:cs="Times New Roman"/>
          <w:b/>
          <w:sz w:val="28"/>
          <w:szCs w:val="28"/>
        </w:rPr>
        <w:lastRenderedPageBreak/>
        <w:t>APPENDIX</w:t>
      </w:r>
    </w:p>
    <w:p w14:paraId="4FE7DCEE" w14:textId="77777777" w:rsidR="00AF648E" w:rsidRDefault="00AF648E" w:rsidP="00AF648E">
      <w:pPr>
        <w:spacing w:after="0"/>
        <w:rPr>
          <w:rFonts w:ascii="Times New Roman" w:hAnsi="Times New Roman" w:cs="Times New Roman"/>
          <w:sz w:val="24"/>
          <w:szCs w:val="24"/>
        </w:rPr>
      </w:pPr>
    </w:p>
    <w:p w14:paraId="0D136D02" w14:textId="77777777" w:rsidR="00AF648E" w:rsidRPr="00FF4169" w:rsidRDefault="00AF648E" w:rsidP="00AF648E">
      <w:pPr>
        <w:spacing w:after="0"/>
        <w:rPr>
          <w:rFonts w:ascii="Times New Roman" w:hAnsi="Times New Roman" w:cs="Times New Roman"/>
          <w:sz w:val="24"/>
          <w:szCs w:val="24"/>
        </w:rPr>
      </w:pPr>
      <w:r w:rsidRPr="00FF4169">
        <w:rPr>
          <w:rFonts w:ascii="Times New Roman" w:hAnsi="Times New Roman" w:cs="Times New Roman" w:hint="eastAsia"/>
          <w:sz w:val="24"/>
          <w:szCs w:val="24"/>
        </w:rPr>
        <w:t>T</w:t>
      </w:r>
      <w:r>
        <w:rPr>
          <w:rFonts w:ascii="Times New Roman" w:hAnsi="Times New Roman" w:cs="Times New Roman"/>
          <w:sz w:val="24"/>
          <w:szCs w:val="24"/>
        </w:rPr>
        <w:t>ABLE</w:t>
      </w:r>
      <w:r>
        <w:rPr>
          <w:rFonts w:ascii="Times New Roman" w:hAnsi="Times New Roman" w:cs="Times New Roman" w:hint="eastAsia"/>
          <w:sz w:val="24"/>
          <w:szCs w:val="24"/>
        </w:rPr>
        <w:t xml:space="preserve"> A</w:t>
      </w:r>
      <w:r>
        <w:rPr>
          <w:rFonts w:ascii="Times New Roman" w:hAnsi="Times New Roman" w:cs="Times New Roman"/>
          <w:sz w:val="24"/>
          <w:szCs w:val="24"/>
        </w:rPr>
        <w:t>1</w:t>
      </w:r>
    </w:p>
    <w:p w14:paraId="3D499156" w14:textId="1CD56DC5" w:rsidR="00AF648E" w:rsidRPr="006568D1" w:rsidRDefault="00E43E06" w:rsidP="00AF648E">
      <w:pPr>
        <w:spacing w:after="0"/>
        <w:rPr>
          <w:rFonts w:ascii="Times New Roman" w:hAnsi="Times New Roman" w:cs="Times New Roman"/>
          <w:szCs w:val="24"/>
        </w:rPr>
      </w:pPr>
      <w:r w:rsidRPr="006568D1">
        <w:rPr>
          <w:rFonts w:ascii="Times New Roman" w:hAnsi="Times New Roman" w:cs="Times New Roman"/>
          <w:szCs w:val="24"/>
        </w:rPr>
        <w:t>REGRESSIONS OF LOAN SUPPLY AND DEMAND ON</w:t>
      </w:r>
      <w:r w:rsidR="00AF648E" w:rsidRPr="006568D1">
        <w:rPr>
          <w:rFonts w:ascii="Times New Roman" w:hAnsi="Times New Roman" w:cs="Times New Roman"/>
          <w:szCs w:val="24"/>
        </w:rPr>
        <w:t xml:space="preserve"> </w:t>
      </w:r>
      <w:r w:rsidR="00AF648E" w:rsidRPr="006568D1">
        <w:rPr>
          <w:rFonts w:ascii="Times New Roman" w:hAnsi="Times New Roman" w:cs="Times New Roman"/>
          <w:i/>
          <w:szCs w:val="24"/>
        </w:rPr>
        <w:t>logVRP</w:t>
      </w:r>
      <w:r w:rsidR="00AF648E" w:rsidRPr="006568D1">
        <w:rPr>
          <w:rFonts w:ascii="Times New Roman" w:hAnsi="Times New Roman" w:cs="Times New Roman"/>
          <w:szCs w:val="24"/>
        </w:rPr>
        <w:t xml:space="preserve"> </w:t>
      </w:r>
      <w:r w:rsidRPr="006568D1">
        <w:rPr>
          <w:rFonts w:ascii="Times New Roman" w:hAnsi="Times New Roman" w:cs="Times New Roman"/>
          <w:szCs w:val="24"/>
        </w:rPr>
        <w:t>AND OTHER UNCERTAINTY INDICATORS</w:t>
      </w:r>
    </w:p>
    <w:tbl>
      <w:tblPr>
        <w:tblW w:w="8307" w:type="dxa"/>
        <w:tblInd w:w="57" w:type="dxa"/>
        <w:tblLayout w:type="fixed"/>
        <w:tblCellMar>
          <w:left w:w="57" w:type="dxa"/>
          <w:right w:w="57" w:type="dxa"/>
        </w:tblCellMar>
        <w:tblLook w:val="0000" w:firstRow="0" w:lastRow="0" w:firstColumn="0" w:lastColumn="0" w:noHBand="0" w:noVBand="0"/>
      </w:tblPr>
      <w:tblGrid>
        <w:gridCol w:w="1615"/>
        <w:gridCol w:w="1673"/>
        <w:gridCol w:w="1673"/>
        <w:gridCol w:w="1673"/>
        <w:gridCol w:w="1673"/>
      </w:tblGrid>
      <w:tr w:rsidR="00AF648E" w:rsidRPr="006568D1" w14:paraId="00FE6E1C" w14:textId="77777777" w:rsidTr="0029437B">
        <w:trPr>
          <w:trHeight w:hRule="exact" w:val="288"/>
        </w:trPr>
        <w:tc>
          <w:tcPr>
            <w:tcW w:w="1615" w:type="dxa"/>
            <w:tcBorders>
              <w:top w:val="single" w:sz="4" w:space="0" w:color="auto"/>
              <w:left w:val="nil"/>
              <w:right w:val="nil"/>
            </w:tcBorders>
            <w:vAlign w:val="center"/>
          </w:tcPr>
          <w:p w14:paraId="4A595F24" w14:textId="77777777" w:rsidR="00AF648E" w:rsidRPr="006568D1" w:rsidRDefault="00AF648E" w:rsidP="0029437B">
            <w:pPr>
              <w:autoSpaceDE w:val="0"/>
              <w:autoSpaceDN w:val="0"/>
              <w:adjustRightInd w:val="0"/>
              <w:spacing w:after="0" w:line="240" w:lineRule="auto"/>
              <w:jc w:val="both"/>
              <w:rPr>
                <w:rFonts w:ascii="Times New Roman" w:hAnsi="Times New Roman" w:cs="Times New Roman"/>
                <w:sz w:val="20"/>
                <w:szCs w:val="20"/>
              </w:rPr>
            </w:pPr>
          </w:p>
        </w:tc>
        <w:tc>
          <w:tcPr>
            <w:tcW w:w="1673" w:type="dxa"/>
            <w:tcBorders>
              <w:top w:val="single" w:sz="4" w:space="0" w:color="auto"/>
              <w:left w:val="nil"/>
              <w:right w:val="nil"/>
            </w:tcBorders>
            <w:vAlign w:val="center"/>
          </w:tcPr>
          <w:p w14:paraId="61A3CC2E"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iCs/>
                <w:color w:val="000000"/>
                <w:sz w:val="20"/>
                <w:szCs w:val="20"/>
              </w:rPr>
            </w:pPr>
            <w:r w:rsidRPr="006568D1">
              <w:rPr>
                <w:rFonts w:ascii="Times New Roman" w:hAnsi="Times New Roman" w:cs="Times New Roman"/>
                <w:iCs/>
                <w:color w:val="000000"/>
                <w:sz w:val="20"/>
                <w:szCs w:val="20"/>
              </w:rPr>
              <w:t>(1)</w:t>
            </w:r>
          </w:p>
        </w:tc>
        <w:tc>
          <w:tcPr>
            <w:tcW w:w="1673" w:type="dxa"/>
            <w:tcBorders>
              <w:top w:val="single" w:sz="4" w:space="0" w:color="auto"/>
              <w:left w:val="nil"/>
              <w:right w:val="nil"/>
            </w:tcBorders>
            <w:vAlign w:val="center"/>
          </w:tcPr>
          <w:p w14:paraId="63DCF453"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iCs/>
                <w:color w:val="000000"/>
                <w:sz w:val="20"/>
                <w:szCs w:val="20"/>
              </w:rPr>
            </w:pPr>
            <w:r w:rsidRPr="006568D1">
              <w:rPr>
                <w:rFonts w:ascii="Times New Roman" w:hAnsi="Times New Roman" w:cs="Times New Roman"/>
                <w:iCs/>
                <w:color w:val="000000"/>
                <w:sz w:val="20"/>
                <w:szCs w:val="20"/>
              </w:rPr>
              <w:t>(2)</w:t>
            </w:r>
          </w:p>
        </w:tc>
        <w:tc>
          <w:tcPr>
            <w:tcW w:w="1673" w:type="dxa"/>
            <w:tcBorders>
              <w:top w:val="single" w:sz="4" w:space="0" w:color="auto"/>
            </w:tcBorders>
            <w:vAlign w:val="center"/>
          </w:tcPr>
          <w:p w14:paraId="2E95F868"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iCs/>
                <w:color w:val="000000"/>
                <w:sz w:val="20"/>
                <w:szCs w:val="20"/>
              </w:rPr>
            </w:pPr>
            <w:r w:rsidRPr="006568D1">
              <w:rPr>
                <w:rFonts w:ascii="Times New Roman" w:hAnsi="Times New Roman" w:cs="Times New Roman"/>
                <w:iCs/>
                <w:color w:val="000000"/>
                <w:sz w:val="20"/>
                <w:szCs w:val="20"/>
              </w:rPr>
              <w:t>(3)</w:t>
            </w:r>
          </w:p>
        </w:tc>
        <w:tc>
          <w:tcPr>
            <w:tcW w:w="1673" w:type="dxa"/>
            <w:tcBorders>
              <w:top w:val="single" w:sz="4" w:space="0" w:color="auto"/>
            </w:tcBorders>
            <w:vAlign w:val="center"/>
          </w:tcPr>
          <w:p w14:paraId="4A6788F8"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iCs/>
                <w:color w:val="000000"/>
                <w:sz w:val="20"/>
                <w:szCs w:val="20"/>
              </w:rPr>
            </w:pPr>
          </w:p>
        </w:tc>
      </w:tr>
      <w:tr w:rsidR="00AF648E" w:rsidRPr="006568D1" w14:paraId="6D7E7616" w14:textId="77777777" w:rsidTr="0029437B">
        <w:trPr>
          <w:trHeight w:hRule="exact" w:val="288"/>
        </w:trPr>
        <w:tc>
          <w:tcPr>
            <w:tcW w:w="1615" w:type="dxa"/>
            <w:tcBorders>
              <w:left w:val="nil"/>
              <w:bottom w:val="single" w:sz="4" w:space="0" w:color="auto"/>
              <w:right w:val="nil"/>
            </w:tcBorders>
            <w:vAlign w:val="center"/>
          </w:tcPr>
          <w:p w14:paraId="3BD2DDBF" w14:textId="77777777" w:rsidR="00AF648E" w:rsidRPr="006568D1" w:rsidRDefault="00AF648E" w:rsidP="0029437B">
            <w:pPr>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bottom w:val="single" w:sz="4" w:space="0" w:color="auto"/>
              <w:right w:val="nil"/>
            </w:tcBorders>
            <w:vAlign w:val="center"/>
          </w:tcPr>
          <w:p w14:paraId="2391BD5C"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i/>
                <w:iCs/>
                <w:color w:val="000000"/>
                <w:sz w:val="20"/>
                <w:szCs w:val="20"/>
              </w:rPr>
              <w:t>Standard_LM</w:t>
            </w:r>
          </w:p>
        </w:tc>
        <w:tc>
          <w:tcPr>
            <w:tcW w:w="1673" w:type="dxa"/>
            <w:tcBorders>
              <w:left w:val="nil"/>
              <w:bottom w:val="single" w:sz="4" w:space="0" w:color="auto"/>
              <w:right w:val="nil"/>
            </w:tcBorders>
            <w:vAlign w:val="center"/>
          </w:tcPr>
          <w:p w14:paraId="291A309D"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i/>
                <w:iCs/>
                <w:color w:val="000000"/>
                <w:sz w:val="20"/>
                <w:szCs w:val="20"/>
              </w:rPr>
              <w:t>Demand_LM</w:t>
            </w:r>
          </w:p>
        </w:tc>
        <w:tc>
          <w:tcPr>
            <w:tcW w:w="1673" w:type="dxa"/>
            <w:tcBorders>
              <w:bottom w:val="single" w:sz="4" w:space="0" w:color="auto"/>
            </w:tcBorders>
            <w:vAlign w:val="center"/>
          </w:tcPr>
          <w:p w14:paraId="6CC7C7BB"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i/>
                <w:iCs/>
                <w:color w:val="000000"/>
                <w:sz w:val="20"/>
                <w:szCs w:val="20"/>
              </w:rPr>
              <w:t>Standard_LM</w:t>
            </w:r>
          </w:p>
        </w:tc>
        <w:tc>
          <w:tcPr>
            <w:tcW w:w="1673" w:type="dxa"/>
            <w:tcBorders>
              <w:bottom w:val="single" w:sz="4" w:space="0" w:color="auto"/>
            </w:tcBorders>
            <w:vAlign w:val="center"/>
          </w:tcPr>
          <w:p w14:paraId="474642D3"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i/>
                <w:iCs/>
                <w:color w:val="000000"/>
                <w:sz w:val="20"/>
                <w:szCs w:val="20"/>
              </w:rPr>
              <w:t>Demand_LM</w:t>
            </w:r>
          </w:p>
        </w:tc>
      </w:tr>
      <w:tr w:rsidR="00AF648E" w:rsidRPr="006568D1" w14:paraId="37D952B5" w14:textId="77777777" w:rsidTr="0029437B">
        <w:trPr>
          <w:trHeight w:hRule="exact" w:val="288"/>
        </w:trPr>
        <w:tc>
          <w:tcPr>
            <w:tcW w:w="8307" w:type="dxa"/>
            <w:gridSpan w:val="5"/>
            <w:tcBorders>
              <w:top w:val="single" w:sz="4" w:space="0" w:color="auto"/>
              <w:left w:val="nil"/>
              <w:bottom w:val="nil"/>
            </w:tcBorders>
            <w:vAlign w:val="center"/>
          </w:tcPr>
          <w:p w14:paraId="2785173D" w14:textId="77777777" w:rsidR="00AF648E" w:rsidRPr="006568D1" w:rsidRDefault="00AF648E" w:rsidP="0029437B">
            <w:pPr>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hint="eastAsia"/>
                <w:sz w:val="20"/>
                <w:szCs w:val="20"/>
              </w:rPr>
              <w:t xml:space="preserve">Panel A: </w:t>
            </w:r>
            <w:r w:rsidRPr="006568D1">
              <w:rPr>
                <w:rFonts w:ascii="Times New Roman" w:hAnsi="Times New Roman" w:cs="Times New Roman"/>
                <w:sz w:val="20"/>
                <w:szCs w:val="20"/>
              </w:rPr>
              <w:t>VIX</w:t>
            </w:r>
          </w:p>
        </w:tc>
      </w:tr>
      <w:tr w:rsidR="00AF648E" w:rsidRPr="006568D1" w14:paraId="128DB7C7" w14:textId="77777777" w:rsidTr="0029437B">
        <w:trPr>
          <w:trHeight w:hRule="exact" w:val="288"/>
        </w:trPr>
        <w:tc>
          <w:tcPr>
            <w:tcW w:w="1615" w:type="dxa"/>
            <w:tcBorders>
              <w:top w:val="nil"/>
              <w:left w:val="nil"/>
              <w:bottom w:val="nil"/>
              <w:right w:val="nil"/>
            </w:tcBorders>
            <w:vAlign w:val="center"/>
          </w:tcPr>
          <w:p w14:paraId="2746B189" w14:textId="77777777" w:rsidR="00AF648E" w:rsidRPr="006568D1" w:rsidRDefault="00AF648E" w:rsidP="0029437B">
            <w:pPr>
              <w:spacing w:after="0" w:line="240" w:lineRule="auto"/>
              <w:jc w:val="both"/>
              <w:rPr>
                <w:rFonts w:ascii="Times New Roman" w:hAnsi="Times New Roman" w:cs="Times New Roman"/>
                <w:i/>
                <w:sz w:val="20"/>
                <w:szCs w:val="20"/>
              </w:rPr>
            </w:pPr>
            <w:r w:rsidRPr="006568D1">
              <w:rPr>
                <w:rFonts w:ascii="Times New Roman" w:hAnsi="Times New Roman" w:cs="Times New Roman"/>
                <w:i/>
                <w:sz w:val="20"/>
                <w:szCs w:val="20"/>
              </w:rPr>
              <w:t>log</w:t>
            </w:r>
            <w:r w:rsidRPr="006568D1">
              <w:rPr>
                <w:rFonts w:ascii="Times New Roman" w:hAnsi="Times New Roman" w:cs="Times New Roman" w:hint="eastAsia"/>
                <w:i/>
                <w:sz w:val="20"/>
                <w:szCs w:val="20"/>
              </w:rPr>
              <w:t>VRP</w:t>
            </w:r>
          </w:p>
        </w:tc>
        <w:tc>
          <w:tcPr>
            <w:tcW w:w="1673" w:type="dxa"/>
            <w:tcBorders>
              <w:left w:val="nil"/>
              <w:right w:val="nil"/>
            </w:tcBorders>
            <w:vAlign w:val="center"/>
          </w:tcPr>
          <w:p w14:paraId="5E15AF0E"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00E9A792"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p>
        </w:tc>
        <w:tc>
          <w:tcPr>
            <w:tcW w:w="1673" w:type="dxa"/>
            <w:vAlign w:val="center"/>
          </w:tcPr>
          <w:p w14:paraId="1ECE4CB4"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13.307</w:t>
            </w:r>
          </w:p>
        </w:tc>
        <w:tc>
          <w:tcPr>
            <w:tcW w:w="1673" w:type="dxa"/>
            <w:vAlign w:val="center"/>
          </w:tcPr>
          <w:p w14:paraId="6B6165DD"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-15.955</w:t>
            </w:r>
          </w:p>
        </w:tc>
      </w:tr>
      <w:tr w:rsidR="00AF648E" w:rsidRPr="006568D1" w14:paraId="61172739" w14:textId="77777777" w:rsidTr="0029437B">
        <w:trPr>
          <w:trHeight w:hRule="exact" w:val="288"/>
        </w:trPr>
        <w:tc>
          <w:tcPr>
            <w:tcW w:w="1615" w:type="dxa"/>
            <w:tcBorders>
              <w:top w:val="nil"/>
              <w:left w:val="nil"/>
              <w:bottom w:val="nil"/>
              <w:right w:val="nil"/>
            </w:tcBorders>
            <w:vAlign w:val="center"/>
          </w:tcPr>
          <w:p w14:paraId="61CFF920" w14:textId="77777777" w:rsidR="00AF648E" w:rsidRPr="006568D1" w:rsidRDefault="00AF648E" w:rsidP="0029437B">
            <w:pPr>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0295246F"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2EA367B4"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p>
        </w:tc>
        <w:tc>
          <w:tcPr>
            <w:tcW w:w="1673" w:type="dxa"/>
            <w:vAlign w:val="center"/>
          </w:tcPr>
          <w:p w14:paraId="4DCE32C4"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(0.022)</w:t>
            </w:r>
          </w:p>
        </w:tc>
        <w:tc>
          <w:tcPr>
            <w:tcW w:w="1673" w:type="dxa"/>
            <w:vAlign w:val="center"/>
          </w:tcPr>
          <w:p w14:paraId="7A7E79E4"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(0.098)</w:t>
            </w:r>
          </w:p>
        </w:tc>
      </w:tr>
      <w:tr w:rsidR="00AF648E" w:rsidRPr="006568D1" w14:paraId="6571FAD6" w14:textId="77777777" w:rsidTr="0029437B">
        <w:trPr>
          <w:trHeight w:hRule="exact" w:val="288"/>
        </w:trPr>
        <w:tc>
          <w:tcPr>
            <w:tcW w:w="1615" w:type="dxa"/>
            <w:tcBorders>
              <w:top w:val="nil"/>
              <w:left w:val="nil"/>
              <w:bottom w:val="nil"/>
              <w:right w:val="nil"/>
            </w:tcBorders>
            <w:vAlign w:val="center"/>
          </w:tcPr>
          <w:p w14:paraId="5048983D" w14:textId="77777777" w:rsidR="00AF648E" w:rsidRPr="006568D1" w:rsidRDefault="00AF648E" w:rsidP="0029437B">
            <w:pPr>
              <w:spacing w:after="0" w:line="240" w:lineRule="auto"/>
              <w:jc w:val="both"/>
              <w:rPr>
                <w:rFonts w:ascii="Times New Roman" w:hAnsi="Times New Roman" w:cs="Times New Roman"/>
                <w:i/>
                <w:sz w:val="20"/>
                <w:szCs w:val="20"/>
              </w:rPr>
            </w:pPr>
            <w:r w:rsidRPr="006568D1">
              <w:rPr>
                <w:rFonts w:ascii="Times New Roman" w:hAnsi="Times New Roman" w:cs="Times New Roman" w:hint="eastAsia"/>
                <w:i/>
                <w:sz w:val="20"/>
                <w:szCs w:val="20"/>
              </w:rPr>
              <w:t>VIX</w:t>
            </w:r>
            <w:r w:rsidRPr="006568D1">
              <w:rPr>
                <w:rFonts w:ascii="Times New Roman" w:hAnsi="Times New Roman" w:cs="Times New Roman"/>
                <w:i/>
                <w:sz w:val="20"/>
                <w:szCs w:val="20"/>
              </w:rPr>
              <w:t xml:space="preserve"> </w:t>
            </w:r>
            <w:r w:rsidRPr="006568D1">
              <w:rPr>
                <w:rFonts w:ascii="Times New Roman" w:hAnsi="Times New Roman" w:cs="Times New Roman"/>
                <w:sz w:val="20"/>
                <w:szCs w:val="20"/>
                <w:vertAlign w:val="superscript"/>
              </w:rPr>
              <w:t>2</w:t>
            </w:r>
          </w:p>
        </w:tc>
        <w:tc>
          <w:tcPr>
            <w:tcW w:w="1673" w:type="dxa"/>
            <w:tcBorders>
              <w:left w:val="nil"/>
              <w:right w:val="nil"/>
            </w:tcBorders>
            <w:vAlign w:val="center"/>
          </w:tcPr>
          <w:p w14:paraId="0C053088"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0.395</w:t>
            </w:r>
          </w:p>
        </w:tc>
        <w:tc>
          <w:tcPr>
            <w:tcW w:w="1673" w:type="dxa"/>
            <w:tcBorders>
              <w:left w:val="nil"/>
              <w:right w:val="nil"/>
            </w:tcBorders>
            <w:vAlign w:val="center"/>
          </w:tcPr>
          <w:p w14:paraId="3E23991D"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-0.342</w:t>
            </w:r>
          </w:p>
        </w:tc>
        <w:tc>
          <w:tcPr>
            <w:tcW w:w="1673" w:type="dxa"/>
            <w:vAlign w:val="center"/>
          </w:tcPr>
          <w:p w14:paraId="76B5C0DA"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0.142</w:t>
            </w:r>
          </w:p>
        </w:tc>
        <w:tc>
          <w:tcPr>
            <w:tcW w:w="1673" w:type="dxa"/>
            <w:vAlign w:val="center"/>
          </w:tcPr>
          <w:p w14:paraId="35B46ACD"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-0.040</w:t>
            </w:r>
          </w:p>
        </w:tc>
      </w:tr>
      <w:tr w:rsidR="00AF648E" w:rsidRPr="006568D1" w14:paraId="1A78CF8C" w14:textId="77777777" w:rsidTr="0029437B">
        <w:trPr>
          <w:trHeight w:hRule="exact" w:val="288"/>
        </w:trPr>
        <w:tc>
          <w:tcPr>
            <w:tcW w:w="1615" w:type="dxa"/>
            <w:tcBorders>
              <w:top w:val="nil"/>
              <w:left w:val="nil"/>
              <w:bottom w:val="nil"/>
              <w:right w:val="nil"/>
            </w:tcBorders>
            <w:vAlign w:val="center"/>
          </w:tcPr>
          <w:p w14:paraId="60B0BEB4" w14:textId="77777777" w:rsidR="00AF648E" w:rsidRPr="006568D1" w:rsidRDefault="00AF648E" w:rsidP="0029437B">
            <w:pPr>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7790ECDC"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(0.000)</w:t>
            </w:r>
          </w:p>
        </w:tc>
        <w:tc>
          <w:tcPr>
            <w:tcW w:w="1673" w:type="dxa"/>
            <w:tcBorders>
              <w:left w:val="nil"/>
              <w:right w:val="nil"/>
            </w:tcBorders>
            <w:vAlign w:val="center"/>
          </w:tcPr>
          <w:p w14:paraId="0DDB9C3A"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(0.001)</w:t>
            </w:r>
          </w:p>
        </w:tc>
        <w:tc>
          <w:tcPr>
            <w:tcW w:w="1673" w:type="dxa"/>
            <w:vAlign w:val="center"/>
          </w:tcPr>
          <w:p w14:paraId="3D050A8D"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(0.216)</w:t>
            </w:r>
          </w:p>
        </w:tc>
        <w:tc>
          <w:tcPr>
            <w:tcW w:w="1673" w:type="dxa"/>
            <w:vAlign w:val="center"/>
          </w:tcPr>
          <w:p w14:paraId="0572A6E2"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(0.841)</w:t>
            </w:r>
          </w:p>
        </w:tc>
      </w:tr>
      <w:tr w:rsidR="00AF648E" w:rsidRPr="006568D1" w14:paraId="2BD47CA5" w14:textId="77777777" w:rsidTr="0029437B">
        <w:trPr>
          <w:trHeight w:hRule="exact" w:val="288"/>
        </w:trPr>
        <w:tc>
          <w:tcPr>
            <w:tcW w:w="1615" w:type="dxa"/>
            <w:tcBorders>
              <w:left w:val="nil"/>
              <w:bottom w:val="nil"/>
              <w:right w:val="nil"/>
            </w:tcBorders>
            <w:vAlign w:val="center"/>
          </w:tcPr>
          <w:p w14:paraId="27BEDE1D" w14:textId="77777777" w:rsidR="00AF648E" w:rsidRPr="006568D1" w:rsidRDefault="00AF648E" w:rsidP="0029437B">
            <w:pPr>
              <w:spacing w:after="0" w:line="240" w:lineRule="auto"/>
              <w:jc w:val="both"/>
              <w:rPr>
                <w:rFonts w:ascii="Times New Roman" w:hAnsi="Times New Roman" w:cs="Times New Roman"/>
                <w:sz w:val="20"/>
                <w:szCs w:val="20"/>
              </w:rPr>
            </w:pPr>
            <w:r w:rsidRPr="006568D1">
              <w:rPr>
                <w:rFonts w:ascii="Times New Roman" w:hAnsi="Times New Roman" w:cs="Times New Roman" w:hint="eastAsia"/>
                <w:sz w:val="20"/>
                <w:szCs w:val="20"/>
              </w:rPr>
              <w:t>Obs.</w:t>
            </w:r>
          </w:p>
        </w:tc>
        <w:tc>
          <w:tcPr>
            <w:tcW w:w="1673" w:type="dxa"/>
            <w:tcBorders>
              <w:left w:val="nil"/>
              <w:right w:val="nil"/>
            </w:tcBorders>
            <w:vAlign w:val="center"/>
          </w:tcPr>
          <w:p w14:paraId="605BD779"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104</w:t>
            </w:r>
          </w:p>
        </w:tc>
        <w:tc>
          <w:tcPr>
            <w:tcW w:w="1673" w:type="dxa"/>
            <w:tcBorders>
              <w:left w:val="nil"/>
              <w:right w:val="nil"/>
            </w:tcBorders>
            <w:vAlign w:val="center"/>
          </w:tcPr>
          <w:p w14:paraId="3E662E19"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98</w:t>
            </w:r>
          </w:p>
        </w:tc>
        <w:tc>
          <w:tcPr>
            <w:tcW w:w="1673" w:type="dxa"/>
            <w:vAlign w:val="center"/>
          </w:tcPr>
          <w:p w14:paraId="7103598F"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104</w:t>
            </w:r>
          </w:p>
        </w:tc>
        <w:tc>
          <w:tcPr>
            <w:tcW w:w="1673" w:type="dxa"/>
            <w:vAlign w:val="center"/>
          </w:tcPr>
          <w:p w14:paraId="288FB30B"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98</w:t>
            </w:r>
          </w:p>
        </w:tc>
      </w:tr>
      <w:tr w:rsidR="00AF648E" w:rsidRPr="006568D1" w14:paraId="5349FE23" w14:textId="77777777" w:rsidTr="0029437B">
        <w:trPr>
          <w:trHeight w:hRule="exact" w:val="288"/>
        </w:trPr>
        <w:tc>
          <w:tcPr>
            <w:tcW w:w="1615" w:type="dxa"/>
            <w:tcBorders>
              <w:top w:val="nil"/>
              <w:left w:val="nil"/>
              <w:bottom w:val="nil"/>
              <w:right w:val="nil"/>
            </w:tcBorders>
            <w:vAlign w:val="center"/>
          </w:tcPr>
          <w:p w14:paraId="11BEA301" w14:textId="77777777" w:rsidR="00AF648E" w:rsidRPr="006568D1" w:rsidRDefault="00AF648E" w:rsidP="0029437B">
            <w:pPr>
              <w:spacing w:after="0" w:line="240" w:lineRule="auto"/>
              <w:jc w:val="both"/>
              <w:rPr>
                <w:rFonts w:ascii="Times New Roman" w:hAnsi="Times New Roman" w:cs="Times New Roman"/>
                <w:sz w:val="20"/>
                <w:szCs w:val="20"/>
              </w:rPr>
            </w:pPr>
            <w:r w:rsidRPr="006568D1">
              <w:rPr>
                <w:rFonts w:ascii="Times New Roman" w:hAnsi="Times New Roman" w:cs="Arial"/>
                <w:sz w:val="20"/>
                <w:szCs w:val="20"/>
              </w:rPr>
              <w:t xml:space="preserve">adj. </w:t>
            </w:r>
            <w:r w:rsidRPr="006568D1">
              <w:rPr>
                <w:rFonts w:ascii="Times New Roman" w:hAnsi="Times New Roman" w:cs="Arial"/>
                <w:i/>
                <w:iCs/>
                <w:sz w:val="20"/>
                <w:szCs w:val="20"/>
              </w:rPr>
              <w:t>R</w:t>
            </w:r>
            <w:r w:rsidRPr="006568D1">
              <w:rPr>
                <w:rFonts w:ascii="Times New Roman" w:hAnsi="Times New Roman" w:cs="Arial"/>
                <w:sz w:val="20"/>
                <w:szCs w:val="20"/>
                <w:vertAlign w:val="superscript"/>
              </w:rPr>
              <w:t>2</w:t>
            </w:r>
          </w:p>
        </w:tc>
        <w:tc>
          <w:tcPr>
            <w:tcW w:w="1673" w:type="dxa"/>
            <w:tcBorders>
              <w:left w:val="nil"/>
              <w:right w:val="nil"/>
            </w:tcBorders>
            <w:vAlign w:val="center"/>
          </w:tcPr>
          <w:p w14:paraId="598027C4"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0.590</w:t>
            </w:r>
          </w:p>
        </w:tc>
        <w:tc>
          <w:tcPr>
            <w:tcW w:w="1673" w:type="dxa"/>
            <w:tcBorders>
              <w:left w:val="nil"/>
              <w:right w:val="nil"/>
            </w:tcBorders>
            <w:vAlign w:val="center"/>
          </w:tcPr>
          <w:p w14:paraId="24827235"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0.426</w:t>
            </w:r>
          </w:p>
        </w:tc>
        <w:tc>
          <w:tcPr>
            <w:tcW w:w="1673" w:type="dxa"/>
            <w:vAlign w:val="center"/>
          </w:tcPr>
          <w:p w14:paraId="3B64133A"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0.609</w:t>
            </w:r>
          </w:p>
        </w:tc>
        <w:tc>
          <w:tcPr>
            <w:tcW w:w="1673" w:type="dxa"/>
            <w:vAlign w:val="center"/>
          </w:tcPr>
          <w:p w14:paraId="094265D9"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0.445</w:t>
            </w:r>
          </w:p>
        </w:tc>
      </w:tr>
      <w:tr w:rsidR="00AF648E" w:rsidRPr="006568D1" w14:paraId="29840C82" w14:textId="77777777" w:rsidTr="0029437B">
        <w:trPr>
          <w:trHeight w:hRule="exact" w:val="288"/>
        </w:trPr>
        <w:tc>
          <w:tcPr>
            <w:tcW w:w="8307" w:type="dxa"/>
            <w:gridSpan w:val="5"/>
            <w:tcBorders>
              <w:top w:val="single" w:sz="4" w:space="0" w:color="auto"/>
              <w:left w:val="nil"/>
              <w:bottom w:val="nil"/>
            </w:tcBorders>
            <w:vAlign w:val="center"/>
          </w:tcPr>
          <w:p w14:paraId="58A7696B" w14:textId="77777777" w:rsidR="00AF648E" w:rsidRPr="006568D1" w:rsidRDefault="00AF648E" w:rsidP="0029437B">
            <w:pPr>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hint="eastAsia"/>
                <w:sz w:val="20"/>
                <w:szCs w:val="20"/>
              </w:rPr>
              <w:t xml:space="preserve">Panel </w:t>
            </w:r>
            <w:r w:rsidRPr="006568D1">
              <w:rPr>
                <w:rFonts w:ascii="Times New Roman" w:hAnsi="Times New Roman" w:cs="Times New Roman"/>
                <w:sz w:val="20"/>
                <w:szCs w:val="20"/>
              </w:rPr>
              <w:t>B</w:t>
            </w:r>
            <w:r w:rsidRPr="006568D1">
              <w:rPr>
                <w:rFonts w:ascii="Times New Roman" w:hAnsi="Times New Roman" w:cs="Times New Roman" w:hint="eastAsia"/>
                <w:sz w:val="20"/>
                <w:szCs w:val="20"/>
              </w:rPr>
              <w:t xml:space="preserve">: </w:t>
            </w:r>
            <w:r w:rsidRPr="006568D1">
              <w:rPr>
                <w:rFonts w:ascii="Times New Roman" w:hAnsi="Times New Roman" w:cs="Times New Roman"/>
                <w:sz w:val="20"/>
                <w:szCs w:val="20"/>
              </w:rPr>
              <w:t>News-based uncertainty</w:t>
            </w:r>
          </w:p>
        </w:tc>
      </w:tr>
      <w:tr w:rsidR="00AF648E" w:rsidRPr="006568D1" w14:paraId="4EB9C9E8" w14:textId="77777777" w:rsidTr="0029437B">
        <w:trPr>
          <w:trHeight w:hRule="exact" w:val="288"/>
        </w:trPr>
        <w:tc>
          <w:tcPr>
            <w:tcW w:w="1615" w:type="dxa"/>
            <w:tcBorders>
              <w:top w:val="nil"/>
              <w:left w:val="nil"/>
              <w:bottom w:val="nil"/>
              <w:right w:val="nil"/>
            </w:tcBorders>
            <w:vAlign w:val="center"/>
          </w:tcPr>
          <w:p w14:paraId="49E09A83" w14:textId="77777777" w:rsidR="00AF648E" w:rsidRPr="006568D1" w:rsidRDefault="00AF648E" w:rsidP="0029437B">
            <w:pPr>
              <w:spacing w:after="0" w:line="240" w:lineRule="auto"/>
              <w:jc w:val="both"/>
              <w:rPr>
                <w:rFonts w:ascii="Times New Roman" w:hAnsi="Times New Roman" w:cs="Times New Roman"/>
                <w:i/>
                <w:sz w:val="20"/>
                <w:szCs w:val="20"/>
              </w:rPr>
            </w:pPr>
            <w:r w:rsidRPr="006568D1">
              <w:rPr>
                <w:rFonts w:ascii="Times New Roman" w:hAnsi="Times New Roman" w:cs="Times New Roman"/>
                <w:i/>
                <w:sz w:val="20"/>
                <w:szCs w:val="20"/>
              </w:rPr>
              <w:t>log</w:t>
            </w:r>
            <w:r w:rsidRPr="006568D1">
              <w:rPr>
                <w:rFonts w:ascii="Times New Roman" w:hAnsi="Times New Roman" w:cs="Times New Roman" w:hint="eastAsia"/>
                <w:i/>
                <w:sz w:val="20"/>
                <w:szCs w:val="20"/>
              </w:rPr>
              <w:t>VRP</w:t>
            </w:r>
          </w:p>
        </w:tc>
        <w:tc>
          <w:tcPr>
            <w:tcW w:w="1673" w:type="dxa"/>
            <w:tcBorders>
              <w:left w:val="nil"/>
              <w:right w:val="nil"/>
            </w:tcBorders>
            <w:vAlign w:val="center"/>
          </w:tcPr>
          <w:p w14:paraId="489471C6"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01DD9F23"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p>
        </w:tc>
        <w:tc>
          <w:tcPr>
            <w:tcW w:w="1673" w:type="dxa"/>
            <w:vAlign w:val="center"/>
          </w:tcPr>
          <w:p w14:paraId="2E2EABE7"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20.398</w:t>
            </w:r>
          </w:p>
        </w:tc>
        <w:tc>
          <w:tcPr>
            <w:tcW w:w="1673" w:type="dxa"/>
            <w:vAlign w:val="center"/>
          </w:tcPr>
          <w:p w14:paraId="4F857A83"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-18.331</w:t>
            </w:r>
          </w:p>
        </w:tc>
      </w:tr>
      <w:tr w:rsidR="00AF648E" w:rsidRPr="006568D1" w14:paraId="0A7E9A9F" w14:textId="77777777" w:rsidTr="0029437B">
        <w:trPr>
          <w:trHeight w:hRule="exact" w:val="288"/>
        </w:trPr>
        <w:tc>
          <w:tcPr>
            <w:tcW w:w="1615" w:type="dxa"/>
            <w:tcBorders>
              <w:top w:val="nil"/>
              <w:left w:val="nil"/>
              <w:bottom w:val="nil"/>
              <w:right w:val="nil"/>
            </w:tcBorders>
            <w:vAlign w:val="center"/>
          </w:tcPr>
          <w:p w14:paraId="4883ACB6" w14:textId="77777777" w:rsidR="00AF648E" w:rsidRPr="006568D1" w:rsidRDefault="00AF648E" w:rsidP="0029437B">
            <w:pPr>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7E859D60"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66F37537"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p>
        </w:tc>
        <w:tc>
          <w:tcPr>
            <w:tcW w:w="1673" w:type="dxa"/>
            <w:vAlign w:val="center"/>
          </w:tcPr>
          <w:p w14:paraId="24E4BD3D"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(0.000)</w:t>
            </w:r>
          </w:p>
        </w:tc>
        <w:tc>
          <w:tcPr>
            <w:tcW w:w="1673" w:type="dxa"/>
            <w:vAlign w:val="center"/>
          </w:tcPr>
          <w:p w14:paraId="763C831B"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(0.001)</w:t>
            </w:r>
          </w:p>
        </w:tc>
      </w:tr>
      <w:tr w:rsidR="00AF648E" w:rsidRPr="006568D1" w14:paraId="1C3F414F" w14:textId="77777777" w:rsidTr="0029437B">
        <w:trPr>
          <w:trHeight w:hRule="exact" w:val="288"/>
        </w:trPr>
        <w:tc>
          <w:tcPr>
            <w:tcW w:w="1615" w:type="dxa"/>
            <w:tcBorders>
              <w:top w:val="nil"/>
              <w:left w:val="nil"/>
              <w:bottom w:val="nil"/>
              <w:right w:val="nil"/>
            </w:tcBorders>
            <w:vAlign w:val="center"/>
          </w:tcPr>
          <w:p w14:paraId="35FE8A52" w14:textId="77777777" w:rsidR="00AF648E" w:rsidRPr="006568D1" w:rsidRDefault="00AF648E" w:rsidP="0029437B">
            <w:pPr>
              <w:spacing w:after="0" w:line="240" w:lineRule="auto"/>
              <w:jc w:val="both"/>
              <w:rPr>
                <w:rFonts w:ascii="Times New Roman" w:hAnsi="Times New Roman" w:cs="Times New Roman"/>
                <w:i/>
                <w:sz w:val="20"/>
                <w:szCs w:val="20"/>
              </w:rPr>
            </w:pPr>
            <w:r w:rsidRPr="006568D1">
              <w:rPr>
                <w:rFonts w:ascii="Times New Roman" w:hAnsi="Times New Roman" w:cs="Times New Roman"/>
                <w:i/>
                <w:sz w:val="20"/>
                <w:szCs w:val="20"/>
              </w:rPr>
              <w:t>EPU</w:t>
            </w:r>
          </w:p>
        </w:tc>
        <w:tc>
          <w:tcPr>
            <w:tcW w:w="1673" w:type="dxa"/>
            <w:tcBorders>
              <w:left w:val="nil"/>
              <w:right w:val="nil"/>
            </w:tcBorders>
          </w:tcPr>
          <w:p w14:paraId="010D4D5A"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0.142</w:t>
            </w:r>
          </w:p>
        </w:tc>
        <w:tc>
          <w:tcPr>
            <w:tcW w:w="1673" w:type="dxa"/>
            <w:tcBorders>
              <w:left w:val="nil"/>
              <w:right w:val="nil"/>
            </w:tcBorders>
          </w:tcPr>
          <w:p w14:paraId="765D15D6"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-0.145</w:t>
            </w:r>
          </w:p>
        </w:tc>
        <w:tc>
          <w:tcPr>
            <w:tcW w:w="1673" w:type="dxa"/>
            <w:vAlign w:val="center"/>
          </w:tcPr>
          <w:p w14:paraId="6C1BB005"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-0.069</w:t>
            </w:r>
          </w:p>
        </w:tc>
        <w:tc>
          <w:tcPr>
            <w:tcW w:w="1673" w:type="dxa"/>
            <w:vAlign w:val="center"/>
          </w:tcPr>
          <w:p w14:paraId="7D3CB02A"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0.043</w:t>
            </w:r>
          </w:p>
        </w:tc>
      </w:tr>
      <w:tr w:rsidR="00AF648E" w:rsidRPr="006568D1" w14:paraId="719CEF9C" w14:textId="77777777" w:rsidTr="0029437B">
        <w:trPr>
          <w:trHeight w:hRule="exact" w:val="288"/>
        </w:trPr>
        <w:tc>
          <w:tcPr>
            <w:tcW w:w="1615" w:type="dxa"/>
            <w:tcBorders>
              <w:top w:val="nil"/>
              <w:left w:val="nil"/>
              <w:bottom w:val="nil"/>
              <w:right w:val="nil"/>
            </w:tcBorders>
            <w:vAlign w:val="center"/>
          </w:tcPr>
          <w:p w14:paraId="41B92587" w14:textId="77777777" w:rsidR="00AF648E" w:rsidRPr="006568D1" w:rsidRDefault="00AF648E" w:rsidP="0029437B">
            <w:pPr>
              <w:spacing w:after="0" w:line="240" w:lineRule="auto"/>
              <w:jc w:val="both"/>
              <w:rPr>
                <w:rFonts w:ascii="Times New Roman" w:hAnsi="Times New Roman" w:cs="Times New Roman"/>
                <w:sz w:val="20"/>
                <w:szCs w:val="20"/>
              </w:rPr>
            </w:pPr>
          </w:p>
        </w:tc>
        <w:tc>
          <w:tcPr>
            <w:tcW w:w="1673" w:type="dxa"/>
            <w:tcBorders>
              <w:left w:val="nil"/>
              <w:right w:val="nil"/>
            </w:tcBorders>
          </w:tcPr>
          <w:p w14:paraId="76E17DDD"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(0.053)</w:t>
            </w:r>
          </w:p>
        </w:tc>
        <w:tc>
          <w:tcPr>
            <w:tcW w:w="1673" w:type="dxa"/>
            <w:tcBorders>
              <w:left w:val="nil"/>
              <w:right w:val="nil"/>
            </w:tcBorders>
          </w:tcPr>
          <w:p w14:paraId="43A66E9D"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(0.146)</w:t>
            </w:r>
          </w:p>
        </w:tc>
        <w:tc>
          <w:tcPr>
            <w:tcW w:w="1673" w:type="dxa"/>
            <w:vAlign w:val="center"/>
          </w:tcPr>
          <w:p w14:paraId="62EE4317"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(0.342)</w:t>
            </w:r>
          </w:p>
        </w:tc>
        <w:tc>
          <w:tcPr>
            <w:tcW w:w="1673" w:type="dxa"/>
            <w:vAlign w:val="center"/>
          </w:tcPr>
          <w:p w14:paraId="6990C330"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(0.681)</w:t>
            </w:r>
          </w:p>
        </w:tc>
      </w:tr>
      <w:tr w:rsidR="00AF648E" w:rsidRPr="006568D1" w14:paraId="734F6CAB" w14:textId="77777777" w:rsidTr="0029437B">
        <w:trPr>
          <w:trHeight w:hRule="exact" w:val="288"/>
        </w:trPr>
        <w:tc>
          <w:tcPr>
            <w:tcW w:w="1615" w:type="dxa"/>
            <w:tcBorders>
              <w:left w:val="nil"/>
              <w:bottom w:val="nil"/>
              <w:right w:val="nil"/>
            </w:tcBorders>
            <w:vAlign w:val="center"/>
          </w:tcPr>
          <w:p w14:paraId="2CA13872" w14:textId="77777777" w:rsidR="00AF648E" w:rsidRPr="006568D1" w:rsidRDefault="00AF648E" w:rsidP="0029437B">
            <w:pPr>
              <w:spacing w:after="0" w:line="240" w:lineRule="auto"/>
              <w:jc w:val="both"/>
              <w:rPr>
                <w:rFonts w:ascii="Times New Roman" w:hAnsi="Times New Roman" w:cs="Times New Roman"/>
                <w:sz w:val="20"/>
                <w:szCs w:val="20"/>
              </w:rPr>
            </w:pPr>
            <w:r w:rsidRPr="006568D1">
              <w:rPr>
                <w:rFonts w:ascii="Times New Roman" w:hAnsi="Times New Roman" w:cs="Times New Roman" w:hint="eastAsia"/>
                <w:sz w:val="20"/>
                <w:szCs w:val="20"/>
              </w:rPr>
              <w:t>Obs.</w:t>
            </w:r>
          </w:p>
        </w:tc>
        <w:tc>
          <w:tcPr>
            <w:tcW w:w="1673" w:type="dxa"/>
            <w:tcBorders>
              <w:left w:val="nil"/>
              <w:right w:val="nil"/>
            </w:tcBorders>
            <w:vAlign w:val="center"/>
          </w:tcPr>
          <w:p w14:paraId="3FFF4229"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104</w:t>
            </w:r>
          </w:p>
        </w:tc>
        <w:tc>
          <w:tcPr>
            <w:tcW w:w="1673" w:type="dxa"/>
            <w:tcBorders>
              <w:left w:val="nil"/>
              <w:right w:val="nil"/>
            </w:tcBorders>
            <w:vAlign w:val="center"/>
          </w:tcPr>
          <w:p w14:paraId="3E99E314"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98</w:t>
            </w:r>
          </w:p>
        </w:tc>
        <w:tc>
          <w:tcPr>
            <w:tcW w:w="1673" w:type="dxa"/>
            <w:vAlign w:val="center"/>
          </w:tcPr>
          <w:p w14:paraId="30A95B58"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104</w:t>
            </w:r>
          </w:p>
        </w:tc>
        <w:tc>
          <w:tcPr>
            <w:tcW w:w="1673" w:type="dxa"/>
            <w:vAlign w:val="center"/>
          </w:tcPr>
          <w:p w14:paraId="6C221A14"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98</w:t>
            </w:r>
          </w:p>
        </w:tc>
      </w:tr>
      <w:tr w:rsidR="00AF648E" w:rsidRPr="006568D1" w14:paraId="74828122" w14:textId="77777777" w:rsidTr="0029437B">
        <w:trPr>
          <w:trHeight w:hRule="exact" w:val="288"/>
        </w:trPr>
        <w:tc>
          <w:tcPr>
            <w:tcW w:w="1615" w:type="dxa"/>
            <w:tcBorders>
              <w:top w:val="nil"/>
              <w:left w:val="nil"/>
              <w:bottom w:val="single" w:sz="4" w:space="0" w:color="auto"/>
              <w:right w:val="nil"/>
            </w:tcBorders>
            <w:vAlign w:val="center"/>
          </w:tcPr>
          <w:p w14:paraId="4908E29E" w14:textId="77777777" w:rsidR="00AF648E" w:rsidRPr="006568D1" w:rsidRDefault="00AF648E" w:rsidP="0029437B">
            <w:pPr>
              <w:spacing w:after="0" w:line="240" w:lineRule="auto"/>
              <w:jc w:val="both"/>
              <w:rPr>
                <w:rFonts w:ascii="Times New Roman" w:hAnsi="Times New Roman" w:cs="Times New Roman"/>
                <w:sz w:val="20"/>
                <w:szCs w:val="20"/>
              </w:rPr>
            </w:pPr>
            <w:r w:rsidRPr="006568D1">
              <w:rPr>
                <w:rFonts w:ascii="Times New Roman" w:hAnsi="Times New Roman" w:cs="Arial"/>
                <w:sz w:val="20"/>
                <w:szCs w:val="20"/>
              </w:rPr>
              <w:t xml:space="preserve">adj. </w:t>
            </w:r>
            <w:r w:rsidRPr="006568D1">
              <w:rPr>
                <w:rFonts w:ascii="Times New Roman" w:hAnsi="Times New Roman" w:cs="Arial"/>
                <w:i/>
                <w:iCs/>
                <w:sz w:val="20"/>
                <w:szCs w:val="20"/>
              </w:rPr>
              <w:t>R</w:t>
            </w:r>
            <w:r w:rsidRPr="006568D1">
              <w:rPr>
                <w:rFonts w:ascii="Times New Roman" w:hAnsi="Times New Roman" w:cs="Arial"/>
                <w:sz w:val="20"/>
                <w:szCs w:val="20"/>
                <w:vertAlign w:val="superscript"/>
              </w:rPr>
              <w:t>2</w:t>
            </w:r>
          </w:p>
        </w:tc>
        <w:tc>
          <w:tcPr>
            <w:tcW w:w="1673" w:type="dxa"/>
            <w:tcBorders>
              <w:left w:val="nil"/>
              <w:bottom w:val="single" w:sz="4" w:space="0" w:color="auto"/>
              <w:right w:val="nil"/>
            </w:tcBorders>
            <w:vAlign w:val="center"/>
          </w:tcPr>
          <w:p w14:paraId="74EAA308"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.412</w:t>
            </w:r>
          </w:p>
        </w:tc>
        <w:tc>
          <w:tcPr>
            <w:tcW w:w="1673" w:type="dxa"/>
            <w:tcBorders>
              <w:left w:val="nil"/>
              <w:bottom w:val="single" w:sz="4" w:space="0" w:color="auto"/>
              <w:right w:val="nil"/>
            </w:tcBorders>
            <w:vAlign w:val="center"/>
          </w:tcPr>
          <w:p w14:paraId="687D6FBA"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.316</w:t>
            </w:r>
          </w:p>
        </w:tc>
        <w:tc>
          <w:tcPr>
            <w:tcW w:w="1673" w:type="dxa"/>
            <w:tcBorders>
              <w:bottom w:val="single" w:sz="4" w:space="0" w:color="auto"/>
            </w:tcBorders>
            <w:vAlign w:val="center"/>
          </w:tcPr>
          <w:p w14:paraId="2F341C4C"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.607</w:t>
            </w:r>
          </w:p>
        </w:tc>
        <w:tc>
          <w:tcPr>
            <w:tcW w:w="1673" w:type="dxa"/>
            <w:tcBorders>
              <w:bottom w:val="single" w:sz="4" w:space="0" w:color="auto"/>
            </w:tcBorders>
            <w:vAlign w:val="center"/>
          </w:tcPr>
          <w:p w14:paraId="7D2E4E65"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.446</w:t>
            </w:r>
          </w:p>
        </w:tc>
      </w:tr>
      <w:tr w:rsidR="00AF648E" w:rsidRPr="006568D1" w14:paraId="31A5E998" w14:textId="77777777" w:rsidTr="0029437B">
        <w:trPr>
          <w:trHeight w:hRule="exact" w:val="288"/>
        </w:trPr>
        <w:tc>
          <w:tcPr>
            <w:tcW w:w="8307" w:type="dxa"/>
            <w:gridSpan w:val="5"/>
            <w:tcBorders>
              <w:top w:val="single" w:sz="4" w:space="0" w:color="auto"/>
              <w:left w:val="nil"/>
              <w:bottom w:val="nil"/>
            </w:tcBorders>
            <w:vAlign w:val="center"/>
          </w:tcPr>
          <w:p w14:paraId="4DA0ECB6" w14:textId="77777777" w:rsidR="00AF648E" w:rsidRPr="006568D1" w:rsidRDefault="00AF648E" w:rsidP="0029437B">
            <w:pPr>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hint="eastAsia"/>
                <w:sz w:val="20"/>
                <w:szCs w:val="20"/>
              </w:rPr>
              <w:t xml:space="preserve">Panel </w:t>
            </w:r>
            <w:r w:rsidRPr="006568D1">
              <w:rPr>
                <w:rFonts w:ascii="Times New Roman" w:hAnsi="Times New Roman" w:cs="Times New Roman"/>
                <w:sz w:val="20"/>
                <w:szCs w:val="20"/>
              </w:rPr>
              <w:t>C</w:t>
            </w:r>
            <w:r w:rsidRPr="006568D1">
              <w:rPr>
                <w:rFonts w:ascii="Times New Roman" w:hAnsi="Times New Roman" w:cs="Times New Roman" w:hint="eastAsia"/>
                <w:sz w:val="20"/>
                <w:szCs w:val="20"/>
              </w:rPr>
              <w:t xml:space="preserve">: </w:t>
            </w:r>
            <w:r w:rsidRPr="006568D1">
              <w:rPr>
                <w:rFonts w:ascii="Times New Roman" w:hAnsi="Times New Roman" w:cs="Times New Roman"/>
                <w:sz w:val="20"/>
                <w:szCs w:val="20"/>
              </w:rPr>
              <w:t>Macroeconomic uncertainty</w:t>
            </w:r>
          </w:p>
        </w:tc>
      </w:tr>
      <w:tr w:rsidR="00AF648E" w:rsidRPr="006568D1" w14:paraId="4AC63AC9" w14:textId="77777777" w:rsidTr="0029437B">
        <w:trPr>
          <w:trHeight w:hRule="exact" w:val="288"/>
        </w:trPr>
        <w:tc>
          <w:tcPr>
            <w:tcW w:w="1615" w:type="dxa"/>
            <w:tcBorders>
              <w:top w:val="nil"/>
              <w:left w:val="nil"/>
              <w:bottom w:val="nil"/>
              <w:right w:val="nil"/>
            </w:tcBorders>
            <w:vAlign w:val="center"/>
          </w:tcPr>
          <w:p w14:paraId="44FF4023" w14:textId="77777777" w:rsidR="00AF648E" w:rsidRPr="006568D1" w:rsidRDefault="00AF648E" w:rsidP="0029437B">
            <w:pPr>
              <w:spacing w:after="0" w:line="240" w:lineRule="auto"/>
              <w:jc w:val="both"/>
              <w:rPr>
                <w:rFonts w:ascii="Times New Roman" w:hAnsi="Times New Roman" w:cs="Times New Roman"/>
                <w:i/>
                <w:sz w:val="20"/>
                <w:szCs w:val="20"/>
              </w:rPr>
            </w:pPr>
            <w:r w:rsidRPr="006568D1">
              <w:rPr>
                <w:rFonts w:ascii="Times New Roman" w:hAnsi="Times New Roman" w:cs="Times New Roman"/>
                <w:i/>
                <w:sz w:val="20"/>
                <w:szCs w:val="20"/>
              </w:rPr>
              <w:t>log</w:t>
            </w:r>
            <w:r w:rsidRPr="006568D1">
              <w:rPr>
                <w:rFonts w:ascii="Times New Roman" w:hAnsi="Times New Roman" w:cs="Times New Roman" w:hint="eastAsia"/>
                <w:i/>
                <w:sz w:val="20"/>
                <w:szCs w:val="20"/>
              </w:rPr>
              <w:t>VRP</w:t>
            </w:r>
          </w:p>
        </w:tc>
        <w:tc>
          <w:tcPr>
            <w:tcW w:w="1673" w:type="dxa"/>
            <w:tcBorders>
              <w:left w:val="nil"/>
              <w:right w:val="nil"/>
            </w:tcBorders>
            <w:vAlign w:val="center"/>
          </w:tcPr>
          <w:p w14:paraId="0F4C6957"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0171F44B"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p>
        </w:tc>
        <w:tc>
          <w:tcPr>
            <w:tcW w:w="1673" w:type="dxa"/>
            <w:vAlign w:val="center"/>
          </w:tcPr>
          <w:p w14:paraId="0BB591E1"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12.826</w:t>
            </w:r>
          </w:p>
        </w:tc>
        <w:tc>
          <w:tcPr>
            <w:tcW w:w="1673" w:type="dxa"/>
            <w:vAlign w:val="center"/>
          </w:tcPr>
          <w:p w14:paraId="4FAA13CB"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-12.534</w:t>
            </w:r>
          </w:p>
        </w:tc>
      </w:tr>
      <w:tr w:rsidR="00AF648E" w:rsidRPr="006568D1" w14:paraId="6F64A1C4" w14:textId="77777777" w:rsidTr="0029437B">
        <w:trPr>
          <w:trHeight w:hRule="exact" w:val="288"/>
        </w:trPr>
        <w:tc>
          <w:tcPr>
            <w:tcW w:w="1615" w:type="dxa"/>
            <w:tcBorders>
              <w:top w:val="nil"/>
              <w:left w:val="nil"/>
              <w:bottom w:val="nil"/>
              <w:right w:val="nil"/>
            </w:tcBorders>
            <w:vAlign w:val="center"/>
          </w:tcPr>
          <w:p w14:paraId="31C9FFB2" w14:textId="77777777" w:rsidR="00AF648E" w:rsidRPr="006568D1" w:rsidRDefault="00AF648E" w:rsidP="0029437B">
            <w:pPr>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2D631EDD"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p>
        </w:tc>
        <w:tc>
          <w:tcPr>
            <w:tcW w:w="1673" w:type="dxa"/>
            <w:tcBorders>
              <w:left w:val="nil"/>
              <w:right w:val="nil"/>
            </w:tcBorders>
            <w:vAlign w:val="center"/>
          </w:tcPr>
          <w:p w14:paraId="4EA3DDE6"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p>
        </w:tc>
        <w:tc>
          <w:tcPr>
            <w:tcW w:w="1673" w:type="dxa"/>
            <w:vAlign w:val="center"/>
          </w:tcPr>
          <w:p w14:paraId="7F84A3AE"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(0.000)</w:t>
            </w:r>
          </w:p>
        </w:tc>
        <w:tc>
          <w:tcPr>
            <w:tcW w:w="1673" w:type="dxa"/>
            <w:vAlign w:val="center"/>
          </w:tcPr>
          <w:p w14:paraId="1E885654"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(0.025)</w:t>
            </w:r>
          </w:p>
        </w:tc>
      </w:tr>
      <w:tr w:rsidR="00AF648E" w:rsidRPr="006568D1" w14:paraId="79AD905A" w14:textId="77777777" w:rsidTr="0029437B">
        <w:trPr>
          <w:trHeight w:hRule="exact" w:val="288"/>
        </w:trPr>
        <w:tc>
          <w:tcPr>
            <w:tcW w:w="1615" w:type="dxa"/>
            <w:tcBorders>
              <w:top w:val="nil"/>
              <w:left w:val="nil"/>
              <w:bottom w:val="nil"/>
              <w:right w:val="nil"/>
            </w:tcBorders>
            <w:vAlign w:val="center"/>
          </w:tcPr>
          <w:p w14:paraId="029EC076" w14:textId="77777777" w:rsidR="00AF648E" w:rsidRPr="006568D1" w:rsidRDefault="00AF648E" w:rsidP="0029437B">
            <w:pPr>
              <w:spacing w:after="0" w:line="240" w:lineRule="auto"/>
              <w:jc w:val="both"/>
              <w:rPr>
                <w:rFonts w:ascii="Times New Roman" w:hAnsi="Times New Roman" w:cs="Times New Roman"/>
                <w:i/>
                <w:sz w:val="20"/>
                <w:szCs w:val="20"/>
              </w:rPr>
            </w:pPr>
            <w:r w:rsidRPr="006568D1">
              <w:rPr>
                <w:rFonts w:ascii="Times New Roman" w:hAnsi="Times New Roman" w:cs="Times New Roman"/>
                <w:i/>
                <w:sz w:val="20"/>
                <w:szCs w:val="20"/>
              </w:rPr>
              <w:t>MU</w:t>
            </w:r>
          </w:p>
        </w:tc>
        <w:tc>
          <w:tcPr>
            <w:tcW w:w="1673" w:type="dxa"/>
            <w:tcBorders>
              <w:left w:val="nil"/>
              <w:right w:val="nil"/>
            </w:tcBorders>
          </w:tcPr>
          <w:p w14:paraId="1F4A23D8"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181.131</w:t>
            </w:r>
          </w:p>
        </w:tc>
        <w:tc>
          <w:tcPr>
            <w:tcW w:w="1673" w:type="dxa"/>
            <w:tcBorders>
              <w:left w:val="nil"/>
              <w:right w:val="nil"/>
            </w:tcBorders>
          </w:tcPr>
          <w:p w14:paraId="7A4DD90E"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-150.591</w:t>
            </w:r>
          </w:p>
        </w:tc>
        <w:tc>
          <w:tcPr>
            <w:tcW w:w="1673" w:type="dxa"/>
            <w:vAlign w:val="center"/>
          </w:tcPr>
          <w:p w14:paraId="178CD8C9"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136.801</w:t>
            </w:r>
          </w:p>
        </w:tc>
        <w:tc>
          <w:tcPr>
            <w:tcW w:w="1673" w:type="dxa"/>
            <w:vAlign w:val="center"/>
          </w:tcPr>
          <w:p w14:paraId="116563AD"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-105.725</w:t>
            </w:r>
          </w:p>
        </w:tc>
      </w:tr>
      <w:tr w:rsidR="00AF648E" w:rsidRPr="006568D1" w14:paraId="2AF0485B" w14:textId="77777777" w:rsidTr="0029437B">
        <w:trPr>
          <w:trHeight w:hRule="exact" w:val="288"/>
        </w:trPr>
        <w:tc>
          <w:tcPr>
            <w:tcW w:w="1615" w:type="dxa"/>
            <w:tcBorders>
              <w:top w:val="nil"/>
              <w:left w:val="nil"/>
              <w:bottom w:val="nil"/>
              <w:right w:val="nil"/>
            </w:tcBorders>
            <w:vAlign w:val="center"/>
          </w:tcPr>
          <w:p w14:paraId="1287C8DB" w14:textId="77777777" w:rsidR="00AF648E" w:rsidRPr="006568D1" w:rsidRDefault="00AF648E" w:rsidP="0029437B">
            <w:pPr>
              <w:spacing w:after="0" w:line="240" w:lineRule="auto"/>
              <w:jc w:val="both"/>
              <w:rPr>
                <w:rFonts w:ascii="Times New Roman" w:hAnsi="Times New Roman" w:cs="Times New Roman"/>
                <w:sz w:val="20"/>
                <w:szCs w:val="20"/>
              </w:rPr>
            </w:pPr>
          </w:p>
        </w:tc>
        <w:tc>
          <w:tcPr>
            <w:tcW w:w="1673" w:type="dxa"/>
            <w:tcBorders>
              <w:left w:val="nil"/>
              <w:right w:val="nil"/>
            </w:tcBorders>
          </w:tcPr>
          <w:p w14:paraId="7E312C48" w14:textId="77777777" w:rsidR="00AF648E" w:rsidRPr="006568D1" w:rsidRDefault="00AF648E" w:rsidP="0029437B">
            <w:pPr>
              <w:tabs>
                <w:tab w:val="decimal" w:pos="63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(0.000)</w:t>
            </w:r>
          </w:p>
        </w:tc>
        <w:tc>
          <w:tcPr>
            <w:tcW w:w="1673" w:type="dxa"/>
            <w:tcBorders>
              <w:left w:val="nil"/>
              <w:right w:val="nil"/>
            </w:tcBorders>
          </w:tcPr>
          <w:p w14:paraId="3F7CC53C"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(0.000)</w:t>
            </w:r>
          </w:p>
        </w:tc>
        <w:tc>
          <w:tcPr>
            <w:tcW w:w="1673" w:type="dxa"/>
            <w:vAlign w:val="center"/>
          </w:tcPr>
          <w:p w14:paraId="30A76B09" w14:textId="77777777" w:rsidR="00AF648E" w:rsidRPr="006568D1" w:rsidRDefault="00AF648E" w:rsidP="0029437B">
            <w:pPr>
              <w:tabs>
                <w:tab w:val="decimal" w:pos="65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(0.000)</w:t>
            </w:r>
          </w:p>
        </w:tc>
        <w:tc>
          <w:tcPr>
            <w:tcW w:w="1673" w:type="dxa"/>
            <w:vAlign w:val="center"/>
          </w:tcPr>
          <w:p w14:paraId="21C202C0" w14:textId="77777777" w:rsidR="00AF648E" w:rsidRPr="006568D1" w:rsidRDefault="00AF648E" w:rsidP="0029437B">
            <w:pPr>
              <w:tabs>
                <w:tab w:val="decimal" w:pos="660"/>
              </w:tabs>
              <w:autoSpaceDE w:val="0"/>
              <w:autoSpaceDN w:val="0"/>
              <w:adjustRightInd w:val="0"/>
              <w:spacing w:after="0" w:line="240" w:lineRule="auto"/>
              <w:jc w:val="both"/>
              <w:rPr>
                <w:rFonts w:ascii="Times New Roman" w:hAnsi="Times New Roman" w:cs="Times New Roman"/>
                <w:sz w:val="20"/>
                <w:szCs w:val="20"/>
              </w:rPr>
            </w:pPr>
            <w:r w:rsidRPr="006568D1">
              <w:rPr>
                <w:rFonts w:ascii="Times New Roman" w:hAnsi="Times New Roman" w:cs="Times New Roman"/>
                <w:sz w:val="20"/>
                <w:szCs w:val="20"/>
              </w:rPr>
              <w:t>(0.001)</w:t>
            </w:r>
          </w:p>
        </w:tc>
      </w:tr>
      <w:tr w:rsidR="00AF648E" w:rsidRPr="006568D1" w14:paraId="70E4D477" w14:textId="77777777" w:rsidTr="0029437B">
        <w:trPr>
          <w:trHeight w:hRule="exact" w:val="288"/>
        </w:trPr>
        <w:tc>
          <w:tcPr>
            <w:tcW w:w="1615" w:type="dxa"/>
            <w:tcBorders>
              <w:left w:val="nil"/>
              <w:bottom w:val="nil"/>
              <w:right w:val="nil"/>
            </w:tcBorders>
            <w:vAlign w:val="center"/>
          </w:tcPr>
          <w:p w14:paraId="5F14A545" w14:textId="77777777" w:rsidR="00AF648E" w:rsidRPr="006568D1" w:rsidRDefault="00AF648E" w:rsidP="0029437B">
            <w:pPr>
              <w:spacing w:after="0" w:line="240" w:lineRule="auto"/>
              <w:jc w:val="both"/>
              <w:rPr>
                <w:rFonts w:ascii="Times New Roman" w:hAnsi="Times New Roman" w:cs="Times New Roman"/>
                <w:sz w:val="20"/>
                <w:szCs w:val="20"/>
              </w:rPr>
            </w:pPr>
            <w:r w:rsidRPr="006568D1">
              <w:rPr>
                <w:rFonts w:ascii="Times New Roman" w:hAnsi="Times New Roman" w:cs="Times New Roman" w:hint="eastAsia"/>
                <w:sz w:val="20"/>
                <w:szCs w:val="20"/>
              </w:rPr>
              <w:t>Obs.</w:t>
            </w:r>
          </w:p>
        </w:tc>
        <w:tc>
          <w:tcPr>
            <w:tcW w:w="1673" w:type="dxa"/>
            <w:tcBorders>
              <w:left w:val="nil"/>
              <w:right w:val="nil"/>
            </w:tcBorders>
            <w:vAlign w:val="center"/>
          </w:tcPr>
          <w:p w14:paraId="36153C95"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104</w:t>
            </w:r>
          </w:p>
        </w:tc>
        <w:tc>
          <w:tcPr>
            <w:tcW w:w="1673" w:type="dxa"/>
            <w:tcBorders>
              <w:left w:val="nil"/>
              <w:right w:val="nil"/>
            </w:tcBorders>
            <w:vAlign w:val="center"/>
          </w:tcPr>
          <w:p w14:paraId="67C1E4E9"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98</w:t>
            </w:r>
          </w:p>
        </w:tc>
        <w:tc>
          <w:tcPr>
            <w:tcW w:w="1673" w:type="dxa"/>
            <w:vAlign w:val="center"/>
          </w:tcPr>
          <w:p w14:paraId="1477B51C"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104</w:t>
            </w:r>
          </w:p>
        </w:tc>
        <w:tc>
          <w:tcPr>
            <w:tcW w:w="1673" w:type="dxa"/>
            <w:vAlign w:val="center"/>
          </w:tcPr>
          <w:p w14:paraId="4F6BAD51"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sz w:val="20"/>
                <w:szCs w:val="20"/>
              </w:rPr>
              <w:t>98</w:t>
            </w:r>
          </w:p>
        </w:tc>
      </w:tr>
      <w:tr w:rsidR="00AF648E" w:rsidRPr="006568D1" w14:paraId="24E6DFEB" w14:textId="77777777" w:rsidTr="0029437B">
        <w:trPr>
          <w:trHeight w:hRule="exact" w:val="288"/>
        </w:trPr>
        <w:tc>
          <w:tcPr>
            <w:tcW w:w="1615" w:type="dxa"/>
            <w:tcBorders>
              <w:top w:val="nil"/>
              <w:left w:val="nil"/>
              <w:bottom w:val="single" w:sz="4" w:space="0" w:color="auto"/>
              <w:right w:val="nil"/>
            </w:tcBorders>
            <w:vAlign w:val="center"/>
          </w:tcPr>
          <w:p w14:paraId="15B7C37B" w14:textId="77777777" w:rsidR="00AF648E" w:rsidRPr="006568D1" w:rsidRDefault="00AF648E" w:rsidP="0029437B">
            <w:pPr>
              <w:spacing w:after="0" w:line="240" w:lineRule="auto"/>
              <w:jc w:val="both"/>
              <w:rPr>
                <w:rFonts w:ascii="Times New Roman" w:hAnsi="Times New Roman" w:cs="Times New Roman"/>
                <w:sz w:val="20"/>
                <w:szCs w:val="20"/>
              </w:rPr>
            </w:pPr>
            <w:r w:rsidRPr="006568D1">
              <w:rPr>
                <w:rFonts w:ascii="Times New Roman" w:hAnsi="Times New Roman" w:cs="Arial"/>
                <w:sz w:val="20"/>
                <w:szCs w:val="20"/>
              </w:rPr>
              <w:t xml:space="preserve">adj. </w:t>
            </w:r>
            <w:r w:rsidRPr="006568D1">
              <w:rPr>
                <w:rFonts w:ascii="Times New Roman" w:hAnsi="Times New Roman" w:cs="Arial"/>
                <w:i/>
                <w:iCs/>
                <w:sz w:val="20"/>
                <w:szCs w:val="20"/>
              </w:rPr>
              <w:t>R</w:t>
            </w:r>
            <w:r w:rsidRPr="006568D1">
              <w:rPr>
                <w:rFonts w:ascii="Times New Roman" w:hAnsi="Times New Roman" w:cs="Arial"/>
                <w:sz w:val="20"/>
                <w:szCs w:val="20"/>
                <w:vertAlign w:val="superscript"/>
              </w:rPr>
              <w:t>2</w:t>
            </w:r>
          </w:p>
        </w:tc>
        <w:tc>
          <w:tcPr>
            <w:tcW w:w="1673" w:type="dxa"/>
            <w:tcBorders>
              <w:left w:val="nil"/>
              <w:bottom w:val="single" w:sz="4" w:space="0" w:color="auto"/>
              <w:right w:val="nil"/>
            </w:tcBorders>
            <w:vAlign w:val="center"/>
          </w:tcPr>
          <w:p w14:paraId="45D30F0A"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.649</w:t>
            </w:r>
          </w:p>
        </w:tc>
        <w:tc>
          <w:tcPr>
            <w:tcW w:w="1673" w:type="dxa"/>
            <w:tcBorders>
              <w:left w:val="nil"/>
              <w:bottom w:val="single" w:sz="4" w:space="0" w:color="auto"/>
              <w:right w:val="nil"/>
            </w:tcBorders>
            <w:vAlign w:val="center"/>
          </w:tcPr>
          <w:p w14:paraId="4CF4C5CE"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.448</w:t>
            </w:r>
          </w:p>
        </w:tc>
        <w:tc>
          <w:tcPr>
            <w:tcW w:w="1673" w:type="dxa"/>
            <w:tcBorders>
              <w:bottom w:val="single" w:sz="4" w:space="0" w:color="auto"/>
            </w:tcBorders>
            <w:vAlign w:val="center"/>
          </w:tcPr>
          <w:p w14:paraId="65553B23"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.729</w:t>
            </w:r>
          </w:p>
        </w:tc>
        <w:tc>
          <w:tcPr>
            <w:tcW w:w="1673" w:type="dxa"/>
            <w:tcBorders>
              <w:bottom w:val="single" w:sz="4" w:space="0" w:color="auto"/>
            </w:tcBorders>
            <w:vAlign w:val="center"/>
          </w:tcPr>
          <w:p w14:paraId="11CA9C9D" w14:textId="77777777" w:rsidR="00AF648E" w:rsidRPr="006568D1" w:rsidRDefault="00AF648E" w:rsidP="0029437B">
            <w:pPr>
              <w:autoSpaceDE w:val="0"/>
              <w:autoSpaceDN w:val="0"/>
              <w:adjustRightInd w:val="0"/>
              <w:spacing w:after="0" w:line="240" w:lineRule="auto"/>
              <w:jc w:val="center"/>
              <w:rPr>
                <w:rFonts w:ascii="Times New Roman" w:hAnsi="Times New Roman" w:cs="Times New Roman"/>
                <w:sz w:val="20"/>
                <w:szCs w:val="20"/>
              </w:rPr>
            </w:pPr>
            <w:r w:rsidRPr="006568D1">
              <w:rPr>
                <w:rFonts w:ascii="Times New Roman" w:hAnsi="Times New Roman" w:cs="Times New Roman" w:hint="eastAsia"/>
                <w:sz w:val="20"/>
                <w:szCs w:val="20"/>
              </w:rPr>
              <w:t>0</w:t>
            </w:r>
            <w:r w:rsidRPr="006568D1">
              <w:rPr>
                <w:rFonts w:ascii="Times New Roman" w:hAnsi="Times New Roman" w:cs="Times New Roman"/>
                <w:sz w:val="20"/>
                <w:szCs w:val="20"/>
              </w:rPr>
              <w:t>.506</w:t>
            </w:r>
          </w:p>
        </w:tc>
      </w:tr>
    </w:tbl>
    <w:p w14:paraId="48290CA4" w14:textId="77777777" w:rsidR="00AF648E" w:rsidRPr="006568D1" w:rsidRDefault="00AF648E" w:rsidP="00AF648E">
      <w:pPr>
        <w:rPr>
          <w:rFonts w:ascii="Times New Roman" w:hAnsi="Times New Roman" w:cs="Times New Roman"/>
          <w:sz w:val="20"/>
          <w:szCs w:val="20"/>
        </w:rPr>
      </w:pPr>
      <w:r w:rsidRPr="006568D1">
        <w:rPr>
          <w:rFonts w:ascii="Times New Roman" w:hAnsi="Times New Roman" w:cs="Times New Roman"/>
          <w:sz w:val="20"/>
          <w:szCs w:val="20"/>
        </w:rPr>
        <w:t>NOTES: The regression model is</w:t>
      </w:r>
    </w:p>
    <w:p w14:paraId="69D6DA59" w14:textId="77777777" w:rsidR="00AF648E" w:rsidRPr="006568D1" w:rsidRDefault="00AF648E" w:rsidP="00AF648E">
      <w:pPr>
        <w:ind w:firstLineChars="100" w:firstLine="200"/>
        <w:rPr>
          <w:rFonts w:ascii="Calibri" w:hAnsi="Calibri" w:cs="Arial"/>
          <w:sz w:val="20"/>
          <w:szCs w:val="20"/>
        </w:rPr>
      </w:pPr>
      <w:r w:rsidRPr="006568D1">
        <w:rPr>
          <w:rFonts w:ascii="Calibri" w:hAnsi="Calibri" w:cs="Arial"/>
          <w:position w:val="-32"/>
          <w:sz w:val="20"/>
          <w:szCs w:val="20"/>
        </w:rPr>
        <w:object w:dxaOrig="7339" w:dyaOrig="720" w14:anchorId="486B5F90">
          <v:shape id="_x0000_i1026" type="#_x0000_t75" style="width:333pt;height:33.5pt" o:ole="">
            <v:imagedata r:id="rId11" o:title=""/>
          </v:shape>
          <o:OLEObject Type="Embed" ProgID="Equation.DSMT4" ShapeID="_x0000_i1026" DrawAspect="Content" ObjectID="_1628328501" r:id="rId12"/>
        </w:object>
      </w:r>
    </w:p>
    <w:p w14:paraId="72838250" w14:textId="77777777" w:rsidR="00AF648E" w:rsidRPr="006568D1" w:rsidRDefault="00AF648E" w:rsidP="00AF648E">
      <w:pPr>
        <w:jc w:val="both"/>
        <w:rPr>
          <w:rFonts w:ascii="Times New Roman" w:hAnsi="Times New Roman" w:cs="Times New Roman"/>
          <w:sz w:val="20"/>
          <w:szCs w:val="20"/>
        </w:rPr>
      </w:pPr>
      <w:r w:rsidRPr="006568D1">
        <w:rPr>
          <w:rFonts w:ascii="Times New Roman" w:hAnsi="Times New Roman" w:cs="Times New Roman"/>
          <w:sz w:val="20"/>
          <w:szCs w:val="20"/>
        </w:rPr>
        <w:t xml:space="preserve">where </w:t>
      </w:r>
      <w:r w:rsidRPr="006568D1">
        <w:rPr>
          <w:rFonts w:ascii="Times New Roman" w:hAnsi="Times New Roman" w:cs="Times New Roman"/>
          <w:i/>
          <w:sz w:val="20"/>
          <w:szCs w:val="20"/>
        </w:rPr>
        <w:t>Y</w:t>
      </w:r>
      <w:r w:rsidRPr="006568D1">
        <w:rPr>
          <w:rFonts w:ascii="Times New Roman" w:hAnsi="Times New Roman" w:cs="Times New Roman"/>
          <w:i/>
          <w:sz w:val="20"/>
          <w:szCs w:val="20"/>
          <w:vertAlign w:val="subscript"/>
        </w:rPr>
        <w:t>t</w:t>
      </w:r>
      <w:r w:rsidRPr="006568D1">
        <w:rPr>
          <w:rFonts w:ascii="Times New Roman" w:hAnsi="Times New Roman" w:cs="Times New Roman"/>
          <w:sz w:val="20"/>
          <w:szCs w:val="20"/>
        </w:rPr>
        <w:t xml:space="preserve"> is either </w:t>
      </w:r>
      <w:r w:rsidRPr="006568D1">
        <w:rPr>
          <w:rFonts w:ascii="Times New Roman" w:hAnsi="Times New Roman" w:cs="Times New Roman"/>
          <w:i/>
          <w:sz w:val="20"/>
          <w:szCs w:val="20"/>
        </w:rPr>
        <w:t>Standard_LM</w:t>
      </w:r>
      <w:r w:rsidRPr="006568D1">
        <w:rPr>
          <w:rFonts w:ascii="Times New Roman" w:hAnsi="Times New Roman" w:cs="Times New Roman"/>
          <w:sz w:val="20"/>
          <w:szCs w:val="20"/>
        </w:rPr>
        <w:t xml:space="preserve">, </w:t>
      </w:r>
      <w:r w:rsidRPr="006568D1">
        <w:rPr>
          <w:rFonts w:ascii="Times New Roman" w:hAnsi="Times New Roman" w:cs="Times New Roman"/>
          <w:i/>
          <w:sz w:val="20"/>
          <w:szCs w:val="20"/>
        </w:rPr>
        <w:t>Standard_S</w:t>
      </w:r>
      <w:r w:rsidRPr="006568D1">
        <w:rPr>
          <w:rFonts w:ascii="Times New Roman" w:hAnsi="Times New Roman" w:cs="Times New Roman"/>
          <w:sz w:val="20"/>
          <w:szCs w:val="20"/>
        </w:rPr>
        <w:t xml:space="preserve">, </w:t>
      </w:r>
      <w:r w:rsidRPr="006568D1">
        <w:rPr>
          <w:rFonts w:ascii="Times New Roman" w:hAnsi="Times New Roman" w:cs="Times New Roman"/>
          <w:i/>
          <w:sz w:val="20"/>
          <w:szCs w:val="20"/>
        </w:rPr>
        <w:t>Demand_LM</w:t>
      </w:r>
      <w:r w:rsidRPr="006568D1">
        <w:rPr>
          <w:rFonts w:ascii="Times New Roman" w:hAnsi="Times New Roman" w:cs="Times New Roman"/>
          <w:sz w:val="20"/>
          <w:szCs w:val="20"/>
        </w:rPr>
        <w:t xml:space="preserve">, or </w:t>
      </w:r>
      <w:r w:rsidRPr="006568D1">
        <w:rPr>
          <w:rFonts w:ascii="Times New Roman" w:hAnsi="Times New Roman" w:cs="Times New Roman"/>
          <w:i/>
          <w:sz w:val="20"/>
          <w:szCs w:val="20"/>
        </w:rPr>
        <w:t>Demand_S</w:t>
      </w:r>
      <w:r w:rsidRPr="006568D1">
        <w:rPr>
          <w:rFonts w:ascii="Times New Roman" w:hAnsi="Times New Roman" w:cs="Times New Roman"/>
          <w:sz w:val="20"/>
          <w:szCs w:val="20"/>
        </w:rPr>
        <w:t xml:space="preserve">; </w:t>
      </w:r>
      <w:r w:rsidRPr="006568D1">
        <w:rPr>
          <w:rFonts w:ascii="Times New Roman" w:hAnsi="Times New Roman" w:cs="Times New Roman"/>
          <w:i/>
          <w:sz w:val="20"/>
          <w:szCs w:val="20"/>
        </w:rPr>
        <w:t>Factor1</w:t>
      </w:r>
      <w:r w:rsidRPr="006568D1">
        <w:rPr>
          <w:rFonts w:ascii="Times New Roman" w:hAnsi="Times New Roman" w:cs="Times New Roman"/>
          <w:sz w:val="20"/>
          <w:szCs w:val="20"/>
        </w:rPr>
        <w:t xml:space="preserve">, </w:t>
      </w:r>
      <w:r w:rsidRPr="006568D1">
        <w:rPr>
          <w:rFonts w:ascii="Times New Roman" w:hAnsi="Times New Roman" w:cs="Times New Roman"/>
          <w:i/>
          <w:sz w:val="20"/>
          <w:szCs w:val="20"/>
        </w:rPr>
        <w:t>Factor2</w:t>
      </w:r>
      <w:r w:rsidRPr="006568D1">
        <w:rPr>
          <w:rFonts w:ascii="Times New Roman" w:hAnsi="Times New Roman" w:cs="Times New Roman"/>
          <w:sz w:val="20"/>
          <w:szCs w:val="20"/>
        </w:rPr>
        <w:t xml:space="preserve">, …, </w:t>
      </w:r>
      <w:r w:rsidRPr="006568D1">
        <w:rPr>
          <w:rFonts w:ascii="Times New Roman" w:hAnsi="Times New Roman" w:cs="Times New Roman"/>
          <w:i/>
          <w:sz w:val="20"/>
          <w:szCs w:val="20"/>
        </w:rPr>
        <w:t>Factor6</w:t>
      </w:r>
      <w:r w:rsidRPr="006568D1">
        <w:rPr>
          <w:rFonts w:ascii="Times New Roman" w:hAnsi="Times New Roman" w:cs="Times New Roman"/>
          <w:sz w:val="20"/>
          <w:szCs w:val="20"/>
        </w:rPr>
        <w:t xml:space="preserve"> are six principal components</w:t>
      </w:r>
      <w:r w:rsidRPr="006568D1">
        <w:rPr>
          <w:rFonts w:ascii="Times New Roman" w:hAnsi="Times New Roman" w:cs="Times New Roman" w:hint="eastAsia"/>
          <w:sz w:val="20"/>
          <w:szCs w:val="20"/>
        </w:rPr>
        <w:t xml:space="preserve"> </w:t>
      </w:r>
      <w:r w:rsidRPr="006568D1">
        <w:rPr>
          <w:rFonts w:ascii="Times New Roman" w:hAnsi="Times New Roman" w:cs="Times New Roman"/>
          <w:sz w:val="20"/>
          <w:szCs w:val="20"/>
        </w:rPr>
        <w:t>obtained from the Federal funds rate (</w:t>
      </w:r>
      <w:r w:rsidRPr="006568D1">
        <w:rPr>
          <w:rFonts w:ascii="Times New Roman" w:hAnsi="Times New Roman" w:cs="Times New Roman"/>
          <w:i/>
          <w:sz w:val="20"/>
          <w:szCs w:val="20"/>
        </w:rPr>
        <w:t>FF_Rate</w:t>
      </w:r>
      <w:r w:rsidRPr="006568D1">
        <w:rPr>
          <w:rFonts w:ascii="Times New Roman" w:hAnsi="Times New Roman" w:cs="Times New Roman"/>
          <w:sz w:val="20"/>
          <w:szCs w:val="20"/>
        </w:rPr>
        <w:t>), real GDP growth rate (</w:t>
      </w:r>
      <w:r w:rsidRPr="006568D1">
        <w:rPr>
          <w:rFonts w:ascii="Times New Roman" w:hAnsi="Times New Roman" w:cs="Times New Roman"/>
          <w:i/>
          <w:sz w:val="20"/>
          <w:szCs w:val="20"/>
        </w:rPr>
        <w:t>GDP</w:t>
      </w:r>
      <w:r w:rsidRPr="006568D1">
        <w:rPr>
          <w:rFonts w:ascii="Times New Roman" w:hAnsi="Times New Roman" w:cs="Times New Roman"/>
          <w:sz w:val="20"/>
          <w:szCs w:val="20"/>
        </w:rPr>
        <w:t>), percentage change in CPI (</w:t>
      </w:r>
      <w:r w:rsidRPr="006568D1">
        <w:rPr>
          <w:rFonts w:ascii="Times New Roman" w:hAnsi="Times New Roman" w:cs="Times New Roman"/>
          <w:i/>
          <w:sz w:val="20"/>
          <w:szCs w:val="20"/>
        </w:rPr>
        <w:t>CPI</w:t>
      </w:r>
      <w:r w:rsidRPr="006568D1">
        <w:rPr>
          <w:rFonts w:ascii="Times New Roman" w:hAnsi="Times New Roman" w:cs="Times New Roman"/>
          <w:sz w:val="20"/>
          <w:szCs w:val="20"/>
        </w:rPr>
        <w:t>), Baa-Aaa corporate bond yield spread (</w:t>
      </w:r>
      <w:r w:rsidRPr="006568D1">
        <w:rPr>
          <w:rFonts w:ascii="Times New Roman" w:hAnsi="Times New Roman" w:cs="Times New Roman" w:hint="eastAsia"/>
          <w:i/>
          <w:sz w:val="20"/>
          <w:szCs w:val="20"/>
        </w:rPr>
        <w:t>Credit_Spr</w:t>
      </w:r>
      <w:r w:rsidRPr="006568D1">
        <w:rPr>
          <w:rFonts w:ascii="Times New Roman" w:hAnsi="Times New Roman" w:cs="Times New Roman"/>
          <w:sz w:val="20"/>
          <w:szCs w:val="20"/>
        </w:rPr>
        <w:t>), 10-1 year Treasury yield spread (</w:t>
      </w:r>
      <w:r w:rsidRPr="006568D1">
        <w:rPr>
          <w:rFonts w:ascii="Times New Roman" w:hAnsi="Times New Roman" w:cs="Times New Roman"/>
          <w:i/>
          <w:sz w:val="20"/>
          <w:szCs w:val="20"/>
        </w:rPr>
        <w:t>Term_Spr</w:t>
      </w:r>
      <w:r w:rsidRPr="006568D1">
        <w:rPr>
          <w:rFonts w:ascii="Times New Roman" w:hAnsi="Times New Roman" w:cs="Times New Roman"/>
          <w:sz w:val="20"/>
          <w:szCs w:val="20"/>
        </w:rPr>
        <w:t>), and change in the</w:t>
      </w:r>
      <w:r w:rsidRPr="006568D1">
        <w:rPr>
          <w:rFonts w:ascii="Times New Roman" w:hAnsi="Times New Roman" w:cs="Times New Roman"/>
          <w:b/>
          <w:sz w:val="20"/>
          <w:szCs w:val="20"/>
        </w:rPr>
        <w:t xml:space="preserve"> </w:t>
      </w:r>
      <w:r w:rsidRPr="006568D1">
        <w:rPr>
          <w:rFonts w:ascii="Times New Roman" w:hAnsi="Times New Roman" w:cs="Times New Roman"/>
          <w:sz w:val="20"/>
          <w:szCs w:val="20"/>
        </w:rPr>
        <w:t>Index of Consumer Sentiment from the University of Michigan (</w:t>
      </w:r>
      <w:r w:rsidRPr="006568D1">
        <w:rPr>
          <w:rFonts w:ascii="Times New Roman" w:hAnsi="Times New Roman" w:cs="Times New Roman" w:hint="eastAsia"/>
          <w:i/>
          <w:sz w:val="20"/>
          <w:szCs w:val="20"/>
        </w:rPr>
        <w:t>C</w:t>
      </w:r>
      <w:r w:rsidRPr="006568D1">
        <w:rPr>
          <w:rFonts w:ascii="Times New Roman" w:hAnsi="Times New Roman" w:cs="Times New Roman"/>
          <w:i/>
          <w:sz w:val="20"/>
          <w:szCs w:val="20"/>
        </w:rPr>
        <w:t>SI</w:t>
      </w:r>
      <w:r w:rsidRPr="006568D1">
        <w:rPr>
          <w:rFonts w:ascii="Times New Roman" w:hAnsi="Times New Roman" w:cs="Times New Roman"/>
          <w:sz w:val="20"/>
          <w:szCs w:val="20"/>
        </w:rPr>
        <w:t>) and t</w:t>
      </w:r>
      <w:r w:rsidRPr="006568D1">
        <w:rPr>
          <w:rFonts w:ascii="Times New Roman" w:hAnsi="Times New Roman" w:cs="Times New Roman"/>
          <w:sz w:val="20"/>
          <w:szCs w:val="20"/>
          <w:lang w:eastAsia="zh-HK"/>
        </w:rPr>
        <w:t xml:space="preserve">heir coefficients </w:t>
      </w:r>
      <w:r w:rsidRPr="006568D1">
        <w:rPr>
          <w:rFonts w:ascii="Times New Roman" w:hAnsi="Times New Roman" w:cs="Times New Roman" w:hint="eastAsia"/>
          <w:sz w:val="20"/>
          <w:szCs w:val="20"/>
          <w:lang w:eastAsia="zh-HK"/>
        </w:rPr>
        <w:t>a</w:t>
      </w:r>
      <w:r w:rsidRPr="006568D1">
        <w:rPr>
          <w:rFonts w:ascii="Times New Roman" w:hAnsi="Times New Roman" w:cs="Times New Roman"/>
          <w:sz w:val="20"/>
          <w:szCs w:val="20"/>
          <w:lang w:eastAsia="zh-HK"/>
        </w:rPr>
        <w:t>re not reported in the table</w:t>
      </w:r>
      <w:r w:rsidRPr="006568D1">
        <w:rPr>
          <w:rFonts w:ascii="Times New Roman" w:hAnsi="Times New Roman" w:cs="Times New Roman"/>
          <w:sz w:val="20"/>
          <w:szCs w:val="20"/>
        </w:rPr>
        <w:t xml:space="preserve">. </w:t>
      </w:r>
      <w:r w:rsidRPr="006568D1">
        <w:rPr>
          <w:rFonts w:ascii="Times New Roman" w:hAnsi="Times New Roman" w:cs="Times New Roman"/>
          <w:i/>
          <w:sz w:val="20"/>
          <w:szCs w:val="20"/>
        </w:rPr>
        <w:t>EPU</w:t>
      </w:r>
      <w:r w:rsidRPr="006568D1">
        <w:rPr>
          <w:rFonts w:ascii="Times New Roman" w:hAnsi="Times New Roman" w:cs="Times New Roman"/>
          <w:sz w:val="20"/>
          <w:szCs w:val="20"/>
        </w:rPr>
        <w:t xml:space="preserve"> </w:t>
      </w:r>
      <w:r w:rsidRPr="006568D1">
        <w:rPr>
          <w:rFonts w:ascii="Times New Roman" w:hAnsi="Times New Roman" w:cs="Times New Roman" w:hint="eastAsia"/>
          <w:sz w:val="20"/>
          <w:szCs w:val="20"/>
        </w:rPr>
        <w:t xml:space="preserve">is the </w:t>
      </w:r>
      <w:r w:rsidRPr="006568D1">
        <w:rPr>
          <w:rFonts w:ascii="Times New Roman" w:hAnsi="Times New Roman" w:cs="Times New Roman"/>
          <w:sz w:val="20"/>
          <w:szCs w:val="20"/>
        </w:rPr>
        <w:t xml:space="preserve">index of </w:t>
      </w:r>
      <w:r w:rsidRPr="006568D1">
        <w:rPr>
          <w:rFonts w:ascii="Times New Roman" w:hAnsi="Times New Roman" w:cs="Times New Roman" w:hint="eastAsia"/>
          <w:sz w:val="20"/>
          <w:szCs w:val="20"/>
        </w:rPr>
        <w:t xml:space="preserve">news-based economic policy uncertainty </w:t>
      </w:r>
      <w:r w:rsidRPr="006568D1">
        <w:rPr>
          <w:rFonts w:ascii="Times New Roman" w:hAnsi="Times New Roman" w:cs="Times New Roman"/>
          <w:sz w:val="20"/>
          <w:szCs w:val="20"/>
        </w:rPr>
        <w:t xml:space="preserve">developed by Baker et al. (2016) and </w:t>
      </w:r>
      <w:r w:rsidRPr="006568D1">
        <w:rPr>
          <w:rFonts w:ascii="Times New Roman" w:hAnsi="Times New Roman" w:cs="Times New Roman"/>
          <w:i/>
          <w:sz w:val="20"/>
          <w:szCs w:val="20"/>
        </w:rPr>
        <w:t>MU</w:t>
      </w:r>
      <w:r w:rsidRPr="006568D1">
        <w:rPr>
          <w:rFonts w:ascii="Times New Roman" w:hAnsi="Times New Roman" w:cs="Times New Roman"/>
          <w:sz w:val="20"/>
          <w:szCs w:val="20"/>
        </w:rPr>
        <w:t xml:space="preserve"> is measure of macroeconomic uncertainty developed by Jurado et al. (2015). The definitions of other variables are provided in Table A</w:t>
      </w:r>
      <w:r>
        <w:rPr>
          <w:rFonts w:ascii="Times New Roman" w:hAnsi="Times New Roman" w:cs="Times New Roman"/>
          <w:sz w:val="20"/>
          <w:szCs w:val="20"/>
        </w:rPr>
        <w:t>2</w:t>
      </w:r>
      <w:r w:rsidRPr="006568D1">
        <w:rPr>
          <w:rFonts w:ascii="Times New Roman" w:hAnsi="Times New Roman" w:cs="Times New Roman"/>
          <w:sz w:val="20"/>
          <w:szCs w:val="20"/>
        </w:rPr>
        <w:t>. P-values reported in parentheses are</w:t>
      </w:r>
      <w:r>
        <w:rPr>
          <w:rFonts w:ascii="Times New Roman" w:hAnsi="Times New Roman" w:cs="Times New Roman"/>
          <w:sz w:val="20"/>
          <w:szCs w:val="20"/>
        </w:rPr>
        <w:t xml:space="preserve"> </w:t>
      </w:r>
      <w:r w:rsidRPr="006568D1">
        <w:rPr>
          <w:rFonts w:ascii="Times New Roman" w:hAnsi="Times New Roman" w:cs="Times New Roman"/>
          <w:sz w:val="20"/>
          <w:szCs w:val="20"/>
        </w:rPr>
        <w:t>based on Newey-West heteroskedasticity and autocorrelation consistent standard errors.</w:t>
      </w:r>
    </w:p>
    <w:p w14:paraId="0E2CCBA9" w14:textId="77777777" w:rsidR="00C653E8" w:rsidRDefault="00C653E8" w:rsidP="00AF648E">
      <w:pPr>
        <w:spacing w:after="0"/>
        <w:rPr>
          <w:rFonts w:ascii="Times New Roman" w:hAnsi="Times New Roman" w:cs="Times New Roman"/>
          <w:sz w:val="24"/>
          <w:szCs w:val="24"/>
        </w:rPr>
      </w:pPr>
      <w:r>
        <w:rPr>
          <w:rFonts w:ascii="Times New Roman" w:hAnsi="Times New Roman" w:cs="Times New Roman"/>
          <w:sz w:val="24"/>
          <w:szCs w:val="24"/>
        </w:rPr>
        <w:br w:type="page"/>
      </w:r>
    </w:p>
    <w:p w14:paraId="3899CD51" w14:textId="3DD42218" w:rsidR="00AF648E" w:rsidRPr="00FF4169" w:rsidRDefault="00AF648E" w:rsidP="00AF648E">
      <w:pPr>
        <w:spacing w:after="0"/>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hint="eastAsia"/>
          <w:sz w:val="24"/>
          <w:szCs w:val="24"/>
        </w:rPr>
        <w:t xml:space="preserve"> </w:t>
      </w:r>
      <w:r w:rsidRPr="00FF4169">
        <w:rPr>
          <w:rFonts w:ascii="Times New Roman" w:hAnsi="Times New Roman" w:cs="Times New Roman"/>
          <w:sz w:val="24"/>
          <w:szCs w:val="24"/>
        </w:rPr>
        <w:t>A</w:t>
      </w:r>
      <w:r>
        <w:rPr>
          <w:rFonts w:ascii="Times New Roman" w:hAnsi="Times New Roman" w:cs="Times New Roman"/>
          <w:sz w:val="24"/>
          <w:szCs w:val="24"/>
        </w:rPr>
        <w:t>2</w:t>
      </w:r>
    </w:p>
    <w:p w14:paraId="7F667BCE" w14:textId="64D808EA" w:rsidR="00AF648E" w:rsidRPr="00FF4169" w:rsidRDefault="00E43E06" w:rsidP="00AF648E">
      <w:pPr>
        <w:spacing w:after="0"/>
        <w:rPr>
          <w:rFonts w:ascii="Times New Roman" w:hAnsi="Times New Roman" w:cs="Times New Roman"/>
          <w:sz w:val="24"/>
          <w:szCs w:val="24"/>
        </w:rPr>
      </w:pPr>
      <w:r w:rsidRPr="00FF4169">
        <w:rPr>
          <w:rFonts w:ascii="Times New Roman" w:hAnsi="Times New Roman" w:cs="Times New Roman"/>
          <w:sz w:val="24"/>
          <w:szCs w:val="24"/>
        </w:rPr>
        <w:t>VARIABLE DEFINITIONS AND DATA SOURCES</w:t>
      </w:r>
    </w:p>
    <w:tbl>
      <w:tblPr>
        <w:tblStyle w:val="af4"/>
        <w:tblW w:w="8364" w:type="dxa"/>
        <w:tblBorders>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447"/>
        <w:gridCol w:w="6917"/>
      </w:tblGrid>
      <w:tr w:rsidR="00AF648E" w14:paraId="7DADD9EE" w14:textId="77777777" w:rsidTr="0029437B">
        <w:trPr>
          <w:trHeight w:val="340"/>
        </w:trPr>
        <w:tc>
          <w:tcPr>
            <w:tcW w:w="1447" w:type="dxa"/>
            <w:tcBorders>
              <w:top w:val="single" w:sz="4" w:space="0" w:color="auto"/>
              <w:bottom w:val="single" w:sz="4" w:space="0" w:color="auto"/>
            </w:tcBorders>
            <w:vAlign w:val="center"/>
          </w:tcPr>
          <w:p w14:paraId="19A896CF"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sidRPr="004E6AA6">
              <w:rPr>
                <w:rFonts w:ascii="Times New Roman" w:hAnsi="Times New Roman" w:cs="Times New Roman"/>
                <w:sz w:val="20"/>
                <w:szCs w:val="20"/>
              </w:rPr>
              <w:t>V</w:t>
            </w:r>
            <w:r w:rsidRPr="004E6AA6">
              <w:rPr>
                <w:rFonts w:ascii="Times New Roman" w:hAnsi="Times New Roman" w:cs="Times New Roman" w:hint="eastAsia"/>
                <w:sz w:val="20"/>
                <w:szCs w:val="20"/>
              </w:rPr>
              <w:t>ariable</w:t>
            </w:r>
          </w:p>
        </w:tc>
        <w:tc>
          <w:tcPr>
            <w:tcW w:w="6917" w:type="dxa"/>
            <w:tcBorders>
              <w:top w:val="single" w:sz="4" w:space="0" w:color="auto"/>
              <w:bottom w:val="single" w:sz="4" w:space="0" w:color="auto"/>
              <w:right w:val="nil"/>
            </w:tcBorders>
            <w:vAlign w:val="center"/>
          </w:tcPr>
          <w:p w14:paraId="73AE382C"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sidRPr="004E6AA6">
              <w:rPr>
                <w:rFonts w:ascii="Times New Roman" w:hAnsi="Times New Roman" w:cs="Times New Roman"/>
                <w:sz w:val="20"/>
                <w:szCs w:val="20"/>
              </w:rPr>
              <w:t>D</w:t>
            </w:r>
            <w:r w:rsidRPr="004E6AA6">
              <w:rPr>
                <w:rFonts w:ascii="Times New Roman" w:hAnsi="Times New Roman" w:cs="Times New Roman" w:hint="eastAsia"/>
                <w:sz w:val="20"/>
                <w:szCs w:val="20"/>
              </w:rPr>
              <w:t>efinition</w:t>
            </w:r>
          </w:p>
        </w:tc>
      </w:tr>
      <w:tr w:rsidR="00AF648E" w14:paraId="21DE78DA" w14:textId="77777777" w:rsidTr="0029437B">
        <w:trPr>
          <w:trHeight w:val="340"/>
        </w:trPr>
        <w:tc>
          <w:tcPr>
            <w:tcW w:w="8364" w:type="dxa"/>
            <w:gridSpan w:val="2"/>
            <w:tcBorders>
              <w:top w:val="single" w:sz="4" w:space="0" w:color="auto"/>
              <w:bottom w:val="nil"/>
            </w:tcBorders>
            <w:vAlign w:val="center"/>
          </w:tcPr>
          <w:p w14:paraId="118E79AC"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Key and control independent variables</w:t>
            </w:r>
          </w:p>
        </w:tc>
      </w:tr>
      <w:tr w:rsidR="00AF648E" w:rsidRPr="007C1747" w14:paraId="7650F13E" w14:textId="77777777" w:rsidTr="0029437B">
        <w:trPr>
          <w:trHeight w:val="340"/>
        </w:trPr>
        <w:tc>
          <w:tcPr>
            <w:tcW w:w="1447" w:type="dxa"/>
            <w:tcBorders>
              <w:top w:val="nil"/>
              <w:bottom w:val="nil"/>
            </w:tcBorders>
            <w:vAlign w:val="center"/>
          </w:tcPr>
          <w:p w14:paraId="6ECF13F7" w14:textId="77777777" w:rsidR="00AF648E" w:rsidRPr="004E6AA6"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hint="eastAsia"/>
                <w:i/>
                <w:sz w:val="20"/>
                <w:szCs w:val="20"/>
              </w:rPr>
              <w:t>VRP</w:t>
            </w:r>
          </w:p>
        </w:tc>
        <w:tc>
          <w:tcPr>
            <w:tcW w:w="6917" w:type="dxa"/>
            <w:tcBorders>
              <w:top w:val="nil"/>
              <w:bottom w:val="nil"/>
              <w:right w:val="nil"/>
            </w:tcBorders>
            <w:vAlign w:val="center"/>
          </w:tcPr>
          <w:p w14:paraId="193DE398"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sidRPr="004E6AA6">
              <w:rPr>
                <w:rFonts w:ascii="Times New Roman" w:hAnsi="Times New Roman" w:cs="Times New Roman"/>
                <w:sz w:val="20"/>
                <w:szCs w:val="20"/>
              </w:rPr>
              <w:t xml:space="preserve">Quarterly average </w:t>
            </w:r>
            <w:r>
              <w:rPr>
                <w:rFonts w:ascii="Times New Roman" w:hAnsi="Times New Roman" w:cs="Times New Roman"/>
                <w:sz w:val="20"/>
                <w:szCs w:val="20"/>
              </w:rPr>
              <w:t>of the monthly variance</w:t>
            </w:r>
            <w:r w:rsidRPr="004E6AA6">
              <w:rPr>
                <w:rFonts w:ascii="Times New Roman" w:hAnsi="Times New Roman" w:cs="Times New Roman" w:hint="eastAsia"/>
                <w:sz w:val="20"/>
                <w:szCs w:val="20"/>
              </w:rPr>
              <w:t xml:space="preserve"> risk premium</w:t>
            </w:r>
            <w:r>
              <w:rPr>
                <w:rFonts w:ascii="Times New Roman" w:hAnsi="Times New Roman" w:cs="Times New Roman"/>
                <w:sz w:val="20"/>
                <w:szCs w:val="20"/>
              </w:rPr>
              <w:t xml:space="preserve"> (or end-of-the-month variance</w:t>
            </w:r>
            <w:r w:rsidRPr="004E6AA6">
              <w:rPr>
                <w:rFonts w:ascii="Times New Roman" w:hAnsi="Times New Roman" w:cs="Times New Roman" w:hint="eastAsia"/>
                <w:sz w:val="20"/>
                <w:szCs w:val="20"/>
              </w:rPr>
              <w:t xml:space="preserve"> risk premium</w:t>
            </w:r>
            <w:r>
              <w:rPr>
                <w:rFonts w:ascii="Times New Roman" w:hAnsi="Times New Roman" w:cs="Times New Roman"/>
                <w:sz w:val="20"/>
                <w:szCs w:val="20"/>
              </w:rPr>
              <w:t xml:space="preserve"> when the dependent variable is from STBL).</w:t>
            </w:r>
          </w:p>
        </w:tc>
      </w:tr>
      <w:tr w:rsidR="00AF648E" w:rsidRPr="007C1747" w14:paraId="5C8122DC" w14:textId="77777777" w:rsidTr="0029437B">
        <w:trPr>
          <w:trHeight w:val="340"/>
        </w:trPr>
        <w:tc>
          <w:tcPr>
            <w:tcW w:w="1447" w:type="dxa"/>
            <w:tcBorders>
              <w:top w:val="nil"/>
              <w:bottom w:val="nil"/>
            </w:tcBorders>
            <w:vAlign w:val="center"/>
          </w:tcPr>
          <w:p w14:paraId="1A43CC1D" w14:textId="77777777" w:rsidR="00AF648E" w:rsidRPr="0025430C" w:rsidRDefault="00AF648E" w:rsidP="0029437B">
            <w:pPr>
              <w:spacing w:before="100" w:beforeAutospacing="1" w:after="100" w:afterAutospacing="1" w:line="280" w:lineRule="exact"/>
              <w:ind w:firstLineChars="62" w:firstLine="124"/>
              <w:jc w:val="both"/>
              <w:rPr>
                <w:rFonts w:ascii="Times New Roman" w:eastAsia="新細明體" w:hAnsi="Times New Roman" w:cs="Times New Roman"/>
                <w:i/>
                <w:sz w:val="20"/>
                <w:szCs w:val="20"/>
              </w:rPr>
            </w:pPr>
            <w:r>
              <w:rPr>
                <w:rFonts w:ascii="Times New Roman" w:eastAsia="新細明體" w:hAnsi="Times New Roman" w:cs="Times New Roman" w:hint="eastAsia"/>
                <w:i/>
                <w:sz w:val="20"/>
                <w:szCs w:val="20"/>
              </w:rPr>
              <w:t>logVRP</w:t>
            </w:r>
          </w:p>
        </w:tc>
        <w:tc>
          <w:tcPr>
            <w:tcW w:w="6917" w:type="dxa"/>
            <w:tcBorders>
              <w:top w:val="nil"/>
              <w:bottom w:val="nil"/>
              <w:right w:val="nil"/>
            </w:tcBorders>
            <w:vAlign w:val="center"/>
          </w:tcPr>
          <w:p w14:paraId="35FA404A" w14:textId="77777777" w:rsidR="00AF648E" w:rsidRPr="0025430C" w:rsidRDefault="00AF648E" w:rsidP="0029437B">
            <w:pPr>
              <w:spacing w:before="100" w:beforeAutospacing="1" w:after="100" w:afterAutospacing="1" w:line="280" w:lineRule="exact"/>
              <w:jc w:val="both"/>
              <w:rPr>
                <w:rFonts w:ascii="Times New Roman" w:eastAsia="新細明體" w:hAnsi="Times New Roman" w:cs="Times New Roman"/>
                <w:sz w:val="20"/>
                <w:szCs w:val="20"/>
              </w:rPr>
            </w:pPr>
            <w:r>
              <w:rPr>
                <w:rFonts w:ascii="Times New Roman" w:eastAsia="新細明體" w:hAnsi="Times New Roman" w:cs="Times New Roman"/>
                <w:sz w:val="20"/>
                <w:szCs w:val="20"/>
              </w:rPr>
              <w:t>T</w:t>
            </w:r>
            <w:r>
              <w:rPr>
                <w:rFonts w:ascii="Times New Roman" w:eastAsia="新細明體" w:hAnsi="Times New Roman" w:cs="Times New Roman" w:hint="eastAsia"/>
                <w:sz w:val="20"/>
                <w:szCs w:val="20"/>
              </w:rPr>
              <w:t xml:space="preserve">he natural logarithm of </w:t>
            </w:r>
            <w:r w:rsidRPr="0025430C">
              <w:rPr>
                <w:rFonts w:ascii="Times New Roman" w:eastAsia="新細明體" w:hAnsi="Times New Roman" w:cs="Times New Roman" w:hint="eastAsia"/>
                <w:i/>
                <w:sz w:val="20"/>
                <w:szCs w:val="20"/>
              </w:rPr>
              <w:t>VRP</w:t>
            </w:r>
            <w:r>
              <w:rPr>
                <w:rFonts w:ascii="Times New Roman" w:eastAsia="新細明體" w:hAnsi="Times New Roman" w:cs="Times New Roman" w:hint="eastAsia"/>
                <w:sz w:val="20"/>
                <w:szCs w:val="20"/>
              </w:rPr>
              <w:t>.</w:t>
            </w:r>
          </w:p>
        </w:tc>
      </w:tr>
      <w:tr w:rsidR="00AF648E" w14:paraId="0518C1B5" w14:textId="77777777" w:rsidTr="0029437B">
        <w:trPr>
          <w:trHeight w:val="340"/>
        </w:trPr>
        <w:tc>
          <w:tcPr>
            <w:tcW w:w="1447" w:type="dxa"/>
            <w:tcBorders>
              <w:top w:val="nil"/>
              <w:bottom w:val="nil"/>
            </w:tcBorders>
            <w:vAlign w:val="center"/>
          </w:tcPr>
          <w:p w14:paraId="612332CD" w14:textId="77777777" w:rsidR="00AF648E" w:rsidRPr="004E6AA6"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sidRPr="004E6AA6">
              <w:rPr>
                <w:rFonts w:ascii="Times New Roman" w:hAnsi="Times New Roman" w:cs="Times New Roman"/>
                <w:i/>
                <w:sz w:val="20"/>
                <w:szCs w:val="20"/>
              </w:rPr>
              <w:t>∆</w:t>
            </w:r>
            <w:r w:rsidRPr="004E6AA6">
              <w:rPr>
                <w:rFonts w:ascii="Times New Roman" w:hAnsi="Times New Roman" w:cs="Times New Roman" w:hint="eastAsia"/>
                <w:i/>
                <w:sz w:val="20"/>
                <w:szCs w:val="20"/>
              </w:rPr>
              <w:t>CI_</w:t>
            </w:r>
            <w:r>
              <w:rPr>
                <w:rFonts w:ascii="Times New Roman" w:hAnsi="Times New Roman" w:cs="Times New Roman"/>
                <w:i/>
                <w:sz w:val="20"/>
                <w:szCs w:val="20"/>
              </w:rPr>
              <w:t>L</w:t>
            </w:r>
            <w:r w:rsidRPr="004E6AA6">
              <w:rPr>
                <w:rFonts w:ascii="Times New Roman" w:hAnsi="Times New Roman" w:cs="Times New Roman" w:hint="eastAsia"/>
                <w:i/>
                <w:sz w:val="20"/>
                <w:szCs w:val="20"/>
              </w:rPr>
              <w:t>oan</w:t>
            </w:r>
          </w:p>
        </w:tc>
        <w:tc>
          <w:tcPr>
            <w:tcW w:w="6917" w:type="dxa"/>
            <w:tcBorders>
              <w:top w:val="nil"/>
              <w:bottom w:val="nil"/>
              <w:right w:val="nil"/>
            </w:tcBorders>
            <w:vAlign w:val="center"/>
          </w:tcPr>
          <w:p w14:paraId="1E60DD5C"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C</w:t>
            </w:r>
            <w:r w:rsidRPr="004E6AA6">
              <w:rPr>
                <w:rFonts w:ascii="Times New Roman" w:hAnsi="Times New Roman" w:cs="Times New Roman" w:hint="eastAsia"/>
                <w:sz w:val="20"/>
                <w:szCs w:val="20"/>
              </w:rPr>
              <w:t xml:space="preserve">hange in total </w:t>
            </w:r>
            <w:r w:rsidRPr="004E6AA6">
              <w:rPr>
                <w:rFonts w:ascii="Times New Roman" w:hAnsi="Times New Roman" w:cs="Times New Roman"/>
                <w:sz w:val="20"/>
                <w:szCs w:val="20"/>
              </w:rPr>
              <w:t>commercial and industrial loans</w:t>
            </w:r>
            <w:r>
              <w:rPr>
                <w:rFonts w:ascii="Times New Roman" w:hAnsi="Times New Roman" w:cs="Times New Roman"/>
                <w:sz w:val="20"/>
                <w:szCs w:val="20"/>
              </w:rPr>
              <w:t>.</w:t>
            </w:r>
          </w:p>
        </w:tc>
      </w:tr>
      <w:tr w:rsidR="00AF648E" w14:paraId="76253DBC" w14:textId="77777777" w:rsidTr="0029437B">
        <w:trPr>
          <w:trHeight w:val="340"/>
        </w:trPr>
        <w:tc>
          <w:tcPr>
            <w:tcW w:w="1447" w:type="dxa"/>
            <w:tcBorders>
              <w:top w:val="nil"/>
              <w:bottom w:val="nil"/>
            </w:tcBorders>
            <w:vAlign w:val="center"/>
          </w:tcPr>
          <w:p w14:paraId="21CBE179" w14:textId="77777777" w:rsidR="00AF648E" w:rsidRPr="004E6AA6"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sidRPr="004E6AA6">
              <w:rPr>
                <w:rFonts w:ascii="Times New Roman" w:hAnsi="Times New Roman" w:cs="Times New Roman" w:hint="eastAsia"/>
                <w:i/>
                <w:sz w:val="20"/>
                <w:szCs w:val="20"/>
              </w:rPr>
              <w:t>F</w:t>
            </w:r>
            <w:r>
              <w:rPr>
                <w:rFonts w:ascii="Times New Roman" w:hAnsi="Times New Roman" w:cs="Times New Roman"/>
                <w:i/>
                <w:sz w:val="20"/>
                <w:szCs w:val="20"/>
              </w:rPr>
              <w:t>F</w:t>
            </w:r>
            <w:r w:rsidRPr="004E6AA6">
              <w:rPr>
                <w:rFonts w:ascii="Times New Roman" w:hAnsi="Times New Roman" w:cs="Times New Roman" w:hint="eastAsia"/>
                <w:i/>
                <w:sz w:val="20"/>
                <w:szCs w:val="20"/>
              </w:rPr>
              <w:t>_</w:t>
            </w:r>
            <w:r>
              <w:rPr>
                <w:rFonts w:ascii="Times New Roman" w:hAnsi="Times New Roman" w:cs="Times New Roman"/>
                <w:i/>
                <w:sz w:val="20"/>
                <w:szCs w:val="20"/>
              </w:rPr>
              <w:t>R</w:t>
            </w:r>
            <w:r w:rsidRPr="004E6AA6">
              <w:rPr>
                <w:rFonts w:ascii="Times New Roman" w:hAnsi="Times New Roman" w:cs="Times New Roman" w:hint="eastAsia"/>
                <w:i/>
                <w:sz w:val="20"/>
                <w:szCs w:val="20"/>
              </w:rPr>
              <w:t>ate</w:t>
            </w:r>
          </w:p>
        </w:tc>
        <w:tc>
          <w:tcPr>
            <w:tcW w:w="6917" w:type="dxa"/>
            <w:tcBorders>
              <w:top w:val="nil"/>
              <w:bottom w:val="nil"/>
              <w:right w:val="nil"/>
            </w:tcBorders>
            <w:vAlign w:val="center"/>
          </w:tcPr>
          <w:p w14:paraId="25959296"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sidRPr="004E6AA6">
              <w:rPr>
                <w:rFonts w:ascii="Times New Roman" w:hAnsi="Times New Roman" w:cs="Times New Roman"/>
                <w:sz w:val="20"/>
                <w:szCs w:val="20"/>
              </w:rPr>
              <w:t xml:space="preserve">Quarterly </w:t>
            </w:r>
            <w:r>
              <w:rPr>
                <w:rFonts w:ascii="Times New Roman" w:hAnsi="Times New Roman" w:cs="Times New Roman"/>
                <w:sz w:val="20"/>
                <w:szCs w:val="20"/>
              </w:rPr>
              <w:t>average in</w:t>
            </w:r>
            <w:r w:rsidRPr="004E6AA6">
              <w:rPr>
                <w:rFonts w:ascii="Times New Roman" w:hAnsi="Times New Roman" w:cs="Times New Roman"/>
                <w:sz w:val="20"/>
                <w:szCs w:val="20"/>
              </w:rPr>
              <w:t xml:space="preserve"> f</w:t>
            </w:r>
            <w:r w:rsidRPr="004E6AA6">
              <w:rPr>
                <w:rFonts w:ascii="Times New Roman" w:hAnsi="Times New Roman" w:cs="Times New Roman" w:hint="eastAsia"/>
                <w:sz w:val="20"/>
                <w:szCs w:val="20"/>
              </w:rPr>
              <w:t>ederal funds rate</w:t>
            </w:r>
            <w:r>
              <w:rPr>
                <w:rFonts w:ascii="Times New Roman" w:hAnsi="Times New Roman" w:cs="Times New Roman"/>
                <w:sz w:val="20"/>
                <w:szCs w:val="20"/>
              </w:rPr>
              <w:t>.</w:t>
            </w:r>
          </w:p>
        </w:tc>
      </w:tr>
      <w:tr w:rsidR="00AF648E" w14:paraId="780012ED" w14:textId="77777777" w:rsidTr="0029437B">
        <w:trPr>
          <w:trHeight w:val="340"/>
        </w:trPr>
        <w:tc>
          <w:tcPr>
            <w:tcW w:w="1447" w:type="dxa"/>
            <w:tcBorders>
              <w:top w:val="nil"/>
            </w:tcBorders>
            <w:vAlign w:val="center"/>
          </w:tcPr>
          <w:p w14:paraId="0DBE4CD0" w14:textId="77777777" w:rsidR="00AF648E" w:rsidRPr="004E6AA6"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sidRPr="004E6AA6">
              <w:rPr>
                <w:rFonts w:ascii="Times New Roman" w:hAnsi="Times New Roman" w:cs="Times New Roman" w:hint="eastAsia"/>
                <w:i/>
                <w:sz w:val="20"/>
                <w:szCs w:val="20"/>
              </w:rPr>
              <w:t>GDP</w:t>
            </w:r>
          </w:p>
        </w:tc>
        <w:tc>
          <w:tcPr>
            <w:tcW w:w="6917" w:type="dxa"/>
            <w:tcBorders>
              <w:top w:val="nil"/>
              <w:right w:val="nil"/>
            </w:tcBorders>
            <w:vAlign w:val="center"/>
          </w:tcPr>
          <w:p w14:paraId="5895703F"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Percentage change in r</w:t>
            </w:r>
            <w:r w:rsidRPr="004E6AA6">
              <w:rPr>
                <w:rFonts w:ascii="Times New Roman" w:hAnsi="Times New Roman" w:cs="Times New Roman" w:hint="eastAsia"/>
                <w:sz w:val="20"/>
                <w:szCs w:val="20"/>
              </w:rPr>
              <w:t xml:space="preserve">eal </w:t>
            </w:r>
            <w:r w:rsidRPr="004E6AA6">
              <w:rPr>
                <w:rFonts w:ascii="Times New Roman" w:hAnsi="Times New Roman" w:cs="Times New Roman"/>
                <w:sz w:val="20"/>
                <w:szCs w:val="20"/>
              </w:rPr>
              <w:t>GDP</w:t>
            </w:r>
            <w:r>
              <w:rPr>
                <w:rFonts w:ascii="Times New Roman" w:hAnsi="Times New Roman" w:cs="Times New Roman"/>
                <w:sz w:val="20"/>
                <w:szCs w:val="20"/>
              </w:rPr>
              <w:t xml:space="preserve"> (seasonally adjusted).</w:t>
            </w:r>
          </w:p>
        </w:tc>
      </w:tr>
      <w:tr w:rsidR="00AF648E" w14:paraId="32A88299" w14:textId="77777777" w:rsidTr="0029437B">
        <w:trPr>
          <w:trHeight w:val="340"/>
        </w:trPr>
        <w:tc>
          <w:tcPr>
            <w:tcW w:w="1447" w:type="dxa"/>
            <w:vAlign w:val="center"/>
          </w:tcPr>
          <w:p w14:paraId="35E2F979" w14:textId="77777777" w:rsidR="00AF648E" w:rsidRPr="004E6AA6"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i/>
                <w:sz w:val="20"/>
                <w:szCs w:val="20"/>
              </w:rPr>
              <w:t>CPI</w:t>
            </w:r>
          </w:p>
        </w:tc>
        <w:tc>
          <w:tcPr>
            <w:tcW w:w="6917" w:type="dxa"/>
            <w:tcBorders>
              <w:right w:val="nil"/>
            </w:tcBorders>
            <w:vAlign w:val="center"/>
          </w:tcPr>
          <w:p w14:paraId="5F8955AC"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Percentage change in Consumer P</w:t>
            </w:r>
            <w:r w:rsidRPr="007E3768">
              <w:rPr>
                <w:rFonts w:ascii="Times New Roman" w:hAnsi="Times New Roman" w:cs="Times New Roman"/>
                <w:sz w:val="20"/>
                <w:szCs w:val="20"/>
              </w:rPr>
              <w:t xml:space="preserve">rice </w:t>
            </w:r>
            <w:r>
              <w:rPr>
                <w:rFonts w:ascii="Times New Roman" w:hAnsi="Times New Roman" w:cs="Times New Roman"/>
                <w:sz w:val="20"/>
                <w:szCs w:val="20"/>
              </w:rPr>
              <w:t>I</w:t>
            </w:r>
            <w:r w:rsidRPr="007E3768">
              <w:rPr>
                <w:rFonts w:ascii="Times New Roman" w:hAnsi="Times New Roman" w:cs="Times New Roman"/>
                <w:sz w:val="20"/>
                <w:szCs w:val="20"/>
              </w:rPr>
              <w:t>ndex</w:t>
            </w:r>
            <w:r>
              <w:rPr>
                <w:rFonts w:ascii="Times New Roman" w:hAnsi="Times New Roman" w:cs="Times New Roman"/>
                <w:sz w:val="20"/>
                <w:szCs w:val="20"/>
              </w:rPr>
              <w:t xml:space="preserve"> (seasonally adjusted).</w:t>
            </w:r>
          </w:p>
        </w:tc>
      </w:tr>
      <w:tr w:rsidR="00AF648E" w14:paraId="2BFAEDAB" w14:textId="77777777" w:rsidTr="0029437B">
        <w:trPr>
          <w:trHeight w:val="340"/>
        </w:trPr>
        <w:tc>
          <w:tcPr>
            <w:tcW w:w="1447" w:type="dxa"/>
            <w:vAlign w:val="center"/>
          </w:tcPr>
          <w:p w14:paraId="05A6FCA1" w14:textId="77777777" w:rsidR="00AF648E" w:rsidRPr="007E3768"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i/>
                <w:sz w:val="20"/>
                <w:szCs w:val="20"/>
              </w:rPr>
              <w:t>Credit_Spr</w:t>
            </w:r>
          </w:p>
        </w:tc>
        <w:tc>
          <w:tcPr>
            <w:tcW w:w="6917" w:type="dxa"/>
            <w:tcBorders>
              <w:right w:val="nil"/>
            </w:tcBorders>
            <w:vAlign w:val="center"/>
          </w:tcPr>
          <w:p w14:paraId="7236662E"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Change in the difference between </w:t>
            </w:r>
            <w:r>
              <w:rPr>
                <w:rFonts w:ascii="Times New Roman" w:hAnsi="Times New Roman" w:cs="Times New Roman"/>
                <w:sz w:val="20"/>
                <w:szCs w:val="20"/>
              </w:rPr>
              <w:t>the yields of Baa and Aaa corporate bonds.</w:t>
            </w:r>
          </w:p>
        </w:tc>
      </w:tr>
      <w:tr w:rsidR="00AF648E" w14:paraId="762145DD" w14:textId="77777777" w:rsidTr="0029437B">
        <w:trPr>
          <w:trHeight w:val="340"/>
        </w:trPr>
        <w:tc>
          <w:tcPr>
            <w:tcW w:w="1447" w:type="dxa"/>
            <w:vAlign w:val="center"/>
          </w:tcPr>
          <w:p w14:paraId="547C95CE" w14:textId="77777777" w:rsidR="00AF648E" w:rsidRPr="005355C4"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sidRPr="005355C4">
              <w:rPr>
                <w:rFonts w:ascii="Times New Roman" w:hAnsi="Times New Roman" w:cs="Times New Roman" w:hint="eastAsia"/>
                <w:i/>
                <w:sz w:val="20"/>
                <w:szCs w:val="20"/>
              </w:rPr>
              <w:t>Term_Spr</w:t>
            </w:r>
          </w:p>
        </w:tc>
        <w:tc>
          <w:tcPr>
            <w:tcW w:w="6917" w:type="dxa"/>
            <w:tcBorders>
              <w:right w:val="nil"/>
            </w:tcBorders>
            <w:vAlign w:val="center"/>
          </w:tcPr>
          <w:p w14:paraId="4A8BF420" w14:textId="77777777" w:rsidR="00AF648E" w:rsidRPr="005355C4"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Change in t</w:t>
            </w:r>
            <w:r w:rsidRPr="005355C4">
              <w:rPr>
                <w:rFonts w:ascii="Times New Roman" w:hAnsi="Times New Roman" w:cs="Times New Roman" w:hint="eastAsia"/>
                <w:sz w:val="20"/>
                <w:szCs w:val="20"/>
              </w:rPr>
              <w:t>he difference between the yields of 10-year and 1-year Treasury bonds.</w:t>
            </w:r>
          </w:p>
        </w:tc>
      </w:tr>
      <w:tr w:rsidR="00AF648E" w14:paraId="29045902" w14:textId="77777777" w:rsidTr="0029437B">
        <w:trPr>
          <w:trHeight w:val="340"/>
        </w:trPr>
        <w:tc>
          <w:tcPr>
            <w:tcW w:w="1447" w:type="dxa"/>
            <w:tcBorders>
              <w:bottom w:val="nil"/>
            </w:tcBorders>
            <w:vAlign w:val="center"/>
          </w:tcPr>
          <w:p w14:paraId="7582321B" w14:textId="77777777" w:rsidR="00AF648E" w:rsidRPr="005355C4"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hint="eastAsia"/>
                <w:i/>
                <w:sz w:val="20"/>
                <w:szCs w:val="20"/>
              </w:rPr>
              <w:t>CS</w:t>
            </w:r>
            <w:r>
              <w:rPr>
                <w:rFonts w:ascii="Times New Roman" w:hAnsi="Times New Roman" w:cs="Times New Roman"/>
                <w:i/>
                <w:sz w:val="20"/>
                <w:szCs w:val="20"/>
              </w:rPr>
              <w:t>I</w:t>
            </w:r>
          </w:p>
        </w:tc>
        <w:tc>
          <w:tcPr>
            <w:tcW w:w="6917" w:type="dxa"/>
            <w:tcBorders>
              <w:bottom w:val="nil"/>
              <w:right w:val="nil"/>
            </w:tcBorders>
            <w:vAlign w:val="center"/>
          </w:tcPr>
          <w:p w14:paraId="1EC93BB5" w14:textId="77777777" w:rsidR="00AF648E" w:rsidRPr="005355C4"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Change in </w:t>
            </w:r>
            <w:r w:rsidRPr="009C19AA">
              <w:rPr>
                <w:rFonts w:ascii="Times New Roman" w:hAnsi="Times New Roman" w:cs="Times New Roman"/>
                <w:sz w:val="20"/>
                <w:szCs w:val="20"/>
              </w:rPr>
              <w:t>the Index of Consumer Sentiment from the University of Michigan</w:t>
            </w:r>
            <w:r>
              <w:rPr>
                <w:rFonts w:ascii="Times New Roman" w:hAnsi="Times New Roman" w:cs="Times New Roman"/>
                <w:sz w:val="20"/>
                <w:szCs w:val="20"/>
              </w:rPr>
              <w:t>.</w:t>
            </w:r>
          </w:p>
        </w:tc>
      </w:tr>
      <w:tr w:rsidR="00AF648E" w14:paraId="33B4DAF6" w14:textId="77777777" w:rsidTr="0029437B">
        <w:trPr>
          <w:trHeight w:val="340"/>
        </w:trPr>
        <w:tc>
          <w:tcPr>
            <w:tcW w:w="8364" w:type="dxa"/>
            <w:gridSpan w:val="2"/>
            <w:tcBorders>
              <w:top w:val="single" w:sz="4" w:space="0" w:color="auto"/>
              <w:bottom w:val="nil"/>
            </w:tcBorders>
            <w:vAlign w:val="center"/>
          </w:tcPr>
          <w:p w14:paraId="26D77BCB" w14:textId="4A3013A6" w:rsidR="00AF648E" w:rsidRPr="00723D52" w:rsidRDefault="00AF648E" w:rsidP="0029437B">
            <w:pPr>
              <w:spacing w:before="100" w:beforeAutospacing="1" w:after="100" w:afterAutospacing="1" w:line="280" w:lineRule="exact"/>
              <w:jc w:val="both"/>
              <w:rPr>
                <w:rFonts w:ascii="Times New Roman" w:hAnsi="Times New Roman" w:cs="Times New Roman"/>
                <w:sz w:val="20"/>
                <w:szCs w:val="20"/>
              </w:rPr>
            </w:pPr>
            <w:r w:rsidRPr="00723D52">
              <w:rPr>
                <w:rFonts w:ascii="Times New Roman" w:hAnsi="Times New Roman" w:cs="Times New Roman"/>
                <w:sz w:val="20"/>
                <w:szCs w:val="20"/>
              </w:rPr>
              <w:t>SLOOS data</w:t>
            </w:r>
          </w:p>
        </w:tc>
      </w:tr>
      <w:tr w:rsidR="00AF648E" w14:paraId="6F7A0D2E" w14:textId="77777777" w:rsidTr="0029437B">
        <w:trPr>
          <w:trHeight w:val="340"/>
        </w:trPr>
        <w:tc>
          <w:tcPr>
            <w:tcW w:w="1447" w:type="dxa"/>
            <w:tcBorders>
              <w:top w:val="nil"/>
            </w:tcBorders>
            <w:vAlign w:val="center"/>
          </w:tcPr>
          <w:p w14:paraId="3C40DC65" w14:textId="77777777" w:rsidR="00AF648E" w:rsidRPr="0054438E" w:rsidRDefault="00AF648E" w:rsidP="0029437B">
            <w:pPr>
              <w:spacing w:before="100" w:beforeAutospacing="1" w:after="100" w:afterAutospacing="1" w:line="280" w:lineRule="exact"/>
              <w:ind w:firstLineChars="62" w:firstLine="124"/>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S</w:t>
            </w:r>
            <w:r>
              <w:rPr>
                <w:rFonts w:ascii="Times New Roman" w:hAnsi="Times New Roman" w:cs="Times New Roman"/>
                <w:i/>
                <w:iCs/>
                <w:color w:val="000000"/>
                <w:sz w:val="20"/>
                <w:szCs w:val="20"/>
              </w:rPr>
              <w:t>tandard</w:t>
            </w:r>
            <w:r w:rsidRPr="0054438E">
              <w:rPr>
                <w:rFonts w:ascii="Times New Roman" w:hAnsi="Times New Roman" w:cs="Times New Roman"/>
                <w:i/>
                <w:iCs/>
                <w:color w:val="000000"/>
                <w:sz w:val="20"/>
                <w:szCs w:val="20"/>
              </w:rPr>
              <w:t>_LM</w:t>
            </w:r>
          </w:p>
        </w:tc>
        <w:tc>
          <w:tcPr>
            <w:tcW w:w="6917" w:type="dxa"/>
            <w:tcBorders>
              <w:top w:val="nil"/>
              <w:right w:val="nil"/>
            </w:tcBorders>
            <w:vAlign w:val="center"/>
          </w:tcPr>
          <w:p w14:paraId="1F53DE0B"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 xml:space="preserve">banks </w:t>
            </w:r>
            <w:r>
              <w:rPr>
                <w:rFonts w:ascii="Times New Roman" w:hAnsi="Times New Roman" w:cs="Times New Roman" w:hint="eastAsia"/>
                <w:sz w:val="20"/>
                <w:szCs w:val="20"/>
              </w:rPr>
              <w:t>tightening standards for C&amp;I loans to large and medium firms.</w:t>
            </w:r>
          </w:p>
        </w:tc>
      </w:tr>
      <w:tr w:rsidR="00AF648E" w14:paraId="6B70F5F0" w14:textId="77777777" w:rsidTr="0029437B">
        <w:trPr>
          <w:trHeight w:val="340"/>
        </w:trPr>
        <w:tc>
          <w:tcPr>
            <w:tcW w:w="1447" w:type="dxa"/>
            <w:vAlign w:val="center"/>
          </w:tcPr>
          <w:p w14:paraId="38589EF7" w14:textId="77777777" w:rsidR="00AF648E" w:rsidRPr="0054438E" w:rsidRDefault="00AF648E" w:rsidP="0029437B">
            <w:pPr>
              <w:spacing w:before="100" w:beforeAutospacing="1" w:after="100" w:afterAutospacing="1" w:line="280" w:lineRule="exact"/>
              <w:ind w:firstLineChars="62" w:firstLine="124"/>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S</w:t>
            </w:r>
            <w:r>
              <w:rPr>
                <w:rFonts w:ascii="Times New Roman" w:hAnsi="Times New Roman" w:cs="Times New Roman"/>
                <w:i/>
                <w:iCs/>
                <w:color w:val="000000"/>
                <w:sz w:val="20"/>
                <w:szCs w:val="20"/>
              </w:rPr>
              <w:t>tandard</w:t>
            </w:r>
            <w:r w:rsidRPr="0054438E">
              <w:rPr>
                <w:rFonts w:ascii="Times New Roman" w:hAnsi="Times New Roman" w:cs="Times New Roman"/>
                <w:i/>
                <w:iCs/>
                <w:color w:val="000000"/>
                <w:sz w:val="20"/>
                <w:szCs w:val="20"/>
              </w:rPr>
              <w:t xml:space="preserve"> _S</w:t>
            </w:r>
          </w:p>
        </w:tc>
        <w:tc>
          <w:tcPr>
            <w:tcW w:w="6917" w:type="dxa"/>
            <w:tcBorders>
              <w:right w:val="nil"/>
            </w:tcBorders>
            <w:vAlign w:val="center"/>
          </w:tcPr>
          <w:p w14:paraId="3AD729F2"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 xml:space="preserve">s tightening standards for C&amp;I loans to </w:t>
            </w:r>
            <w:r>
              <w:rPr>
                <w:rFonts w:ascii="Times New Roman" w:hAnsi="Times New Roman" w:cs="Times New Roman"/>
                <w:sz w:val="20"/>
                <w:szCs w:val="20"/>
              </w:rPr>
              <w:t>small</w:t>
            </w:r>
            <w:r>
              <w:rPr>
                <w:rFonts w:ascii="Times New Roman" w:hAnsi="Times New Roman" w:cs="Times New Roman" w:hint="eastAsia"/>
                <w:sz w:val="20"/>
                <w:szCs w:val="20"/>
              </w:rPr>
              <w:t xml:space="preserve"> firms.</w:t>
            </w:r>
          </w:p>
        </w:tc>
      </w:tr>
      <w:tr w:rsidR="00AF648E" w14:paraId="56A55E91" w14:textId="77777777" w:rsidTr="0029437B">
        <w:trPr>
          <w:trHeight w:val="340"/>
        </w:trPr>
        <w:tc>
          <w:tcPr>
            <w:tcW w:w="1447" w:type="dxa"/>
            <w:vAlign w:val="center"/>
          </w:tcPr>
          <w:p w14:paraId="6797EDE6" w14:textId="77777777" w:rsidR="00AF648E" w:rsidRPr="0054438E" w:rsidRDefault="00AF648E" w:rsidP="0029437B">
            <w:pPr>
              <w:spacing w:before="100" w:beforeAutospacing="1" w:after="100" w:afterAutospacing="1" w:line="280" w:lineRule="exact"/>
              <w:ind w:firstLineChars="62" w:firstLine="124"/>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Demand_LM</w:t>
            </w:r>
          </w:p>
        </w:tc>
        <w:tc>
          <w:tcPr>
            <w:tcW w:w="6917" w:type="dxa"/>
            <w:tcBorders>
              <w:right w:val="nil"/>
            </w:tcBorders>
            <w:vAlign w:val="center"/>
          </w:tcPr>
          <w:p w14:paraId="4A8E782E"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 xml:space="preserve">s </w:t>
            </w:r>
            <w:r>
              <w:rPr>
                <w:rFonts w:ascii="Times New Roman" w:hAnsi="Times New Roman" w:cs="Times New Roman"/>
                <w:sz w:val="20"/>
                <w:szCs w:val="20"/>
              </w:rPr>
              <w:t>r</w:t>
            </w:r>
            <w:r w:rsidRPr="005D1B96">
              <w:rPr>
                <w:rFonts w:ascii="Times New Roman" w:hAnsi="Times New Roman" w:cs="Times New Roman"/>
                <w:sz w:val="20"/>
                <w:szCs w:val="20"/>
              </w:rPr>
              <w:t xml:space="preserve">eporting </w:t>
            </w:r>
            <w:r>
              <w:rPr>
                <w:rFonts w:ascii="Times New Roman" w:hAnsi="Times New Roman" w:cs="Times New Roman"/>
                <w:sz w:val="20"/>
                <w:szCs w:val="20"/>
              </w:rPr>
              <w:t>s</w:t>
            </w:r>
            <w:r w:rsidRPr="005D1B96">
              <w:rPr>
                <w:rFonts w:ascii="Times New Roman" w:hAnsi="Times New Roman" w:cs="Times New Roman"/>
                <w:sz w:val="20"/>
                <w:szCs w:val="20"/>
              </w:rPr>
              <w:t xml:space="preserve">tronger </w:t>
            </w:r>
            <w:r>
              <w:rPr>
                <w:rFonts w:ascii="Times New Roman" w:hAnsi="Times New Roman" w:cs="Times New Roman"/>
                <w:sz w:val="20"/>
                <w:szCs w:val="20"/>
              </w:rPr>
              <w:t>d</w:t>
            </w:r>
            <w:r w:rsidRPr="005D1B96">
              <w:rPr>
                <w:rFonts w:ascii="Times New Roman" w:hAnsi="Times New Roman" w:cs="Times New Roman"/>
                <w:sz w:val="20"/>
                <w:szCs w:val="20"/>
              </w:rPr>
              <w:t>emand</w:t>
            </w:r>
            <w:r>
              <w:rPr>
                <w:rFonts w:ascii="Times New Roman" w:hAnsi="Times New Roman" w:cs="Times New Roman" w:hint="eastAsia"/>
                <w:sz w:val="20"/>
                <w:szCs w:val="20"/>
              </w:rPr>
              <w:t xml:space="preserve"> for C&amp;I loans </w:t>
            </w:r>
            <w:r>
              <w:rPr>
                <w:rFonts w:ascii="Times New Roman" w:hAnsi="Times New Roman" w:cs="Times New Roman"/>
                <w:sz w:val="20"/>
                <w:szCs w:val="20"/>
              </w:rPr>
              <w:t>from large and medium</w:t>
            </w:r>
            <w:r>
              <w:rPr>
                <w:rFonts w:ascii="Times New Roman" w:hAnsi="Times New Roman" w:cs="Times New Roman" w:hint="eastAsia"/>
                <w:sz w:val="20"/>
                <w:szCs w:val="20"/>
              </w:rPr>
              <w:t xml:space="preserve"> firms.</w:t>
            </w:r>
          </w:p>
        </w:tc>
      </w:tr>
      <w:tr w:rsidR="00AF648E" w14:paraId="06229A0E" w14:textId="77777777" w:rsidTr="0029437B">
        <w:trPr>
          <w:trHeight w:val="340"/>
        </w:trPr>
        <w:tc>
          <w:tcPr>
            <w:tcW w:w="1447" w:type="dxa"/>
            <w:vAlign w:val="center"/>
          </w:tcPr>
          <w:p w14:paraId="2129C30F" w14:textId="77777777" w:rsidR="00AF648E" w:rsidRPr="0054438E" w:rsidRDefault="00AF648E" w:rsidP="0029437B">
            <w:pPr>
              <w:spacing w:before="100" w:beforeAutospacing="1" w:after="100" w:afterAutospacing="1" w:line="280" w:lineRule="exact"/>
              <w:ind w:firstLineChars="62" w:firstLine="124"/>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Demand_S</w:t>
            </w:r>
          </w:p>
        </w:tc>
        <w:tc>
          <w:tcPr>
            <w:tcW w:w="6917" w:type="dxa"/>
            <w:tcBorders>
              <w:right w:val="nil"/>
            </w:tcBorders>
            <w:vAlign w:val="center"/>
          </w:tcPr>
          <w:p w14:paraId="5A2CDCE1"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 xml:space="preserve">s </w:t>
            </w:r>
            <w:r>
              <w:rPr>
                <w:rFonts w:ascii="Times New Roman" w:hAnsi="Times New Roman" w:cs="Times New Roman"/>
                <w:sz w:val="20"/>
                <w:szCs w:val="20"/>
              </w:rPr>
              <w:t>r</w:t>
            </w:r>
            <w:r w:rsidRPr="005D1B96">
              <w:rPr>
                <w:rFonts w:ascii="Times New Roman" w:hAnsi="Times New Roman" w:cs="Times New Roman"/>
                <w:sz w:val="20"/>
                <w:szCs w:val="20"/>
              </w:rPr>
              <w:t xml:space="preserve">eporting </w:t>
            </w:r>
            <w:r>
              <w:rPr>
                <w:rFonts w:ascii="Times New Roman" w:hAnsi="Times New Roman" w:cs="Times New Roman"/>
                <w:sz w:val="20"/>
                <w:szCs w:val="20"/>
              </w:rPr>
              <w:t>s</w:t>
            </w:r>
            <w:r w:rsidRPr="005D1B96">
              <w:rPr>
                <w:rFonts w:ascii="Times New Roman" w:hAnsi="Times New Roman" w:cs="Times New Roman"/>
                <w:sz w:val="20"/>
                <w:szCs w:val="20"/>
              </w:rPr>
              <w:t xml:space="preserve">tronger </w:t>
            </w:r>
            <w:r>
              <w:rPr>
                <w:rFonts w:ascii="Times New Roman" w:hAnsi="Times New Roman" w:cs="Times New Roman"/>
                <w:sz w:val="20"/>
                <w:szCs w:val="20"/>
              </w:rPr>
              <w:t>d</w:t>
            </w:r>
            <w:r w:rsidRPr="005D1B96">
              <w:rPr>
                <w:rFonts w:ascii="Times New Roman" w:hAnsi="Times New Roman" w:cs="Times New Roman"/>
                <w:sz w:val="20"/>
                <w:szCs w:val="20"/>
              </w:rPr>
              <w:t>emand</w:t>
            </w:r>
            <w:r>
              <w:rPr>
                <w:rFonts w:ascii="Times New Roman" w:hAnsi="Times New Roman" w:cs="Times New Roman" w:hint="eastAsia"/>
                <w:sz w:val="20"/>
                <w:szCs w:val="20"/>
              </w:rPr>
              <w:t xml:space="preserve"> for C&amp;I loans </w:t>
            </w:r>
            <w:r>
              <w:rPr>
                <w:rFonts w:ascii="Times New Roman" w:hAnsi="Times New Roman" w:cs="Times New Roman"/>
                <w:sz w:val="20"/>
                <w:szCs w:val="20"/>
              </w:rPr>
              <w:t>from small</w:t>
            </w:r>
            <w:r>
              <w:rPr>
                <w:rFonts w:ascii="Times New Roman" w:hAnsi="Times New Roman" w:cs="Times New Roman" w:hint="eastAsia"/>
                <w:sz w:val="20"/>
                <w:szCs w:val="20"/>
              </w:rPr>
              <w:t xml:space="preserve"> firms.</w:t>
            </w:r>
          </w:p>
        </w:tc>
      </w:tr>
      <w:tr w:rsidR="00AF648E" w14:paraId="3D385C9E" w14:textId="77777777" w:rsidTr="0029437B">
        <w:trPr>
          <w:trHeight w:val="340"/>
        </w:trPr>
        <w:tc>
          <w:tcPr>
            <w:tcW w:w="1447" w:type="dxa"/>
            <w:vAlign w:val="center"/>
          </w:tcPr>
          <w:p w14:paraId="787CB74A" w14:textId="77777777" w:rsidR="00AF648E" w:rsidRPr="0054438E" w:rsidRDefault="00AF648E" w:rsidP="0029437B">
            <w:pPr>
              <w:spacing w:before="100" w:beforeAutospacing="1" w:after="100" w:afterAutospacing="1" w:line="280" w:lineRule="exact"/>
              <w:ind w:firstLineChars="62" w:firstLine="124"/>
              <w:jc w:val="both"/>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Spr_LM</w:t>
            </w:r>
          </w:p>
        </w:tc>
        <w:tc>
          <w:tcPr>
            <w:tcW w:w="6917" w:type="dxa"/>
            <w:tcBorders>
              <w:right w:val="nil"/>
            </w:tcBorders>
            <w:vAlign w:val="center"/>
          </w:tcPr>
          <w:p w14:paraId="63909887"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s</w:t>
            </w:r>
            <w:r w:rsidRPr="004F2EA3">
              <w:rPr>
                <w:rFonts w:ascii="Times New Roman" w:hAnsi="Times New Roman" w:cs="Times New Roman"/>
                <w:sz w:val="20"/>
                <w:szCs w:val="20"/>
              </w:rPr>
              <w:t xml:space="preserve"> </w:t>
            </w:r>
            <w:r>
              <w:rPr>
                <w:rFonts w:ascii="Times New Roman" w:hAnsi="Times New Roman" w:cs="Times New Roman"/>
                <w:sz w:val="20"/>
                <w:szCs w:val="20"/>
              </w:rPr>
              <w:t>i</w:t>
            </w:r>
            <w:r w:rsidRPr="004F2EA3">
              <w:rPr>
                <w:rFonts w:ascii="Times New Roman" w:hAnsi="Times New Roman" w:cs="Times New Roman"/>
                <w:sz w:val="20"/>
                <w:szCs w:val="20"/>
              </w:rPr>
              <w:t xml:space="preserve">ncreasing </w:t>
            </w:r>
            <w:r>
              <w:rPr>
                <w:rFonts w:ascii="Times New Roman" w:hAnsi="Times New Roman" w:cs="Times New Roman"/>
                <w:sz w:val="20"/>
                <w:szCs w:val="20"/>
              </w:rPr>
              <w:t>s</w:t>
            </w:r>
            <w:r w:rsidRPr="004F2EA3">
              <w:rPr>
                <w:rFonts w:ascii="Times New Roman" w:hAnsi="Times New Roman" w:cs="Times New Roman"/>
                <w:sz w:val="20"/>
                <w:szCs w:val="20"/>
              </w:rPr>
              <w:t xml:space="preserve">pread of </w:t>
            </w:r>
            <w:r>
              <w:rPr>
                <w:rFonts w:ascii="Times New Roman" w:hAnsi="Times New Roman" w:cs="Times New Roman"/>
                <w:sz w:val="20"/>
                <w:szCs w:val="20"/>
              </w:rPr>
              <w:t>C&amp;I l</w:t>
            </w:r>
            <w:r w:rsidRPr="004F2EA3">
              <w:rPr>
                <w:rFonts w:ascii="Times New Roman" w:hAnsi="Times New Roman" w:cs="Times New Roman"/>
                <w:sz w:val="20"/>
                <w:szCs w:val="20"/>
              </w:rPr>
              <w:t xml:space="preserve">oan </w:t>
            </w:r>
            <w:r>
              <w:rPr>
                <w:rFonts w:ascii="Times New Roman" w:hAnsi="Times New Roman" w:cs="Times New Roman"/>
                <w:sz w:val="20"/>
                <w:szCs w:val="20"/>
              </w:rPr>
              <w:t>r</w:t>
            </w:r>
            <w:r w:rsidRPr="004F2EA3">
              <w:rPr>
                <w:rFonts w:ascii="Times New Roman" w:hAnsi="Times New Roman" w:cs="Times New Roman"/>
                <w:sz w:val="20"/>
                <w:szCs w:val="20"/>
              </w:rPr>
              <w:t xml:space="preserve">ates over </w:t>
            </w:r>
            <w:r>
              <w:rPr>
                <w:rFonts w:ascii="Times New Roman" w:hAnsi="Times New Roman" w:cs="Times New Roman"/>
                <w:sz w:val="20"/>
                <w:szCs w:val="20"/>
              </w:rPr>
              <w:t>b</w:t>
            </w:r>
            <w:r w:rsidRPr="004F2EA3">
              <w:rPr>
                <w:rFonts w:ascii="Times New Roman" w:hAnsi="Times New Roman" w:cs="Times New Roman"/>
                <w:sz w:val="20"/>
                <w:szCs w:val="20"/>
              </w:rPr>
              <w:t xml:space="preserve">anks’ </w:t>
            </w:r>
            <w:r>
              <w:rPr>
                <w:rFonts w:ascii="Times New Roman" w:hAnsi="Times New Roman" w:cs="Times New Roman"/>
                <w:sz w:val="20"/>
                <w:szCs w:val="20"/>
              </w:rPr>
              <w:t>c</w:t>
            </w:r>
            <w:r w:rsidRPr="004F2EA3">
              <w:rPr>
                <w:rFonts w:ascii="Times New Roman" w:hAnsi="Times New Roman" w:cs="Times New Roman"/>
                <w:sz w:val="20"/>
                <w:szCs w:val="20"/>
              </w:rPr>
              <w:t xml:space="preserve">ost of </w:t>
            </w:r>
            <w:r>
              <w:rPr>
                <w:rFonts w:ascii="Times New Roman" w:hAnsi="Times New Roman" w:cs="Times New Roman"/>
                <w:sz w:val="20"/>
                <w:szCs w:val="20"/>
              </w:rPr>
              <w:t>f</w:t>
            </w:r>
            <w:r w:rsidRPr="004F2EA3">
              <w:rPr>
                <w:rFonts w:ascii="Times New Roman" w:hAnsi="Times New Roman" w:cs="Times New Roman"/>
                <w:sz w:val="20"/>
                <w:szCs w:val="20"/>
              </w:rPr>
              <w:t>unds</w:t>
            </w:r>
            <w:r>
              <w:rPr>
                <w:rFonts w:ascii="Times New Roman" w:hAnsi="Times New Roman" w:cs="Times New Roman"/>
                <w:sz w:val="20"/>
                <w:szCs w:val="20"/>
              </w:rPr>
              <w:t xml:space="preserve"> </w:t>
            </w:r>
            <w:r>
              <w:rPr>
                <w:rFonts w:ascii="Times New Roman" w:hAnsi="Times New Roman" w:cs="Times New Roman" w:hint="eastAsia"/>
                <w:sz w:val="20"/>
                <w:szCs w:val="20"/>
              </w:rPr>
              <w:t>to large and medium firms.</w:t>
            </w:r>
          </w:p>
        </w:tc>
      </w:tr>
      <w:tr w:rsidR="00AF648E" w14:paraId="2F371699" w14:textId="77777777" w:rsidTr="0029437B">
        <w:trPr>
          <w:trHeight w:val="340"/>
        </w:trPr>
        <w:tc>
          <w:tcPr>
            <w:tcW w:w="1447" w:type="dxa"/>
            <w:vAlign w:val="center"/>
          </w:tcPr>
          <w:p w14:paraId="3645F09E" w14:textId="77777777" w:rsidR="00AF648E" w:rsidRPr="0054438E" w:rsidRDefault="00AF648E" w:rsidP="0029437B">
            <w:pPr>
              <w:spacing w:before="100" w:beforeAutospacing="1" w:after="100" w:afterAutospacing="1" w:line="280" w:lineRule="exact"/>
              <w:ind w:firstLineChars="62" w:firstLine="124"/>
              <w:jc w:val="both"/>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Spr_S</w:t>
            </w:r>
          </w:p>
        </w:tc>
        <w:tc>
          <w:tcPr>
            <w:tcW w:w="6917" w:type="dxa"/>
            <w:tcBorders>
              <w:right w:val="nil"/>
            </w:tcBorders>
            <w:vAlign w:val="center"/>
          </w:tcPr>
          <w:p w14:paraId="342CA15C" w14:textId="7C7EF90F"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s</w:t>
            </w:r>
            <w:r w:rsidRPr="004F2EA3">
              <w:rPr>
                <w:rFonts w:ascii="Times New Roman" w:hAnsi="Times New Roman" w:cs="Times New Roman"/>
                <w:sz w:val="20"/>
                <w:szCs w:val="20"/>
              </w:rPr>
              <w:t xml:space="preserve"> </w:t>
            </w:r>
            <w:r>
              <w:rPr>
                <w:rFonts w:ascii="Times New Roman" w:hAnsi="Times New Roman" w:cs="Times New Roman"/>
                <w:sz w:val="20"/>
                <w:szCs w:val="20"/>
              </w:rPr>
              <w:t>i</w:t>
            </w:r>
            <w:r w:rsidRPr="004F2EA3">
              <w:rPr>
                <w:rFonts w:ascii="Times New Roman" w:hAnsi="Times New Roman" w:cs="Times New Roman"/>
                <w:sz w:val="20"/>
                <w:szCs w:val="20"/>
              </w:rPr>
              <w:t xml:space="preserve">ncreasing </w:t>
            </w:r>
            <w:r>
              <w:rPr>
                <w:rFonts w:ascii="Times New Roman" w:hAnsi="Times New Roman" w:cs="Times New Roman"/>
                <w:sz w:val="20"/>
                <w:szCs w:val="20"/>
              </w:rPr>
              <w:t>s</w:t>
            </w:r>
            <w:r w:rsidRPr="004F2EA3">
              <w:rPr>
                <w:rFonts w:ascii="Times New Roman" w:hAnsi="Times New Roman" w:cs="Times New Roman"/>
                <w:sz w:val="20"/>
                <w:szCs w:val="20"/>
              </w:rPr>
              <w:t xml:space="preserve">pread of </w:t>
            </w:r>
            <w:r>
              <w:rPr>
                <w:rFonts w:ascii="Times New Roman" w:hAnsi="Times New Roman" w:cs="Times New Roman"/>
                <w:sz w:val="20"/>
                <w:szCs w:val="20"/>
              </w:rPr>
              <w:t>C&amp;I l</w:t>
            </w:r>
            <w:r w:rsidRPr="004F2EA3">
              <w:rPr>
                <w:rFonts w:ascii="Times New Roman" w:hAnsi="Times New Roman" w:cs="Times New Roman"/>
                <w:sz w:val="20"/>
                <w:szCs w:val="20"/>
              </w:rPr>
              <w:t xml:space="preserve">oan </w:t>
            </w:r>
            <w:r>
              <w:rPr>
                <w:rFonts w:ascii="Times New Roman" w:hAnsi="Times New Roman" w:cs="Times New Roman"/>
                <w:sz w:val="20"/>
                <w:szCs w:val="20"/>
              </w:rPr>
              <w:t>r</w:t>
            </w:r>
            <w:r w:rsidRPr="004F2EA3">
              <w:rPr>
                <w:rFonts w:ascii="Times New Roman" w:hAnsi="Times New Roman" w:cs="Times New Roman"/>
                <w:sz w:val="20"/>
                <w:szCs w:val="20"/>
              </w:rPr>
              <w:t xml:space="preserve">ates over </w:t>
            </w:r>
            <w:r>
              <w:rPr>
                <w:rFonts w:ascii="Times New Roman" w:hAnsi="Times New Roman" w:cs="Times New Roman"/>
                <w:sz w:val="20"/>
                <w:szCs w:val="20"/>
              </w:rPr>
              <w:t>b</w:t>
            </w:r>
            <w:r w:rsidRPr="004F2EA3">
              <w:rPr>
                <w:rFonts w:ascii="Times New Roman" w:hAnsi="Times New Roman" w:cs="Times New Roman"/>
                <w:sz w:val="20"/>
                <w:szCs w:val="20"/>
              </w:rPr>
              <w:t xml:space="preserve">anks’ </w:t>
            </w:r>
            <w:r>
              <w:rPr>
                <w:rFonts w:ascii="Times New Roman" w:hAnsi="Times New Roman" w:cs="Times New Roman"/>
                <w:sz w:val="20"/>
                <w:szCs w:val="20"/>
              </w:rPr>
              <w:t>c</w:t>
            </w:r>
            <w:r w:rsidRPr="004F2EA3">
              <w:rPr>
                <w:rFonts w:ascii="Times New Roman" w:hAnsi="Times New Roman" w:cs="Times New Roman"/>
                <w:sz w:val="20"/>
                <w:szCs w:val="20"/>
              </w:rPr>
              <w:t xml:space="preserve">ost of </w:t>
            </w:r>
            <w:r>
              <w:rPr>
                <w:rFonts w:ascii="Times New Roman" w:hAnsi="Times New Roman" w:cs="Times New Roman"/>
                <w:sz w:val="20"/>
                <w:szCs w:val="20"/>
              </w:rPr>
              <w:t>f</w:t>
            </w:r>
            <w:r w:rsidRPr="004F2EA3">
              <w:rPr>
                <w:rFonts w:ascii="Times New Roman" w:hAnsi="Times New Roman" w:cs="Times New Roman"/>
                <w:sz w:val="20"/>
                <w:szCs w:val="20"/>
              </w:rPr>
              <w:t>unds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to </w:t>
            </w:r>
            <w:r>
              <w:rPr>
                <w:rFonts w:ascii="Times New Roman" w:hAnsi="Times New Roman" w:cs="Times New Roman"/>
                <w:sz w:val="20"/>
                <w:szCs w:val="20"/>
              </w:rPr>
              <w:t xml:space="preserve">small </w:t>
            </w:r>
            <w:r>
              <w:rPr>
                <w:rFonts w:ascii="Times New Roman" w:hAnsi="Times New Roman" w:cs="Times New Roman" w:hint="eastAsia"/>
                <w:sz w:val="20"/>
                <w:szCs w:val="20"/>
              </w:rPr>
              <w:t>firms.</w:t>
            </w:r>
          </w:p>
        </w:tc>
      </w:tr>
      <w:tr w:rsidR="00AF648E" w14:paraId="6539CAC0" w14:textId="77777777" w:rsidTr="0029437B">
        <w:trPr>
          <w:trHeight w:val="340"/>
        </w:trPr>
        <w:tc>
          <w:tcPr>
            <w:tcW w:w="1447" w:type="dxa"/>
            <w:vAlign w:val="center"/>
          </w:tcPr>
          <w:p w14:paraId="6F6AACB1" w14:textId="77777777" w:rsidR="00AF648E"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hint="eastAsia"/>
                <w:i/>
                <w:sz w:val="20"/>
                <w:szCs w:val="20"/>
              </w:rPr>
              <w:t>LoanSize</w:t>
            </w:r>
            <w:r>
              <w:rPr>
                <w:rFonts w:ascii="Times New Roman" w:hAnsi="Times New Roman" w:cs="Times New Roman"/>
                <w:i/>
                <w:sz w:val="20"/>
                <w:szCs w:val="20"/>
              </w:rPr>
              <w:t>_LM</w:t>
            </w:r>
          </w:p>
        </w:tc>
        <w:tc>
          <w:tcPr>
            <w:tcW w:w="6917" w:type="dxa"/>
            <w:tcBorders>
              <w:right w:val="nil"/>
            </w:tcBorders>
            <w:vAlign w:val="center"/>
          </w:tcPr>
          <w:p w14:paraId="6A6FFC95" w14:textId="2152BD5E"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 xml:space="preserve">s tightening standard </w:t>
            </w:r>
            <w:r>
              <w:rPr>
                <w:rFonts w:ascii="Times New Roman" w:hAnsi="Times New Roman" w:cs="Times New Roman"/>
                <w:sz w:val="20"/>
                <w:szCs w:val="20"/>
              </w:rPr>
              <w:t xml:space="preserve">on maximum size of credit lines </w:t>
            </w:r>
            <w:r>
              <w:rPr>
                <w:rFonts w:ascii="Times New Roman" w:hAnsi="Times New Roman" w:cs="Times New Roman" w:hint="eastAsia"/>
                <w:sz w:val="20"/>
                <w:szCs w:val="20"/>
              </w:rPr>
              <w:t>to large and medium firms</w:t>
            </w:r>
            <w:r w:rsidR="000A021C">
              <w:rPr>
                <w:rFonts w:ascii="Times New Roman" w:hAnsi="Times New Roman" w:cs="Times New Roman"/>
                <w:sz w:val="20"/>
                <w:szCs w:val="20"/>
              </w:rPr>
              <w:t>.</w:t>
            </w:r>
          </w:p>
        </w:tc>
      </w:tr>
      <w:tr w:rsidR="00AF648E" w14:paraId="33C5CAF1" w14:textId="77777777" w:rsidTr="0029437B">
        <w:trPr>
          <w:trHeight w:val="340"/>
        </w:trPr>
        <w:tc>
          <w:tcPr>
            <w:tcW w:w="1447" w:type="dxa"/>
            <w:vAlign w:val="center"/>
          </w:tcPr>
          <w:p w14:paraId="752413CB" w14:textId="77777777" w:rsidR="00AF648E"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sidRPr="002040A3">
              <w:rPr>
                <w:rFonts w:ascii="Times New Roman" w:hAnsi="Times New Roman" w:cs="Times New Roman"/>
                <w:i/>
                <w:sz w:val="20"/>
                <w:szCs w:val="20"/>
              </w:rPr>
              <w:t>Maturity_LM</w:t>
            </w:r>
          </w:p>
        </w:tc>
        <w:tc>
          <w:tcPr>
            <w:tcW w:w="6917" w:type="dxa"/>
            <w:tcBorders>
              <w:right w:val="nil"/>
            </w:tcBorders>
            <w:vAlign w:val="center"/>
          </w:tcPr>
          <w:p w14:paraId="0418501B" w14:textId="7AD34E19"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 xml:space="preserve">s tightening standard </w:t>
            </w:r>
            <w:r>
              <w:rPr>
                <w:rFonts w:ascii="Times New Roman" w:hAnsi="Times New Roman" w:cs="Times New Roman"/>
                <w:sz w:val="20"/>
                <w:szCs w:val="20"/>
              </w:rPr>
              <w:t xml:space="preserve">on maximum maturity of loans or credit lines </w:t>
            </w:r>
            <w:r>
              <w:rPr>
                <w:rFonts w:ascii="Times New Roman" w:hAnsi="Times New Roman" w:cs="Times New Roman" w:hint="eastAsia"/>
                <w:sz w:val="20"/>
                <w:szCs w:val="20"/>
              </w:rPr>
              <w:t>to large and medium firms</w:t>
            </w:r>
            <w:r w:rsidR="000A021C">
              <w:rPr>
                <w:rFonts w:ascii="Times New Roman" w:hAnsi="Times New Roman" w:cs="Times New Roman"/>
                <w:sz w:val="20"/>
                <w:szCs w:val="20"/>
              </w:rPr>
              <w:t>.</w:t>
            </w:r>
          </w:p>
        </w:tc>
      </w:tr>
      <w:tr w:rsidR="00AF648E" w14:paraId="68DC2443" w14:textId="77777777" w:rsidTr="0029437B">
        <w:trPr>
          <w:trHeight w:val="340"/>
        </w:trPr>
        <w:tc>
          <w:tcPr>
            <w:tcW w:w="1447" w:type="dxa"/>
            <w:tcBorders>
              <w:bottom w:val="single" w:sz="4" w:space="0" w:color="auto"/>
            </w:tcBorders>
            <w:vAlign w:val="center"/>
          </w:tcPr>
          <w:p w14:paraId="46073CB1" w14:textId="77777777" w:rsidR="00AF648E" w:rsidRPr="002040A3"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sidRPr="002040A3">
              <w:rPr>
                <w:rFonts w:ascii="Times New Roman" w:hAnsi="Times New Roman" w:cs="Times New Roman"/>
                <w:i/>
                <w:sz w:val="20"/>
                <w:szCs w:val="20"/>
              </w:rPr>
              <w:t>Secured_LM</w:t>
            </w:r>
          </w:p>
        </w:tc>
        <w:tc>
          <w:tcPr>
            <w:tcW w:w="6917" w:type="dxa"/>
            <w:tcBorders>
              <w:bottom w:val="single" w:sz="4" w:space="0" w:color="auto"/>
              <w:right w:val="nil"/>
            </w:tcBorders>
            <w:vAlign w:val="center"/>
          </w:tcPr>
          <w:p w14:paraId="1EB03489"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Net percentage of domestic </w:t>
            </w:r>
            <w:r>
              <w:rPr>
                <w:rFonts w:ascii="Times New Roman" w:hAnsi="Times New Roman" w:cs="Times New Roman"/>
                <w:sz w:val="20"/>
                <w:szCs w:val="20"/>
              </w:rPr>
              <w:t>bank</w:t>
            </w:r>
            <w:r>
              <w:rPr>
                <w:rFonts w:ascii="Times New Roman" w:hAnsi="Times New Roman" w:cs="Times New Roman" w:hint="eastAsia"/>
                <w:sz w:val="20"/>
                <w:szCs w:val="20"/>
              </w:rPr>
              <w:t xml:space="preserve">s tightening standard </w:t>
            </w:r>
            <w:r>
              <w:rPr>
                <w:rFonts w:ascii="Times New Roman" w:hAnsi="Times New Roman" w:cs="Times New Roman"/>
                <w:sz w:val="20"/>
                <w:szCs w:val="20"/>
              </w:rPr>
              <w:t xml:space="preserve">on collateralization requirements </w:t>
            </w:r>
            <w:r>
              <w:rPr>
                <w:rFonts w:ascii="Times New Roman" w:hAnsi="Times New Roman" w:cs="Times New Roman" w:hint="eastAsia"/>
                <w:sz w:val="20"/>
                <w:szCs w:val="20"/>
              </w:rPr>
              <w:t>to large and medium firms</w:t>
            </w:r>
            <w:r>
              <w:rPr>
                <w:rFonts w:ascii="Times New Roman" w:hAnsi="Times New Roman" w:cs="Times New Roman"/>
                <w:sz w:val="20"/>
                <w:szCs w:val="20"/>
              </w:rPr>
              <w:t>.</w:t>
            </w:r>
          </w:p>
        </w:tc>
      </w:tr>
      <w:tr w:rsidR="00AF648E" w14:paraId="15294F04" w14:textId="77777777" w:rsidTr="0029437B">
        <w:trPr>
          <w:trHeight w:val="340"/>
        </w:trPr>
        <w:tc>
          <w:tcPr>
            <w:tcW w:w="8364" w:type="dxa"/>
            <w:gridSpan w:val="2"/>
            <w:tcBorders>
              <w:top w:val="single" w:sz="4" w:space="0" w:color="auto"/>
              <w:bottom w:val="nil"/>
            </w:tcBorders>
            <w:vAlign w:val="center"/>
          </w:tcPr>
          <w:p w14:paraId="60681CE4" w14:textId="77777777" w:rsidR="00AF648E" w:rsidRPr="00723D52" w:rsidRDefault="00AF648E" w:rsidP="0029437B">
            <w:pPr>
              <w:spacing w:before="100" w:beforeAutospacing="1" w:after="100" w:afterAutospacing="1" w:line="280" w:lineRule="exact"/>
              <w:jc w:val="both"/>
              <w:rPr>
                <w:rFonts w:ascii="Times New Roman" w:hAnsi="Times New Roman" w:cs="Times New Roman"/>
                <w:sz w:val="20"/>
                <w:szCs w:val="20"/>
              </w:rPr>
            </w:pPr>
            <w:r w:rsidRPr="00723D52">
              <w:rPr>
                <w:rFonts w:ascii="Times New Roman" w:hAnsi="Times New Roman" w:cs="Times New Roman"/>
                <w:sz w:val="20"/>
                <w:szCs w:val="20"/>
              </w:rPr>
              <w:t>STBL data</w:t>
            </w:r>
          </w:p>
        </w:tc>
      </w:tr>
      <w:tr w:rsidR="00AF648E" w14:paraId="46ACA936" w14:textId="77777777" w:rsidTr="0029437B">
        <w:trPr>
          <w:trHeight w:val="340"/>
        </w:trPr>
        <w:tc>
          <w:tcPr>
            <w:tcW w:w="1447" w:type="dxa"/>
            <w:tcBorders>
              <w:top w:val="nil"/>
              <w:bottom w:val="nil"/>
            </w:tcBorders>
            <w:vAlign w:val="center"/>
          </w:tcPr>
          <w:p w14:paraId="6CC90D6A" w14:textId="77777777" w:rsidR="00AF648E"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hint="eastAsia"/>
                <w:i/>
                <w:sz w:val="20"/>
                <w:szCs w:val="20"/>
              </w:rPr>
              <w:t>LoanSize</w:t>
            </w:r>
          </w:p>
        </w:tc>
        <w:tc>
          <w:tcPr>
            <w:tcW w:w="6917" w:type="dxa"/>
            <w:tcBorders>
              <w:top w:val="nil"/>
              <w:bottom w:val="nil"/>
              <w:right w:val="nil"/>
            </w:tcBorders>
            <w:vAlign w:val="center"/>
          </w:tcPr>
          <w:p w14:paraId="781487DA" w14:textId="235410CB" w:rsidR="00AF648E" w:rsidRPr="00370FB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Average loan size</w:t>
            </w:r>
            <w:r w:rsidR="000A021C">
              <w:rPr>
                <w:rFonts w:ascii="Times New Roman" w:hAnsi="Times New Roman" w:cs="Times New Roman"/>
                <w:sz w:val="20"/>
                <w:szCs w:val="20"/>
              </w:rPr>
              <w:t>.</w:t>
            </w:r>
          </w:p>
        </w:tc>
      </w:tr>
      <w:tr w:rsidR="00AF648E" w14:paraId="6DEDC1CB" w14:textId="77777777" w:rsidTr="0029437B">
        <w:trPr>
          <w:trHeight w:val="340"/>
        </w:trPr>
        <w:tc>
          <w:tcPr>
            <w:tcW w:w="1447" w:type="dxa"/>
            <w:tcBorders>
              <w:top w:val="nil"/>
            </w:tcBorders>
            <w:vAlign w:val="center"/>
          </w:tcPr>
          <w:p w14:paraId="68E44F90" w14:textId="77777777" w:rsidR="00AF648E" w:rsidRPr="004E6AA6"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hint="eastAsia"/>
                <w:i/>
                <w:sz w:val="20"/>
                <w:szCs w:val="20"/>
              </w:rPr>
              <w:t>Loan_Spr</w:t>
            </w:r>
          </w:p>
        </w:tc>
        <w:tc>
          <w:tcPr>
            <w:tcW w:w="6917" w:type="dxa"/>
            <w:tcBorders>
              <w:top w:val="nil"/>
              <w:right w:val="nil"/>
            </w:tcBorders>
            <w:vAlign w:val="center"/>
          </w:tcPr>
          <w:p w14:paraId="19CD2414" w14:textId="22988FC4"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Domestic banks’ C&amp;I</w:t>
            </w:r>
            <w:r w:rsidRPr="00EB35AF">
              <w:rPr>
                <w:rFonts w:ascii="Times New Roman" w:hAnsi="Times New Roman" w:cs="Times New Roman"/>
                <w:sz w:val="20"/>
                <w:szCs w:val="20"/>
              </w:rPr>
              <w:t xml:space="preserve"> </w:t>
            </w:r>
            <w:r>
              <w:rPr>
                <w:rFonts w:ascii="Times New Roman" w:hAnsi="Times New Roman" w:cs="Times New Roman"/>
                <w:sz w:val="20"/>
                <w:szCs w:val="20"/>
              </w:rPr>
              <w:t>l</w:t>
            </w:r>
            <w:r w:rsidRPr="00EB35AF">
              <w:rPr>
                <w:rFonts w:ascii="Times New Roman" w:hAnsi="Times New Roman" w:cs="Times New Roman"/>
                <w:sz w:val="20"/>
                <w:szCs w:val="20"/>
              </w:rPr>
              <w:t xml:space="preserve">oan </w:t>
            </w:r>
            <w:r>
              <w:rPr>
                <w:rFonts w:ascii="Times New Roman" w:hAnsi="Times New Roman" w:cs="Times New Roman"/>
                <w:sz w:val="20"/>
                <w:szCs w:val="20"/>
              </w:rPr>
              <w:t>r</w:t>
            </w:r>
            <w:r w:rsidRPr="00EB35AF">
              <w:rPr>
                <w:rFonts w:ascii="Times New Roman" w:hAnsi="Times New Roman" w:cs="Times New Roman"/>
                <w:sz w:val="20"/>
                <w:szCs w:val="20"/>
              </w:rPr>
              <w:t xml:space="preserve">ate </w:t>
            </w:r>
            <w:r>
              <w:rPr>
                <w:rFonts w:ascii="Times New Roman" w:hAnsi="Times New Roman" w:cs="Times New Roman"/>
                <w:sz w:val="20"/>
                <w:szCs w:val="20"/>
              </w:rPr>
              <w:t>s</w:t>
            </w:r>
            <w:r w:rsidRPr="00EB35AF">
              <w:rPr>
                <w:rFonts w:ascii="Times New Roman" w:hAnsi="Times New Roman" w:cs="Times New Roman"/>
                <w:sz w:val="20"/>
                <w:szCs w:val="20"/>
              </w:rPr>
              <w:t>preads over intended federal funds rate</w:t>
            </w:r>
            <w:r w:rsidR="000A021C">
              <w:rPr>
                <w:rFonts w:ascii="Times New Roman" w:hAnsi="Times New Roman" w:cs="Times New Roman"/>
                <w:sz w:val="20"/>
                <w:szCs w:val="20"/>
              </w:rPr>
              <w:t>.</w:t>
            </w:r>
          </w:p>
        </w:tc>
      </w:tr>
      <w:tr w:rsidR="00AF648E" w14:paraId="1C03DFEE" w14:textId="77777777" w:rsidTr="0029437B">
        <w:trPr>
          <w:trHeight w:val="340"/>
        </w:trPr>
        <w:tc>
          <w:tcPr>
            <w:tcW w:w="1447" w:type="dxa"/>
            <w:vAlign w:val="center"/>
          </w:tcPr>
          <w:p w14:paraId="5530813B" w14:textId="77777777" w:rsidR="00AF648E"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hint="eastAsia"/>
                <w:i/>
                <w:sz w:val="20"/>
                <w:szCs w:val="20"/>
              </w:rPr>
              <w:t>Maturity</w:t>
            </w:r>
          </w:p>
        </w:tc>
        <w:tc>
          <w:tcPr>
            <w:tcW w:w="6917" w:type="dxa"/>
            <w:tcBorders>
              <w:right w:val="nil"/>
            </w:tcBorders>
            <w:vAlign w:val="center"/>
          </w:tcPr>
          <w:p w14:paraId="40DA9145" w14:textId="51D699A6" w:rsidR="00AF648E" w:rsidRPr="00370FB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Average maturit</w:t>
            </w:r>
            <w:r w:rsidR="000A021C">
              <w:rPr>
                <w:rFonts w:ascii="Times New Roman" w:hAnsi="Times New Roman" w:cs="Times New Roman"/>
                <w:sz w:val="20"/>
                <w:szCs w:val="20"/>
              </w:rPr>
              <w:t>y days weighted by loan amount.</w:t>
            </w:r>
          </w:p>
        </w:tc>
      </w:tr>
      <w:tr w:rsidR="00AF648E" w14:paraId="06E2469C" w14:textId="77777777" w:rsidTr="0029437B">
        <w:trPr>
          <w:trHeight w:val="340"/>
        </w:trPr>
        <w:tc>
          <w:tcPr>
            <w:tcW w:w="1447" w:type="dxa"/>
            <w:tcBorders>
              <w:bottom w:val="single" w:sz="4" w:space="0" w:color="auto"/>
            </w:tcBorders>
            <w:vAlign w:val="center"/>
          </w:tcPr>
          <w:p w14:paraId="5BB27B76" w14:textId="77777777" w:rsidR="00AF648E" w:rsidRDefault="00AF648E" w:rsidP="0029437B">
            <w:pPr>
              <w:spacing w:before="100" w:beforeAutospacing="1" w:after="100" w:afterAutospacing="1" w:line="280" w:lineRule="exact"/>
              <w:ind w:firstLineChars="62" w:firstLine="124"/>
              <w:jc w:val="both"/>
              <w:rPr>
                <w:rFonts w:ascii="Times New Roman" w:hAnsi="Times New Roman" w:cs="Times New Roman"/>
                <w:i/>
                <w:sz w:val="20"/>
                <w:szCs w:val="20"/>
              </w:rPr>
            </w:pPr>
            <w:r>
              <w:rPr>
                <w:rFonts w:ascii="Times New Roman" w:hAnsi="Times New Roman" w:cs="Times New Roman"/>
                <w:i/>
                <w:sz w:val="20"/>
                <w:szCs w:val="20"/>
              </w:rPr>
              <w:t>Secured</w:t>
            </w:r>
          </w:p>
        </w:tc>
        <w:tc>
          <w:tcPr>
            <w:tcW w:w="6917" w:type="dxa"/>
            <w:tcBorders>
              <w:bottom w:val="single" w:sz="4" w:space="0" w:color="auto"/>
              <w:right w:val="nil"/>
            </w:tcBorders>
            <w:vAlign w:val="center"/>
          </w:tcPr>
          <w:p w14:paraId="69373B13" w14:textId="24F868B5" w:rsidR="00AF648E" w:rsidRPr="00370FB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Percent of loan amount secured by collateral.</w:t>
            </w:r>
          </w:p>
        </w:tc>
      </w:tr>
      <w:tr w:rsidR="00AF648E" w:rsidRPr="00E3089F" w14:paraId="025FD344" w14:textId="77777777" w:rsidTr="0029437B">
        <w:trPr>
          <w:trHeight w:val="340"/>
        </w:trPr>
        <w:tc>
          <w:tcPr>
            <w:tcW w:w="8364" w:type="dxa"/>
            <w:gridSpan w:val="2"/>
            <w:tcBorders>
              <w:top w:val="single" w:sz="4" w:space="0" w:color="auto"/>
              <w:bottom w:val="nil"/>
            </w:tcBorders>
            <w:vAlign w:val="center"/>
          </w:tcPr>
          <w:p w14:paraId="31BB8811" w14:textId="77777777" w:rsidR="00AF648E" w:rsidRPr="00E3089F"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LPC s</w:t>
            </w:r>
            <w:r w:rsidRPr="00E3089F">
              <w:rPr>
                <w:rFonts w:ascii="Times New Roman" w:hAnsi="Times New Roman" w:cs="Times New Roman"/>
                <w:sz w:val="20"/>
                <w:szCs w:val="20"/>
              </w:rPr>
              <w:t>yndicated loan</w:t>
            </w:r>
            <w:r>
              <w:rPr>
                <w:rFonts w:ascii="Times New Roman" w:hAnsi="Times New Roman" w:cs="Times New Roman"/>
                <w:sz w:val="20"/>
                <w:szCs w:val="20"/>
              </w:rPr>
              <w:t xml:space="preserve"> </w:t>
            </w:r>
            <w:r w:rsidRPr="00E3089F">
              <w:rPr>
                <w:rFonts w:ascii="Times New Roman" w:hAnsi="Times New Roman" w:cs="Times New Roman"/>
                <w:sz w:val="20"/>
                <w:szCs w:val="20"/>
              </w:rPr>
              <w:t>data</w:t>
            </w:r>
          </w:p>
        </w:tc>
      </w:tr>
      <w:tr w:rsidR="00AF648E" w14:paraId="1F2966E1" w14:textId="77777777" w:rsidTr="0029437B">
        <w:trPr>
          <w:trHeight w:val="340"/>
        </w:trPr>
        <w:tc>
          <w:tcPr>
            <w:tcW w:w="1447" w:type="dxa"/>
            <w:tcBorders>
              <w:top w:val="nil"/>
              <w:bottom w:val="nil"/>
            </w:tcBorders>
            <w:vAlign w:val="center"/>
          </w:tcPr>
          <w:p w14:paraId="31387813" w14:textId="77777777" w:rsidR="00AF648E"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hint="eastAsia"/>
                <w:i/>
                <w:sz w:val="20"/>
                <w:szCs w:val="20"/>
              </w:rPr>
              <w:t>Synd_Loan</w:t>
            </w:r>
          </w:p>
        </w:tc>
        <w:tc>
          <w:tcPr>
            <w:tcW w:w="6917" w:type="dxa"/>
            <w:tcBorders>
              <w:top w:val="nil"/>
              <w:bottom w:val="nil"/>
              <w:right w:val="nil"/>
            </w:tcBorders>
            <w:vAlign w:val="center"/>
          </w:tcPr>
          <w:p w14:paraId="5E63365D" w14:textId="77777777" w:rsidR="00AF648E" w:rsidRPr="00370FB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Quarterly volume of s</w:t>
            </w:r>
            <w:r w:rsidRPr="004E6AA6">
              <w:rPr>
                <w:rFonts w:ascii="Times New Roman" w:hAnsi="Times New Roman" w:cs="Times New Roman" w:hint="eastAsia"/>
                <w:sz w:val="20"/>
                <w:szCs w:val="20"/>
              </w:rPr>
              <w:t xml:space="preserve">yndicated </w:t>
            </w:r>
            <w:r>
              <w:rPr>
                <w:rFonts w:ascii="Times New Roman" w:hAnsi="Times New Roman" w:cs="Times New Roman"/>
                <w:sz w:val="20"/>
                <w:szCs w:val="20"/>
              </w:rPr>
              <w:t xml:space="preserve">bank </w:t>
            </w:r>
            <w:r w:rsidRPr="004E6AA6">
              <w:rPr>
                <w:rFonts w:ascii="Times New Roman" w:hAnsi="Times New Roman" w:cs="Times New Roman" w:hint="eastAsia"/>
                <w:sz w:val="20"/>
                <w:szCs w:val="20"/>
              </w:rPr>
              <w:t>loan</w:t>
            </w:r>
            <w:r>
              <w:rPr>
                <w:rFonts w:ascii="Times New Roman" w:hAnsi="Times New Roman" w:cs="Times New Roman"/>
                <w:sz w:val="20"/>
                <w:szCs w:val="20"/>
              </w:rPr>
              <w:t>s.</w:t>
            </w:r>
          </w:p>
        </w:tc>
      </w:tr>
      <w:tr w:rsidR="00AF648E" w14:paraId="12D61FB3" w14:textId="77777777" w:rsidTr="0029437B">
        <w:trPr>
          <w:trHeight w:val="340"/>
        </w:trPr>
        <w:tc>
          <w:tcPr>
            <w:tcW w:w="1447" w:type="dxa"/>
            <w:tcBorders>
              <w:top w:val="nil"/>
            </w:tcBorders>
            <w:vAlign w:val="center"/>
          </w:tcPr>
          <w:p w14:paraId="125C7818" w14:textId="77777777" w:rsidR="00AF648E"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i/>
                <w:sz w:val="20"/>
                <w:szCs w:val="20"/>
              </w:rPr>
              <w:t>Spr_Synd</w:t>
            </w:r>
          </w:p>
        </w:tc>
        <w:tc>
          <w:tcPr>
            <w:tcW w:w="6917" w:type="dxa"/>
            <w:tcBorders>
              <w:top w:val="nil"/>
              <w:right w:val="nil"/>
            </w:tcBorders>
            <w:vAlign w:val="center"/>
          </w:tcPr>
          <w:p w14:paraId="0077E699"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Weighted average loan spreads </w:t>
            </w:r>
            <w:r>
              <w:rPr>
                <w:rFonts w:ascii="Times New Roman" w:hAnsi="Times New Roman" w:cs="Times New Roman"/>
                <w:sz w:val="20"/>
                <w:szCs w:val="20"/>
              </w:rPr>
              <w:t xml:space="preserve">over LIBOR </w:t>
            </w:r>
            <w:r>
              <w:rPr>
                <w:rFonts w:ascii="Times New Roman" w:hAnsi="Times New Roman" w:cs="Times New Roman" w:hint="eastAsia"/>
                <w:sz w:val="20"/>
                <w:szCs w:val="20"/>
              </w:rPr>
              <w:t xml:space="preserve">in </w:t>
            </w:r>
            <w:r>
              <w:rPr>
                <w:rFonts w:ascii="Times New Roman" w:hAnsi="Times New Roman" w:cs="Times New Roman"/>
                <w:sz w:val="20"/>
                <w:szCs w:val="20"/>
              </w:rPr>
              <w:t xml:space="preserve">the </w:t>
            </w:r>
            <w:r>
              <w:rPr>
                <w:rFonts w:ascii="Times New Roman" w:hAnsi="Times New Roman" w:cs="Times New Roman" w:hint="eastAsia"/>
                <w:sz w:val="20"/>
                <w:szCs w:val="20"/>
              </w:rPr>
              <w:t>syndicated loan market.</w:t>
            </w:r>
          </w:p>
        </w:tc>
      </w:tr>
      <w:tr w:rsidR="00AF648E" w14:paraId="6419E16F" w14:textId="77777777" w:rsidTr="0029437B">
        <w:trPr>
          <w:trHeight w:val="340"/>
        </w:trPr>
        <w:tc>
          <w:tcPr>
            <w:tcW w:w="1447" w:type="dxa"/>
            <w:vAlign w:val="center"/>
          </w:tcPr>
          <w:p w14:paraId="3B8ADEA2" w14:textId="77777777" w:rsidR="00AF648E"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hint="eastAsia"/>
                <w:i/>
                <w:sz w:val="20"/>
                <w:szCs w:val="20"/>
              </w:rPr>
              <w:t>LoanSize</w:t>
            </w:r>
            <w:r>
              <w:rPr>
                <w:rFonts w:ascii="Times New Roman" w:hAnsi="Times New Roman" w:cs="Times New Roman"/>
                <w:i/>
                <w:sz w:val="20"/>
                <w:szCs w:val="20"/>
              </w:rPr>
              <w:t>_Synd</w:t>
            </w:r>
          </w:p>
        </w:tc>
        <w:tc>
          <w:tcPr>
            <w:tcW w:w="6917" w:type="dxa"/>
            <w:tcBorders>
              <w:right w:val="nil"/>
            </w:tcBorders>
            <w:vAlign w:val="center"/>
          </w:tcPr>
          <w:p w14:paraId="598BD291"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Average loan </w:t>
            </w:r>
            <w:r>
              <w:rPr>
                <w:rFonts w:ascii="Times New Roman" w:hAnsi="Times New Roman" w:cs="Times New Roman"/>
                <w:sz w:val="20"/>
                <w:szCs w:val="20"/>
              </w:rPr>
              <w:t xml:space="preserve">size </w:t>
            </w:r>
            <w:r>
              <w:rPr>
                <w:rFonts w:ascii="Times New Roman" w:hAnsi="Times New Roman" w:cs="Times New Roman" w:hint="eastAsia"/>
                <w:sz w:val="20"/>
                <w:szCs w:val="20"/>
              </w:rPr>
              <w:t xml:space="preserve">in </w:t>
            </w:r>
            <w:r>
              <w:rPr>
                <w:rFonts w:ascii="Times New Roman" w:hAnsi="Times New Roman" w:cs="Times New Roman"/>
                <w:sz w:val="20"/>
                <w:szCs w:val="20"/>
              </w:rPr>
              <w:t xml:space="preserve">the </w:t>
            </w:r>
            <w:r>
              <w:rPr>
                <w:rFonts w:ascii="Times New Roman" w:hAnsi="Times New Roman" w:cs="Times New Roman" w:hint="eastAsia"/>
                <w:sz w:val="20"/>
                <w:szCs w:val="20"/>
              </w:rPr>
              <w:t>syndicated loan market.</w:t>
            </w:r>
          </w:p>
        </w:tc>
      </w:tr>
      <w:tr w:rsidR="00AF648E" w14:paraId="17F1EC17" w14:textId="77777777" w:rsidTr="0029437B">
        <w:trPr>
          <w:trHeight w:val="340"/>
        </w:trPr>
        <w:tc>
          <w:tcPr>
            <w:tcW w:w="1447" w:type="dxa"/>
            <w:vAlign w:val="center"/>
          </w:tcPr>
          <w:p w14:paraId="4FEA5A95" w14:textId="77777777" w:rsidR="00AF648E"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i/>
                <w:sz w:val="20"/>
                <w:szCs w:val="20"/>
              </w:rPr>
              <w:t>Maturity</w:t>
            </w:r>
            <w:r>
              <w:rPr>
                <w:rFonts w:ascii="Times New Roman" w:hAnsi="Times New Roman" w:cs="Times New Roman" w:hint="eastAsia"/>
                <w:i/>
                <w:sz w:val="20"/>
                <w:szCs w:val="20"/>
              </w:rPr>
              <w:t>_</w:t>
            </w:r>
            <w:r>
              <w:rPr>
                <w:rFonts w:ascii="Times New Roman" w:hAnsi="Times New Roman" w:cs="Times New Roman"/>
                <w:i/>
                <w:sz w:val="20"/>
                <w:szCs w:val="20"/>
              </w:rPr>
              <w:t>Synd</w:t>
            </w:r>
          </w:p>
        </w:tc>
        <w:tc>
          <w:tcPr>
            <w:tcW w:w="6917" w:type="dxa"/>
            <w:tcBorders>
              <w:right w:val="nil"/>
            </w:tcBorders>
            <w:vAlign w:val="center"/>
          </w:tcPr>
          <w:p w14:paraId="6CA1D83F"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 xml:space="preserve">verage maturity months </w:t>
            </w:r>
            <w:r>
              <w:rPr>
                <w:rFonts w:ascii="Times New Roman" w:hAnsi="Times New Roman" w:cs="Times New Roman"/>
                <w:sz w:val="20"/>
                <w:szCs w:val="20"/>
              </w:rPr>
              <w:t>weighted by loan amount</w:t>
            </w:r>
            <w:r>
              <w:rPr>
                <w:rFonts w:ascii="Times New Roman" w:hAnsi="Times New Roman" w:cs="Times New Roman" w:hint="eastAsia"/>
                <w:sz w:val="20"/>
                <w:szCs w:val="20"/>
              </w:rPr>
              <w:t xml:space="preserve"> in </w:t>
            </w:r>
            <w:r>
              <w:rPr>
                <w:rFonts w:ascii="Times New Roman" w:hAnsi="Times New Roman" w:cs="Times New Roman"/>
                <w:sz w:val="20"/>
                <w:szCs w:val="20"/>
              </w:rPr>
              <w:t xml:space="preserve">the </w:t>
            </w:r>
            <w:r>
              <w:rPr>
                <w:rFonts w:ascii="Times New Roman" w:hAnsi="Times New Roman" w:cs="Times New Roman" w:hint="eastAsia"/>
                <w:sz w:val="20"/>
                <w:szCs w:val="20"/>
              </w:rPr>
              <w:t>syndicated loan market.</w:t>
            </w:r>
          </w:p>
        </w:tc>
      </w:tr>
      <w:tr w:rsidR="00AF648E" w14:paraId="7028B30C" w14:textId="77777777" w:rsidTr="0029437B">
        <w:trPr>
          <w:trHeight w:val="340"/>
        </w:trPr>
        <w:tc>
          <w:tcPr>
            <w:tcW w:w="1447" w:type="dxa"/>
            <w:tcBorders>
              <w:bottom w:val="single" w:sz="4" w:space="0" w:color="auto"/>
            </w:tcBorders>
            <w:vAlign w:val="center"/>
          </w:tcPr>
          <w:p w14:paraId="36FAE3EE" w14:textId="77777777" w:rsidR="00AF648E" w:rsidRPr="002040A3"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hint="eastAsia"/>
                <w:i/>
                <w:sz w:val="20"/>
                <w:szCs w:val="20"/>
              </w:rPr>
              <w:t>Secured_Synd</w:t>
            </w:r>
          </w:p>
        </w:tc>
        <w:tc>
          <w:tcPr>
            <w:tcW w:w="6917" w:type="dxa"/>
            <w:tcBorders>
              <w:bottom w:val="single" w:sz="4" w:space="0" w:color="auto"/>
              <w:right w:val="nil"/>
            </w:tcBorders>
            <w:vAlign w:val="center"/>
          </w:tcPr>
          <w:p w14:paraId="5206F66E"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Percent of loan amount secured by collateral in </w:t>
            </w:r>
            <w:r>
              <w:rPr>
                <w:rFonts w:ascii="Times New Roman" w:hAnsi="Times New Roman" w:cs="Times New Roman"/>
                <w:sz w:val="20"/>
                <w:szCs w:val="20"/>
              </w:rPr>
              <w:t xml:space="preserve">the </w:t>
            </w:r>
            <w:r>
              <w:rPr>
                <w:rFonts w:ascii="Times New Roman" w:hAnsi="Times New Roman" w:cs="Times New Roman" w:hint="eastAsia"/>
                <w:sz w:val="20"/>
                <w:szCs w:val="20"/>
              </w:rPr>
              <w:t>syndicated loan market.</w:t>
            </w:r>
          </w:p>
        </w:tc>
      </w:tr>
      <w:tr w:rsidR="00AF648E" w14:paraId="4ABAEEED" w14:textId="77777777" w:rsidTr="0029437B">
        <w:trPr>
          <w:trHeight w:val="340"/>
        </w:trPr>
        <w:tc>
          <w:tcPr>
            <w:tcW w:w="8364" w:type="dxa"/>
            <w:gridSpan w:val="2"/>
            <w:tcBorders>
              <w:bottom w:val="nil"/>
            </w:tcBorders>
            <w:vAlign w:val="center"/>
          </w:tcPr>
          <w:p w14:paraId="6469D270"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Flow of Funds data</w:t>
            </w:r>
          </w:p>
        </w:tc>
      </w:tr>
      <w:tr w:rsidR="00AF648E" w14:paraId="056C58BB" w14:textId="77777777" w:rsidTr="0029437B">
        <w:trPr>
          <w:trHeight w:val="340"/>
        </w:trPr>
        <w:tc>
          <w:tcPr>
            <w:tcW w:w="1447" w:type="dxa"/>
            <w:tcBorders>
              <w:top w:val="nil"/>
              <w:bottom w:val="nil"/>
            </w:tcBorders>
            <w:vAlign w:val="center"/>
          </w:tcPr>
          <w:p w14:paraId="006CC495" w14:textId="77777777" w:rsidR="00AF648E"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sidRPr="004E6AA6">
              <w:rPr>
                <w:rFonts w:ascii="Times New Roman" w:hAnsi="Times New Roman" w:cs="Times New Roman"/>
                <w:i/>
                <w:sz w:val="20"/>
                <w:szCs w:val="20"/>
              </w:rPr>
              <w:lastRenderedPageBreak/>
              <w:t>∆</w:t>
            </w:r>
            <w:r>
              <w:rPr>
                <w:rFonts w:ascii="Times New Roman" w:hAnsi="Times New Roman" w:cs="Times New Roman" w:hint="eastAsia"/>
                <w:i/>
                <w:sz w:val="20"/>
                <w:szCs w:val="20"/>
              </w:rPr>
              <w:t>Loan_FoF</w:t>
            </w:r>
          </w:p>
        </w:tc>
        <w:tc>
          <w:tcPr>
            <w:tcW w:w="6917" w:type="dxa"/>
            <w:tcBorders>
              <w:top w:val="nil"/>
              <w:bottom w:val="nil"/>
              <w:right w:val="nil"/>
            </w:tcBorders>
            <w:vAlign w:val="center"/>
          </w:tcPr>
          <w:p w14:paraId="67BE2A5E"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 xml:space="preserve">Change in </w:t>
            </w:r>
            <w:r w:rsidRPr="00A824C8">
              <w:rPr>
                <w:rFonts w:ascii="Times New Roman" w:hAnsi="Times New Roman" w:cs="Times New Roman"/>
                <w:sz w:val="20"/>
                <w:szCs w:val="20"/>
              </w:rPr>
              <w:t>Non</w:t>
            </w:r>
            <w:r>
              <w:rPr>
                <w:rFonts w:ascii="Times New Roman" w:hAnsi="Times New Roman" w:cs="Times New Roman"/>
                <w:sz w:val="20"/>
                <w:szCs w:val="20"/>
              </w:rPr>
              <w:t>-</w:t>
            </w:r>
            <w:r w:rsidRPr="00A824C8">
              <w:rPr>
                <w:rFonts w:ascii="Times New Roman" w:hAnsi="Times New Roman" w:cs="Times New Roman"/>
                <w:sz w:val="20"/>
                <w:szCs w:val="20"/>
              </w:rPr>
              <w:t xml:space="preserve">financial </w:t>
            </w:r>
            <w:r>
              <w:rPr>
                <w:rFonts w:ascii="Times New Roman" w:hAnsi="Times New Roman" w:cs="Times New Roman"/>
                <w:sz w:val="20"/>
                <w:szCs w:val="20"/>
              </w:rPr>
              <w:t>c</w:t>
            </w:r>
            <w:r w:rsidRPr="00A824C8">
              <w:rPr>
                <w:rFonts w:ascii="Times New Roman" w:hAnsi="Times New Roman" w:cs="Times New Roman"/>
                <w:sz w:val="20"/>
                <w:szCs w:val="20"/>
              </w:rPr>
              <w:t xml:space="preserve">orporate </w:t>
            </w:r>
            <w:r>
              <w:rPr>
                <w:rFonts w:ascii="Times New Roman" w:hAnsi="Times New Roman" w:cs="Times New Roman"/>
                <w:sz w:val="20"/>
                <w:szCs w:val="20"/>
              </w:rPr>
              <w:t>b</w:t>
            </w:r>
            <w:r w:rsidRPr="00A824C8">
              <w:rPr>
                <w:rFonts w:ascii="Times New Roman" w:hAnsi="Times New Roman" w:cs="Times New Roman"/>
                <w:sz w:val="20"/>
                <w:szCs w:val="20"/>
              </w:rPr>
              <w:t>usiness</w:t>
            </w:r>
            <w:r>
              <w:rPr>
                <w:rFonts w:ascii="Times New Roman" w:hAnsi="Times New Roman" w:cs="Times New Roman"/>
                <w:sz w:val="20"/>
                <w:szCs w:val="20"/>
              </w:rPr>
              <w:t xml:space="preserve"> debt from </w:t>
            </w:r>
            <w:r>
              <w:rPr>
                <w:rFonts w:ascii="Times New Roman" w:hAnsi="Times New Roman" w:cs="Times New Roman" w:hint="eastAsia"/>
                <w:sz w:val="20"/>
                <w:szCs w:val="20"/>
              </w:rPr>
              <w:t xml:space="preserve">Flow of Funds data on </w:t>
            </w:r>
            <w:r w:rsidRPr="00A824C8">
              <w:rPr>
                <w:rFonts w:ascii="Times New Roman" w:hAnsi="Times New Roman" w:cs="Times New Roman"/>
                <w:sz w:val="20"/>
                <w:szCs w:val="20"/>
              </w:rPr>
              <w:t>Depository Institution</w:t>
            </w:r>
            <w:r>
              <w:rPr>
                <w:rFonts w:ascii="Times New Roman" w:hAnsi="Times New Roman" w:cs="Times New Roman" w:hint="eastAsia"/>
                <w:sz w:val="20"/>
                <w:szCs w:val="20"/>
              </w:rPr>
              <w:t xml:space="preserve"> Loans Not Elsewhere Classified</w:t>
            </w:r>
            <w:r>
              <w:rPr>
                <w:rFonts w:ascii="Times New Roman" w:hAnsi="Times New Roman" w:cs="Times New Roman"/>
                <w:sz w:val="20"/>
                <w:szCs w:val="20"/>
              </w:rPr>
              <w:t xml:space="preserve"> and Other Loans and Advances</w:t>
            </w:r>
            <w:r>
              <w:rPr>
                <w:rFonts w:ascii="Times New Roman" w:hAnsi="Times New Roman" w:cs="Times New Roman" w:hint="eastAsia"/>
                <w:sz w:val="20"/>
                <w:szCs w:val="20"/>
              </w:rPr>
              <w:t>.</w:t>
            </w:r>
          </w:p>
        </w:tc>
      </w:tr>
      <w:tr w:rsidR="00AF648E" w14:paraId="19121FA5" w14:textId="77777777" w:rsidTr="0029437B">
        <w:trPr>
          <w:trHeight w:val="340"/>
        </w:trPr>
        <w:tc>
          <w:tcPr>
            <w:tcW w:w="1447" w:type="dxa"/>
            <w:tcBorders>
              <w:top w:val="nil"/>
            </w:tcBorders>
            <w:vAlign w:val="center"/>
          </w:tcPr>
          <w:p w14:paraId="2894B130" w14:textId="77777777" w:rsidR="00AF648E"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sidRPr="004E6AA6">
              <w:rPr>
                <w:rFonts w:ascii="Times New Roman" w:hAnsi="Times New Roman" w:cs="Times New Roman"/>
                <w:i/>
                <w:sz w:val="20"/>
                <w:szCs w:val="20"/>
              </w:rPr>
              <w:t>∆</w:t>
            </w:r>
            <w:r>
              <w:rPr>
                <w:rFonts w:ascii="Times New Roman" w:hAnsi="Times New Roman" w:cs="Times New Roman"/>
                <w:i/>
                <w:sz w:val="20"/>
                <w:szCs w:val="20"/>
              </w:rPr>
              <w:t>Bond</w:t>
            </w:r>
            <w:r>
              <w:rPr>
                <w:rFonts w:ascii="Times New Roman" w:hAnsi="Times New Roman" w:cs="Times New Roman" w:hint="eastAsia"/>
                <w:i/>
                <w:sz w:val="20"/>
                <w:szCs w:val="20"/>
              </w:rPr>
              <w:t>_FoF</w:t>
            </w:r>
          </w:p>
        </w:tc>
        <w:tc>
          <w:tcPr>
            <w:tcW w:w="6917" w:type="dxa"/>
            <w:tcBorders>
              <w:top w:val="nil"/>
              <w:right w:val="nil"/>
            </w:tcBorders>
            <w:vAlign w:val="center"/>
          </w:tcPr>
          <w:p w14:paraId="6B5E3B34"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sz w:val="20"/>
                <w:szCs w:val="20"/>
              </w:rPr>
              <w:t xml:space="preserve">Change in </w:t>
            </w:r>
            <w:r w:rsidRPr="00A824C8">
              <w:rPr>
                <w:rFonts w:ascii="Times New Roman" w:hAnsi="Times New Roman" w:cs="Times New Roman"/>
                <w:sz w:val="20"/>
                <w:szCs w:val="20"/>
              </w:rPr>
              <w:t>Non</w:t>
            </w:r>
            <w:r>
              <w:rPr>
                <w:rFonts w:ascii="Times New Roman" w:hAnsi="Times New Roman" w:cs="Times New Roman"/>
                <w:sz w:val="20"/>
                <w:szCs w:val="20"/>
              </w:rPr>
              <w:t>-</w:t>
            </w:r>
            <w:r w:rsidRPr="00A824C8">
              <w:rPr>
                <w:rFonts w:ascii="Times New Roman" w:hAnsi="Times New Roman" w:cs="Times New Roman"/>
                <w:sz w:val="20"/>
                <w:szCs w:val="20"/>
              </w:rPr>
              <w:t xml:space="preserve">financial </w:t>
            </w:r>
            <w:r>
              <w:rPr>
                <w:rFonts w:ascii="Times New Roman" w:hAnsi="Times New Roman" w:cs="Times New Roman"/>
                <w:sz w:val="20"/>
                <w:szCs w:val="20"/>
              </w:rPr>
              <w:t>c</w:t>
            </w:r>
            <w:r w:rsidRPr="00A824C8">
              <w:rPr>
                <w:rFonts w:ascii="Times New Roman" w:hAnsi="Times New Roman" w:cs="Times New Roman"/>
                <w:sz w:val="20"/>
                <w:szCs w:val="20"/>
              </w:rPr>
              <w:t xml:space="preserve">orporate </w:t>
            </w:r>
            <w:r>
              <w:rPr>
                <w:rFonts w:ascii="Times New Roman" w:hAnsi="Times New Roman" w:cs="Times New Roman"/>
                <w:sz w:val="20"/>
                <w:szCs w:val="20"/>
              </w:rPr>
              <w:t>b</w:t>
            </w:r>
            <w:r w:rsidRPr="00A824C8">
              <w:rPr>
                <w:rFonts w:ascii="Times New Roman" w:hAnsi="Times New Roman" w:cs="Times New Roman"/>
                <w:sz w:val="20"/>
                <w:szCs w:val="20"/>
              </w:rPr>
              <w:t>usiness</w:t>
            </w:r>
            <w:r>
              <w:rPr>
                <w:rFonts w:ascii="Times New Roman" w:hAnsi="Times New Roman" w:cs="Times New Roman"/>
                <w:sz w:val="20"/>
                <w:szCs w:val="20"/>
              </w:rPr>
              <w:t xml:space="preserve"> debt from </w:t>
            </w:r>
            <w:r>
              <w:rPr>
                <w:rFonts w:ascii="Times New Roman" w:hAnsi="Times New Roman" w:cs="Times New Roman" w:hint="eastAsia"/>
                <w:sz w:val="20"/>
                <w:szCs w:val="20"/>
              </w:rPr>
              <w:t>Flow of Funds data on</w:t>
            </w:r>
            <w:r>
              <w:rPr>
                <w:rFonts w:ascii="Times New Roman" w:hAnsi="Times New Roman" w:cs="Times New Roman"/>
                <w:sz w:val="20"/>
                <w:szCs w:val="20"/>
              </w:rPr>
              <w:t xml:space="preserve"> </w:t>
            </w:r>
            <w:r w:rsidRPr="00A824C8">
              <w:rPr>
                <w:rFonts w:ascii="Times New Roman" w:hAnsi="Times New Roman" w:cs="Times New Roman"/>
                <w:sz w:val="20"/>
                <w:szCs w:val="20"/>
              </w:rPr>
              <w:t xml:space="preserve">Commercial Paper </w:t>
            </w:r>
            <w:r>
              <w:rPr>
                <w:rFonts w:ascii="Times New Roman" w:hAnsi="Times New Roman" w:cs="Times New Roman"/>
                <w:sz w:val="20"/>
                <w:szCs w:val="20"/>
              </w:rPr>
              <w:t xml:space="preserve">and </w:t>
            </w:r>
            <w:r w:rsidRPr="00A824C8">
              <w:rPr>
                <w:rFonts w:ascii="Times New Roman" w:hAnsi="Times New Roman" w:cs="Times New Roman"/>
                <w:sz w:val="20"/>
                <w:szCs w:val="20"/>
              </w:rPr>
              <w:t>Corporate Bonds</w:t>
            </w:r>
            <w:r>
              <w:rPr>
                <w:rFonts w:ascii="Times New Roman" w:hAnsi="Times New Roman" w:cs="Times New Roman"/>
                <w:sz w:val="20"/>
                <w:szCs w:val="20"/>
              </w:rPr>
              <w:t>.</w:t>
            </w:r>
          </w:p>
        </w:tc>
      </w:tr>
      <w:tr w:rsidR="00AF648E" w14:paraId="63055A46" w14:textId="77777777" w:rsidTr="0029437B">
        <w:trPr>
          <w:trHeight w:val="340"/>
        </w:trPr>
        <w:tc>
          <w:tcPr>
            <w:tcW w:w="1447" w:type="dxa"/>
            <w:tcBorders>
              <w:bottom w:val="nil"/>
            </w:tcBorders>
            <w:vAlign w:val="center"/>
          </w:tcPr>
          <w:p w14:paraId="6754CA31" w14:textId="77777777" w:rsidR="00AF648E" w:rsidRPr="002040A3"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i/>
                <w:sz w:val="20"/>
                <w:szCs w:val="20"/>
              </w:rPr>
              <w:t>Loan-Bond</w:t>
            </w:r>
          </w:p>
        </w:tc>
        <w:tc>
          <w:tcPr>
            <w:tcW w:w="6917" w:type="dxa"/>
            <w:tcBorders>
              <w:bottom w:val="nil"/>
              <w:right w:val="nil"/>
            </w:tcBorders>
            <w:vAlign w:val="center"/>
          </w:tcPr>
          <w:p w14:paraId="3ADD9E0E" w14:textId="77777777" w:rsidR="00AF648E"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The growth rate </w:t>
            </w:r>
            <w:r>
              <w:rPr>
                <w:rFonts w:ascii="Times New Roman" w:hAnsi="Times New Roman" w:cs="Times New Roman"/>
                <w:sz w:val="20"/>
                <w:szCs w:val="20"/>
              </w:rPr>
              <w:t xml:space="preserve">of </w:t>
            </w:r>
            <w:r>
              <w:rPr>
                <w:rFonts w:ascii="Times New Roman" w:hAnsi="Times New Roman" w:cs="Times New Roman" w:hint="eastAsia"/>
                <w:i/>
                <w:sz w:val="20"/>
                <w:szCs w:val="20"/>
              </w:rPr>
              <w:t>Loan_FoF</w:t>
            </w:r>
            <w:r>
              <w:rPr>
                <w:rFonts w:ascii="Times New Roman" w:hAnsi="Times New Roman" w:cs="Times New Roman"/>
                <w:sz w:val="20"/>
                <w:szCs w:val="20"/>
              </w:rPr>
              <w:t xml:space="preserve"> minus the growth rate of </w:t>
            </w:r>
            <w:r>
              <w:rPr>
                <w:rFonts w:ascii="Times New Roman" w:hAnsi="Times New Roman" w:cs="Times New Roman"/>
                <w:i/>
                <w:sz w:val="20"/>
                <w:szCs w:val="20"/>
              </w:rPr>
              <w:t>Bond</w:t>
            </w:r>
            <w:r>
              <w:rPr>
                <w:rFonts w:ascii="Times New Roman" w:hAnsi="Times New Roman" w:cs="Times New Roman" w:hint="eastAsia"/>
                <w:i/>
                <w:sz w:val="20"/>
                <w:szCs w:val="20"/>
              </w:rPr>
              <w:t>_FoF</w:t>
            </w:r>
            <w:r>
              <w:rPr>
                <w:rFonts w:ascii="Times New Roman" w:hAnsi="Times New Roman" w:cs="Times New Roman"/>
                <w:sz w:val="20"/>
                <w:szCs w:val="20"/>
              </w:rPr>
              <w:t>.</w:t>
            </w:r>
          </w:p>
        </w:tc>
      </w:tr>
      <w:tr w:rsidR="00AF648E" w14:paraId="1575C3E2" w14:textId="77777777" w:rsidTr="0029437B">
        <w:trPr>
          <w:trHeight w:val="340"/>
        </w:trPr>
        <w:tc>
          <w:tcPr>
            <w:tcW w:w="1447" w:type="dxa"/>
            <w:tcBorders>
              <w:top w:val="nil"/>
              <w:bottom w:val="single" w:sz="4" w:space="0" w:color="auto"/>
            </w:tcBorders>
            <w:vAlign w:val="center"/>
          </w:tcPr>
          <w:p w14:paraId="5F650B71" w14:textId="77777777" w:rsidR="00AF648E" w:rsidRPr="004E6AA6" w:rsidRDefault="00AF648E" w:rsidP="0029437B">
            <w:pPr>
              <w:spacing w:before="100" w:beforeAutospacing="1" w:after="100" w:afterAutospacing="1" w:line="280" w:lineRule="exact"/>
              <w:ind w:firstLineChars="55" w:firstLine="110"/>
              <w:jc w:val="both"/>
              <w:rPr>
                <w:rFonts w:ascii="Times New Roman" w:hAnsi="Times New Roman" w:cs="Times New Roman"/>
                <w:i/>
                <w:sz w:val="20"/>
                <w:szCs w:val="20"/>
              </w:rPr>
            </w:pPr>
            <w:r>
              <w:rPr>
                <w:rFonts w:ascii="Times New Roman" w:hAnsi="Times New Roman" w:cs="Times New Roman"/>
                <w:i/>
                <w:sz w:val="20"/>
                <w:szCs w:val="20"/>
              </w:rPr>
              <w:t>Loan/Debt</w:t>
            </w:r>
          </w:p>
        </w:tc>
        <w:tc>
          <w:tcPr>
            <w:tcW w:w="6917" w:type="dxa"/>
            <w:tcBorders>
              <w:top w:val="nil"/>
              <w:bottom w:val="single" w:sz="4" w:space="0" w:color="auto"/>
              <w:right w:val="nil"/>
            </w:tcBorders>
            <w:vAlign w:val="center"/>
          </w:tcPr>
          <w:p w14:paraId="4274C9FD" w14:textId="77777777" w:rsidR="00AF648E" w:rsidRPr="004E6AA6" w:rsidRDefault="00AF648E" w:rsidP="0029437B">
            <w:pPr>
              <w:spacing w:before="100" w:beforeAutospacing="1" w:after="100" w:afterAutospacing="1" w:line="280" w:lineRule="exact"/>
              <w:jc w:val="both"/>
              <w:rPr>
                <w:rFonts w:ascii="Times New Roman" w:hAnsi="Times New Roman" w:cs="Times New Roman"/>
                <w:sz w:val="20"/>
                <w:szCs w:val="20"/>
              </w:rPr>
            </w:pPr>
            <w:r>
              <w:rPr>
                <w:rFonts w:ascii="Times New Roman" w:hAnsi="Times New Roman" w:cs="Times New Roman" w:hint="eastAsia"/>
                <w:sz w:val="20"/>
                <w:szCs w:val="20"/>
              </w:rPr>
              <w:t xml:space="preserve">Change in the ratio </w:t>
            </w:r>
            <w:r>
              <w:rPr>
                <w:rFonts w:ascii="Times New Roman" w:hAnsi="Times New Roman" w:cs="Times New Roman"/>
                <w:sz w:val="20"/>
                <w:szCs w:val="20"/>
              </w:rPr>
              <w:t xml:space="preserve">of </w:t>
            </w:r>
            <w:r>
              <w:rPr>
                <w:rFonts w:ascii="Times New Roman" w:hAnsi="Times New Roman" w:cs="Times New Roman" w:hint="eastAsia"/>
                <w:i/>
                <w:sz w:val="20"/>
                <w:szCs w:val="20"/>
              </w:rPr>
              <w:t>Loan_FoF</w:t>
            </w:r>
            <w:r>
              <w:rPr>
                <w:rFonts w:ascii="Times New Roman" w:hAnsi="Times New Roman" w:cs="Times New Roman"/>
                <w:sz w:val="20"/>
                <w:szCs w:val="20"/>
              </w:rPr>
              <w:t xml:space="preserve"> to the sum of </w:t>
            </w:r>
            <w:r>
              <w:rPr>
                <w:rFonts w:ascii="Times New Roman" w:hAnsi="Times New Roman" w:cs="Times New Roman" w:hint="eastAsia"/>
                <w:i/>
                <w:sz w:val="20"/>
                <w:szCs w:val="20"/>
              </w:rPr>
              <w:t>Loan_FoF</w:t>
            </w:r>
            <w:r>
              <w:rPr>
                <w:rFonts w:ascii="Times New Roman" w:hAnsi="Times New Roman" w:cs="Times New Roman"/>
                <w:sz w:val="20"/>
                <w:szCs w:val="20"/>
              </w:rPr>
              <w:t xml:space="preserve"> and </w:t>
            </w:r>
            <w:r>
              <w:rPr>
                <w:rFonts w:ascii="Times New Roman" w:hAnsi="Times New Roman" w:cs="Times New Roman"/>
                <w:i/>
                <w:sz w:val="20"/>
                <w:szCs w:val="20"/>
              </w:rPr>
              <w:t>Bond</w:t>
            </w:r>
            <w:r>
              <w:rPr>
                <w:rFonts w:ascii="Times New Roman" w:hAnsi="Times New Roman" w:cs="Times New Roman" w:hint="eastAsia"/>
                <w:i/>
                <w:sz w:val="20"/>
                <w:szCs w:val="20"/>
              </w:rPr>
              <w:t>_FoF</w:t>
            </w:r>
            <w:r>
              <w:rPr>
                <w:rFonts w:ascii="Times New Roman" w:hAnsi="Times New Roman" w:cs="Times New Roman"/>
                <w:sz w:val="20"/>
                <w:szCs w:val="20"/>
              </w:rPr>
              <w:t>.</w:t>
            </w:r>
          </w:p>
        </w:tc>
      </w:tr>
    </w:tbl>
    <w:p w14:paraId="625F70F8" w14:textId="77777777" w:rsidR="00C653E8" w:rsidRDefault="00AF648E" w:rsidP="00C653E8">
      <w:pPr>
        <w:spacing w:after="0" w:line="240" w:lineRule="auto"/>
        <w:jc w:val="both"/>
        <w:rPr>
          <w:rFonts w:ascii="Times New Roman" w:hAnsi="Times New Roman" w:cs="Times New Roman"/>
          <w:sz w:val="20"/>
          <w:szCs w:val="20"/>
        </w:rPr>
      </w:pPr>
      <w:r w:rsidRPr="00FF4169">
        <w:rPr>
          <w:rFonts w:ascii="Times New Roman" w:hAnsi="Times New Roman" w:cs="Times New Roman"/>
          <w:sz w:val="20"/>
          <w:szCs w:val="20"/>
        </w:rPr>
        <w:t>N</w:t>
      </w:r>
      <w:r>
        <w:rPr>
          <w:rFonts w:ascii="Times New Roman" w:hAnsi="Times New Roman" w:cs="Times New Roman"/>
          <w:sz w:val="20"/>
          <w:szCs w:val="20"/>
        </w:rPr>
        <w:t>OTES</w:t>
      </w:r>
      <w:r w:rsidRPr="00FF4169">
        <w:rPr>
          <w:rFonts w:ascii="Times New Roman" w:hAnsi="Times New Roman" w:cs="Times New Roman"/>
          <w:sz w:val="20"/>
          <w:szCs w:val="20"/>
        </w:rPr>
        <w:t xml:space="preserve">: The computation of </w:t>
      </w:r>
      <w:r w:rsidRPr="00FF4169">
        <w:rPr>
          <w:rFonts w:ascii="Times New Roman" w:hAnsi="Times New Roman" w:cs="Times New Roman"/>
          <w:i/>
          <w:sz w:val="20"/>
          <w:szCs w:val="20"/>
        </w:rPr>
        <w:t>VRP</w:t>
      </w:r>
      <w:r w:rsidRPr="00FF4169">
        <w:rPr>
          <w:rFonts w:ascii="Times New Roman" w:hAnsi="Times New Roman" w:cs="Times New Roman"/>
          <w:sz w:val="20"/>
          <w:szCs w:val="20"/>
        </w:rPr>
        <w:t xml:space="preserve"> uses </w:t>
      </w:r>
      <w:r w:rsidRPr="00FF4169">
        <w:rPr>
          <w:rFonts w:ascii="Times New Roman" w:hAnsi="Times New Roman" w:cs="Times New Roman"/>
          <w:i/>
          <w:sz w:val="20"/>
          <w:szCs w:val="20"/>
        </w:rPr>
        <w:t>VIX</w:t>
      </w:r>
      <w:r w:rsidRPr="00FF4169">
        <w:rPr>
          <w:rFonts w:ascii="Times New Roman" w:hAnsi="Times New Roman" w:cs="Times New Roman"/>
          <w:sz w:val="20"/>
          <w:szCs w:val="20"/>
        </w:rPr>
        <w:t xml:space="preserve"> which is obtained from CBOE website and intraday S&amp;P500 index which is taken from Tick Data. LPC syndicated loan sample </w:t>
      </w:r>
      <w:r>
        <w:rPr>
          <w:rFonts w:ascii="Times New Roman" w:hAnsi="Times New Roman" w:cs="Times New Roman"/>
          <w:sz w:val="20"/>
          <w:szCs w:val="20"/>
        </w:rPr>
        <w:t>comprises</w:t>
      </w:r>
      <w:r w:rsidRPr="00FF4169">
        <w:rPr>
          <w:rFonts w:ascii="Times New Roman" w:hAnsi="Times New Roman" w:cs="Times New Roman"/>
          <w:sz w:val="20"/>
          <w:szCs w:val="20"/>
        </w:rPr>
        <w:t xml:space="preserve"> U.S.-dollar denominated loans which are syndicated in the US. These loans are distributed through syndication or club deal, and the loans are term loans or revolving loans. All data other than those otherwise specified are obtained from the Federal Reserve Bank of St Louis. Data for </w:t>
      </w:r>
      <w:r w:rsidRPr="00FF4169">
        <w:rPr>
          <w:rFonts w:ascii="Times New Roman" w:hAnsi="Times New Roman" w:cs="Times New Roman"/>
          <w:i/>
          <w:sz w:val="20"/>
          <w:szCs w:val="20"/>
        </w:rPr>
        <w:t>LoanSize_LM</w:t>
      </w:r>
      <w:r w:rsidRPr="00FF4169">
        <w:rPr>
          <w:rFonts w:ascii="Times New Roman" w:hAnsi="Times New Roman" w:cs="Times New Roman"/>
          <w:sz w:val="20"/>
          <w:szCs w:val="20"/>
        </w:rPr>
        <w:t xml:space="preserve">, </w:t>
      </w:r>
      <w:r w:rsidRPr="00FF4169">
        <w:rPr>
          <w:rFonts w:ascii="Times New Roman" w:hAnsi="Times New Roman" w:cs="Times New Roman"/>
          <w:i/>
          <w:sz w:val="20"/>
          <w:szCs w:val="20"/>
        </w:rPr>
        <w:t>Maturity_LM</w:t>
      </w:r>
      <w:r w:rsidRPr="00FF4169">
        <w:rPr>
          <w:rFonts w:ascii="Times New Roman" w:hAnsi="Times New Roman" w:cs="Times New Roman"/>
          <w:sz w:val="20"/>
          <w:szCs w:val="20"/>
        </w:rPr>
        <w:t xml:space="preserve">, </w:t>
      </w:r>
      <w:r w:rsidRPr="00FF4169">
        <w:rPr>
          <w:rFonts w:ascii="Times New Roman" w:hAnsi="Times New Roman" w:cs="Times New Roman"/>
          <w:i/>
          <w:sz w:val="20"/>
          <w:szCs w:val="20"/>
        </w:rPr>
        <w:t>Secure_LM</w:t>
      </w:r>
      <w:r w:rsidRPr="00FF4169">
        <w:rPr>
          <w:rFonts w:ascii="Times New Roman" w:hAnsi="Times New Roman" w:cs="Times New Roman"/>
          <w:sz w:val="20"/>
          <w:szCs w:val="20"/>
        </w:rPr>
        <w:t xml:space="preserve"> and </w:t>
      </w:r>
      <w:r w:rsidRPr="00FF4169">
        <w:rPr>
          <w:rFonts w:ascii="Times New Roman" w:hAnsi="Times New Roman" w:cs="Times New Roman"/>
          <w:i/>
          <w:sz w:val="20"/>
          <w:szCs w:val="20"/>
        </w:rPr>
        <w:t>Loan_Spr</w:t>
      </w:r>
      <w:r w:rsidRPr="00FF4169">
        <w:rPr>
          <w:rFonts w:ascii="Times New Roman" w:hAnsi="Times New Roman" w:cs="Times New Roman"/>
          <w:sz w:val="20"/>
          <w:szCs w:val="20"/>
        </w:rPr>
        <w:t xml:space="preserve"> are obtained from Federal Reserve Board Statistical Release. LPC LoanConnector data are from Thomson Reuters.</w:t>
      </w:r>
    </w:p>
    <w:p w14:paraId="4DE6FF1E" w14:textId="77777777" w:rsidR="00C653E8" w:rsidRDefault="00C653E8" w:rsidP="00C653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br w:type="page"/>
      </w:r>
    </w:p>
    <w:p w14:paraId="662FCA2B" w14:textId="590FCAE1" w:rsidR="00AF648E" w:rsidRPr="00F2701A" w:rsidRDefault="00AF648E" w:rsidP="00C653E8">
      <w:pPr>
        <w:spacing w:after="0" w:line="240" w:lineRule="auto"/>
        <w:jc w:val="both"/>
        <w:rPr>
          <w:rFonts w:ascii="Times New Roman" w:hAnsi="Times New Roman" w:cs="Times New Roman"/>
          <w:sz w:val="24"/>
          <w:szCs w:val="24"/>
        </w:rPr>
      </w:pPr>
      <w:r w:rsidRPr="00F2701A">
        <w:rPr>
          <w:rFonts w:ascii="Times New Roman" w:hAnsi="Times New Roman" w:cs="Times New Roman" w:hint="eastAsia"/>
          <w:sz w:val="24"/>
          <w:szCs w:val="24"/>
        </w:rPr>
        <w:lastRenderedPageBreak/>
        <w:t>T</w:t>
      </w:r>
      <w:r w:rsidRPr="00F2701A">
        <w:rPr>
          <w:rFonts w:ascii="Times New Roman" w:hAnsi="Times New Roman" w:cs="Times New Roman"/>
          <w:sz w:val="24"/>
          <w:szCs w:val="24"/>
        </w:rPr>
        <w:t>ABLE</w:t>
      </w:r>
      <w:r w:rsidRPr="00F2701A">
        <w:rPr>
          <w:rFonts w:ascii="Times New Roman" w:hAnsi="Times New Roman" w:cs="Times New Roman" w:hint="eastAsia"/>
          <w:sz w:val="24"/>
          <w:szCs w:val="24"/>
        </w:rPr>
        <w:t xml:space="preserve"> A</w:t>
      </w:r>
      <w:r>
        <w:rPr>
          <w:rFonts w:ascii="Times New Roman" w:hAnsi="Times New Roman" w:cs="Times New Roman"/>
          <w:sz w:val="24"/>
          <w:szCs w:val="24"/>
        </w:rPr>
        <w:t>3</w:t>
      </w:r>
    </w:p>
    <w:p w14:paraId="526BC476" w14:textId="0AB5937B" w:rsidR="00AF648E" w:rsidRPr="00FF4169" w:rsidRDefault="000C0439" w:rsidP="00AF648E">
      <w:pPr>
        <w:spacing w:after="0"/>
        <w:rPr>
          <w:rFonts w:ascii="Times New Roman" w:hAnsi="Times New Roman" w:cs="Times New Roman"/>
          <w:sz w:val="24"/>
          <w:szCs w:val="24"/>
        </w:rPr>
      </w:pPr>
      <w:r w:rsidRPr="00FF4169">
        <w:rPr>
          <w:rFonts w:ascii="Times New Roman" w:hAnsi="Times New Roman" w:cs="Times New Roman"/>
          <w:sz w:val="24"/>
          <w:szCs w:val="24"/>
        </w:rPr>
        <w:t>SIMULTANEOUS</w:t>
      </w:r>
      <w:r>
        <w:rPr>
          <w:rFonts w:ascii="Times New Roman" w:hAnsi="Times New Roman" w:cs="Times New Roman"/>
          <w:sz w:val="24"/>
          <w:szCs w:val="24"/>
        </w:rPr>
        <w:t xml:space="preserve"> </w:t>
      </w:r>
      <w:r w:rsidRPr="00FF4169">
        <w:rPr>
          <w:rFonts w:ascii="Times New Roman" w:hAnsi="Times New Roman" w:cs="Times New Roman"/>
          <w:sz w:val="24"/>
          <w:szCs w:val="24"/>
        </w:rPr>
        <w:t>EQUATION</w:t>
      </w:r>
      <w:r>
        <w:rPr>
          <w:rFonts w:ascii="Times New Roman" w:hAnsi="Times New Roman" w:cs="Times New Roman"/>
          <w:sz w:val="24"/>
          <w:szCs w:val="24"/>
        </w:rPr>
        <w:t>S</w:t>
      </w:r>
      <w:r w:rsidRPr="00FF4169">
        <w:rPr>
          <w:rFonts w:ascii="Times New Roman" w:hAnsi="Times New Roman" w:cs="Times New Roman"/>
          <w:sz w:val="24"/>
          <w:szCs w:val="24"/>
        </w:rPr>
        <w:t xml:space="preserve"> MODEL FOR</w:t>
      </w:r>
      <w:r w:rsidR="009526EC" w:rsidRPr="00FF4169">
        <w:rPr>
          <w:rFonts w:ascii="Times New Roman" w:hAnsi="Times New Roman" w:cs="Times New Roman"/>
          <w:sz w:val="24"/>
          <w:szCs w:val="24"/>
        </w:rPr>
        <w:t xml:space="preserve"> LOAN SUPPLY AND DEMAND</w:t>
      </w:r>
    </w:p>
    <w:tbl>
      <w:tblPr>
        <w:tblStyle w:val="af4"/>
        <w:tblW w:w="8364"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3189"/>
        <w:gridCol w:w="3190"/>
      </w:tblGrid>
      <w:tr w:rsidR="00AF648E" w14:paraId="29A9AC52" w14:textId="77777777" w:rsidTr="0029437B">
        <w:trPr>
          <w:trHeight w:val="283"/>
        </w:trPr>
        <w:tc>
          <w:tcPr>
            <w:tcW w:w="1985" w:type="dxa"/>
            <w:tcBorders>
              <w:top w:val="single" w:sz="4" w:space="0" w:color="auto"/>
              <w:bottom w:val="single" w:sz="4" w:space="0" w:color="auto"/>
            </w:tcBorders>
            <w:vAlign w:val="center"/>
          </w:tcPr>
          <w:p w14:paraId="0B5CD1D7" w14:textId="77777777" w:rsidR="00AF648E" w:rsidRPr="00C95B8A" w:rsidRDefault="00AF648E" w:rsidP="0029437B">
            <w:pPr>
              <w:jc w:val="both"/>
              <w:rPr>
                <w:rFonts w:ascii="Times New Roman" w:hAnsi="Times New Roman" w:cs="Times New Roman"/>
                <w:sz w:val="20"/>
                <w:szCs w:val="20"/>
              </w:rPr>
            </w:pPr>
          </w:p>
        </w:tc>
        <w:tc>
          <w:tcPr>
            <w:tcW w:w="3189" w:type="dxa"/>
            <w:tcBorders>
              <w:top w:val="single" w:sz="4" w:space="0" w:color="auto"/>
              <w:bottom w:val="single" w:sz="4" w:space="0" w:color="auto"/>
              <w:right w:val="nil"/>
            </w:tcBorders>
            <w:vAlign w:val="center"/>
          </w:tcPr>
          <w:p w14:paraId="02EAD8F6" w14:textId="77777777" w:rsidR="00AF648E" w:rsidRPr="00C95B8A" w:rsidRDefault="00AF648E" w:rsidP="0029437B">
            <w:pPr>
              <w:autoSpaceDE w:val="0"/>
              <w:autoSpaceDN w:val="0"/>
              <w:adjustRightInd w:val="0"/>
              <w:jc w:val="center"/>
              <w:rPr>
                <w:rFonts w:ascii="Times New Roman" w:hAnsi="Times New Roman" w:cs="Times New Roman"/>
                <w:kern w:val="0"/>
                <w:sz w:val="20"/>
                <w:szCs w:val="20"/>
              </w:rPr>
            </w:pPr>
            <w:r w:rsidRPr="00C95B8A">
              <w:rPr>
                <w:rFonts w:ascii="Times New Roman" w:hAnsi="Times New Roman" w:cs="Times New Roman"/>
                <w:i/>
                <w:iCs/>
                <w:color w:val="000000"/>
                <w:sz w:val="20"/>
                <w:szCs w:val="20"/>
              </w:rPr>
              <w:t>Standard_LM</w:t>
            </w:r>
          </w:p>
        </w:tc>
        <w:tc>
          <w:tcPr>
            <w:tcW w:w="3190" w:type="dxa"/>
            <w:tcBorders>
              <w:top w:val="single" w:sz="4" w:space="0" w:color="auto"/>
              <w:left w:val="nil"/>
              <w:bottom w:val="single" w:sz="4" w:space="0" w:color="auto"/>
              <w:right w:val="nil"/>
            </w:tcBorders>
            <w:vAlign w:val="center"/>
          </w:tcPr>
          <w:p w14:paraId="0691FD28" w14:textId="77777777" w:rsidR="00AF648E" w:rsidRPr="00C95B8A" w:rsidRDefault="00AF648E" w:rsidP="0029437B">
            <w:pPr>
              <w:autoSpaceDE w:val="0"/>
              <w:autoSpaceDN w:val="0"/>
              <w:adjustRightInd w:val="0"/>
              <w:jc w:val="center"/>
              <w:rPr>
                <w:rFonts w:ascii="Times New Roman" w:hAnsi="Times New Roman" w:cs="Times New Roman"/>
                <w:kern w:val="0"/>
                <w:sz w:val="20"/>
                <w:szCs w:val="20"/>
              </w:rPr>
            </w:pPr>
            <w:r w:rsidRPr="00C95B8A">
              <w:rPr>
                <w:rFonts w:ascii="Times New Roman" w:hAnsi="Times New Roman" w:cs="Times New Roman"/>
                <w:i/>
                <w:iCs/>
                <w:color w:val="000000"/>
                <w:sz w:val="20"/>
                <w:szCs w:val="20"/>
              </w:rPr>
              <w:t>Demand_LM</w:t>
            </w:r>
          </w:p>
        </w:tc>
      </w:tr>
      <w:tr w:rsidR="00AF648E" w14:paraId="1F70E10B" w14:textId="77777777" w:rsidTr="0029437B">
        <w:trPr>
          <w:trHeight w:val="283"/>
        </w:trPr>
        <w:tc>
          <w:tcPr>
            <w:tcW w:w="1985" w:type="dxa"/>
            <w:tcBorders>
              <w:top w:val="single" w:sz="4" w:space="0" w:color="auto"/>
            </w:tcBorders>
            <w:vAlign w:val="center"/>
          </w:tcPr>
          <w:p w14:paraId="6D448684"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sz w:val="20"/>
                <w:szCs w:val="20"/>
              </w:rPr>
              <w:t>logVR</w:t>
            </w:r>
            <w:r w:rsidRPr="00C95B8A">
              <w:rPr>
                <w:rFonts w:ascii="Times New Roman" w:hAnsi="Times New Roman" w:cs="Times New Roman" w:hint="eastAsia"/>
                <w:i/>
                <w:sz w:val="20"/>
                <w:szCs w:val="20"/>
              </w:rPr>
              <w:t>P</w:t>
            </w:r>
            <w:r w:rsidRPr="00C95B8A">
              <w:rPr>
                <w:rFonts w:ascii="Times New Roman" w:hAnsi="Times New Roman" w:cs="Times New Roman"/>
                <w:i/>
                <w:sz w:val="20"/>
                <w:szCs w:val="20"/>
                <w:vertAlign w:val="subscript"/>
                <w:lang w:eastAsia="zh-HK"/>
              </w:rPr>
              <w:t>t</w:t>
            </w:r>
            <w:r w:rsidRPr="00C95B8A">
              <w:rPr>
                <w:rFonts w:ascii="Times New Roman" w:hAnsi="Times New Roman" w:cs="Times New Roman"/>
                <w:sz w:val="20"/>
                <w:szCs w:val="20"/>
                <w:vertAlign w:val="subscript"/>
                <w:lang w:eastAsia="zh-HK"/>
              </w:rPr>
              <w:t>-1</w:t>
            </w:r>
          </w:p>
        </w:tc>
        <w:tc>
          <w:tcPr>
            <w:tcW w:w="3189" w:type="dxa"/>
            <w:tcBorders>
              <w:top w:val="single" w:sz="4" w:space="0" w:color="auto"/>
              <w:right w:val="nil"/>
            </w:tcBorders>
            <w:vAlign w:val="center"/>
          </w:tcPr>
          <w:p w14:paraId="78E96482"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11.724</w:t>
            </w:r>
          </w:p>
        </w:tc>
        <w:tc>
          <w:tcPr>
            <w:tcW w:w="3190" w:type="dxa"/>
            <w:tcBorders>
              <w:top w:val="single" w:sz="4" w:space="0" w:color="auto"/>
              <w:left w:val="nil"/>
              <w:right w:val="nil"/>
            </w:tcBorders>
            <w:vAlign w:val="center"/>
          </w:tcPr>
          <w:p w14:paraId="2CC1BCB3"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-14.974</w:t>
            </w:r>
          </w:p>
        </w:tc>
      </w:tr>
      <w:tr w:rsidR="00AF648E" w14:paraId="5EA546BF" w14:textId="77777777" w:rsidTr="0029437B">
        <w:trPr>
          <w:trHeight w:val="283"/>
        </w:trPr>
        <w:tc>
          <w:tcPr>
            <w:tcW w:w="1985" w:type="dxa"/>
            <w:vAlign w:val="center"/>
          </w:tcPr>
          <w:p w14:paraId="48761772" w14:textId="77777777" w:rsidR="00AF648E" w:rsidRPr="00C95B8A" w:rsidRDefault="00AF648E" w:rsidP="0029437B">
            <w:pPr>
              <w:jc w:val="both"/>
              <w:rPr>
                <w:rFonts w:ascii="Times New Roman" w:hAnsi="Times New Roman" w:cs="Times New Roman"/>
                <w:sz w:val="20"/>
                <w:szCs w:val="20"/>
              </w:rPr>
            </w:pPr>
          </w:p>
        </w:tc>
        <w:tc>
          <w:tcPr>
            <w:tcW w:w="3189" w:type="dxa"/>
            <w:tcBorders>
              <w:right w:val="nil"/>
            </w:tcBorders>
            <w:vAlign w:val="center"/>
          </w:tcPr>
          <w:p w14:paraId="756E4FF2"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(0.019)</w:t>
            </w:r>
          </w:p>
        </w:tc>
        <w:tc>
          <w:tcPr>
            <w:tcW w:w="3190" w:type="dxa"/>
            <w:tcBorders>
              <w:left w:val="nil"/>
              <w:right w:val="nil"/>
            </w:tcBorders>
            <w:vAlign w:val="center"/>
          </w:tcPr>
          <w:p w14:paraId="23FDE775"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(0.039)</w:t>
            </w:r>
          </w:p>
        </w:tc>
      </w:tr>
      <w:tr w:rsidR="00AF648E" w14:paraId="371CD312" w14:textId="77777777" w:rsidTr="0029437B">
        <w:trPr>
          <w:trHeight w:val="283"/>
        </w:trPr>
        <w:tc>
          <w:tcPr>
            <w:tcW w:w="1985" w:type="dxa"/>
            <w:vAlign w:val="center"/>
          </w:tcPr>
          <w:p w14:paraId="05980606"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sz w:val="20"/>
                <w:szCs w:val="20"/>
              </w:rPr>
              <w:t>Standard_LM</w:t>
            </w:r>
          </w:p>
        </w:tc>
        <w:tc>
          <w:tcPr>
            <w:tcW w:w="3189" w:type="dxa"/>
            <w:tcBorders>
              <w:right w:val="nil"/>
            </w:tcBorders>
            <w:vAlign w:val="center"/>
          </w:tcPr>
          <w:p w14:paraId="342BD897"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1120EC7B"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-0.004</w:t>
            </w:r>
          </w:p>
        </w:tc>
      </w:tr>
      <w:tr w:rsidR="00AF648E" w14:paraId="18EBAA90" w14:textId="77777777" w:rsidTr="0029437B">
        <w:trPr>
          <w:trHeight w:val="283"/>
        </w:trPr>
        <w:tc>
          <w:tcPr>
            <w:tcW w:w="1985" w:type="dxa"/>
            <w:vAlign w:val="center"/>
          </w:tcPr>
          <w:p w14:paraId="67DA2FB4" w14:textId="77777777" w:rsidR="00AF648E" w:rsidRPr="00C95B8A" w:rsidRDefault="00AF648E" w:rsidP="0029437B">
            <w:pPr>
              <w:jc w:val="both"/>
              <w:rPr>
                <w:rFonts w:ascii="Times New Roman" w:hAnsi="Times New Roman" w:cs="Times New Roman"/>
                <w:sz w:val="20"/>
                <w:szCs w:val="20"/>
              </w:rPr>
            </w:pPr>
          </w:p>
        </w:tc>
        <w:tc>
          <w:tcPr>
            <w:tcW w:w="3189" w:type="dxa"/>
            <w:tcBorders>
              <w:right w:val="nil"/>
            </w:tcBorders>
            <w:vAlign w:val="center"/>
          </w:tcPr>
          <w:p w14:paraId="3865083F"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16FA3C65"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(0.991)</w:t>
            </w:r>
          </w:p>
        </w:tc>
      </w:tr>
      <w:tr w:rsidR="00AF648E" w14:paraId="10313A22" w14:textId="77777777" w:rsidTr="0029437B">
        <w:trPr>
          <w:trHeight w:val="283"/>
        </w:trPr>
        <w:tc>
          <w:tcPr>
            <w:tcW w:w="1985" w:type="dxa"/>
            <w:vAlign w:val="center"/>
          </w:tcPr>
          <w:p w14:paraId="23FB0ECF"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hint="eastAsia"/>
                <w:i/>
                <w:sz w:val="20"/>
                <w:szCs w:val="20"/>
              </w:rPr>
              <w:t>Demand_LM</w:t>
            </w:r>
          </w:p>
        </w:tc>
        <w:tc>
          <w:tcPr>
            <w:tcW w:w="3189" w:type="dxa"/>
            <w:tcBorders>
              <w:right w:val="nil"/>
            </w:tcBorders>
            <w:vAlign w:val="center"/>
          </w:tcPr>
          <w:p w14:paraId="7173F363"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-0.279</w:t>
            </w:r>
          </w:p>
        </w:tc>
        <w:tc>
          <w:tcPr>
            <w:tcW w:w="3190" w:type="dxa"/>
            <w:tcBorders>
              <w:left w:val="nil"/>
              <w:right w:val="nil"/>
            </w:tcBorders>
            <w:vAlign w:val="center"/>
          </w:tcPr>
          <w:p w14:paraId="084D1527"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p>
        </w:tc>
      </w:tr>
      <w:tr w:rsidR="00AF648E" w14:paraId="29A792D3" w14:textId="77777777" w:rsidTr="0029437B">
        <w:trPr>
          <w:trHeight w:val="283"/>
        </w:trPr>
        <w:tc>
          <w:tcPr>
            <w:tcW w:w="1985" w:type="dxa"/>
            <w:vAlign w:val="center"/>
          </w:tcPr>
          <w:p w14:paraId="4B8FF056" w14:textId="77777777" w:rsidR="00AF648E" w:rsidRPr="00C95B8A" w:rsidRDefault="00AF648E" w:rsidP="0029437B">
            <w:pPr>
              <w:jc w:val="both"/>
              <w:rPr>
                <w:rFonts w:ascii="Times New Roman" w:hAnsi="Times New Roman" w:cs="Times New Roman"/>
                <w:sz w:val="20"/>
                <w:szCs w:val="20"/>
              </w:rPr>
            </w:pPr>
          </w:p>
        </w:tc>
        <w:tc>
          <w:tcPr>
            <w:tcW w:w="3189" w:type="dxa"/>
            <w:tcBorders>
              <w:right w:val="nil"/>
            </w:tcBorders>
            <w:vAlign w:val="center"/>
          </w:tcPr>
          <w:p w14:paraId="6C03DFBE"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(0.297)</w:t>
            </w:r>
          </w:p>
        </w:tc>
        <w:tc>
          <w:tcPr>
            <w:tcW w:w="3190" w:type="dxa"/>
            <w:tcBorders>
              <w:left w:val="nil"/>
              <w:right w:val="nil"/>
            </w:tcBorders>
            <w:vAlign w:val="center"/>
          </w:tcPr>
          <w:p w14:paraId="6BAB6752"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p>
        </w:tc>
      </w:tr>
      <w:tr w:rsidR="00AF648E" w14:paraId="3F9DF415" w14:textId="77777777" w:rsidTr="0029437B">
        <w:trPr>
          <w:trHeight w:val="283"/>
        </w:trPr>
        <w:tc>
          <w:tcPr>
            <w:tcW w:w="1985" w:type="dxa"/>
            <w:vAlign w:val="center"/>
          </w:tcPr>
          <w:p w14:paraId="1CB880FF"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sz w:val="20"/>
                <w:szCs w:val="20"/>
              </w:rPr>
              <w:t>Factor1</w:t>
            </w:r>
          </w:p>
        </w:tc>
        <w:tc>
          <w:tcPr>
            <w:tcW w:w="3189" w:type="dxa"/>
            <w:tcBorders>
              <w:right w:val="nil"/>
            </w:tcBorders>
            <w:vAlign w:val="center"/>
          </w:tcPr>
          <w:p w14:paraId="6D397008"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4F8BC1FD"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2.947</w:t>
            </w:r>
          </w:p>
        </w:tc>
      </w:tr>
      <w:tr w:rsidR="00AF648E" w14:paraId="3BBF18A6" w14:textId="77777777" w:rsidTr="0029437B">
        <w:trPr>
          <w:trHeight w:val="283"/>
        </w:trPr>
        <w:tc>
          <w:tcPr>
            <w:tcW w:w="1985" w:type="dxa"/>
            <w:vAlign w:val="center"/>
          </w:tcPr>
          <w:p w14:paraId="29A9960F"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69EE7B6A"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7D0173A9"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(0.094)</w:t>
            </w:r>
          </w:p>
        </w:tc>
      </w:tr>
      <w:tr w:rsidR="00AF648E" w14:paraId="19A3054B" w14:textId="77777777" w:rsidTr="0029437B">
        <w:trPr>
          <w:trHeight w:val="283"/>
        </w:trPr>
        <w:tc>
          <w:tcPr>
            <w:tcW w:w="1985" w:type="dxa"/>
            <w:vAlign w:val="center"/>
          </w:tcPr>
          <w:p w14:paraId="2D2174B1"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Factor2</w:t>
            </w:r>
          </w:p>
        </w:tc>
        <w:tc>
          <w:tcPr>
            <w:tcW w:w="3189" w:type="dxa"/>
            <w:tcBorders>
              <w:right w:val="nil"/>
            </w:tcBorders>
            <w:vAlign w:val="center"/>
          </w:tcPr>
          <w:p w14:paraId="778682B7"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8.126</w:t>
            </w:r>
          </w:p>
        </w:tc>
        <w:tc>
          <w:tcPr>
            <w:tcW w:w="3190" w:type="dxa"/>
            <w:tcBorders>
              <w:left w:val="nil"/>
              <w:right w:val="nil"/>
            </w:tcBorders>
            <w:vAlign w:val="center"/>
          </w:tcPr>
          <w:p w14:paraId="7E518D34"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-10.180</w:t>
            </w:r>
          </w:p>
        </w:tc>
      </w:tr>
      <w:tr w:rsidR="00AF648E" w14:paraId="616A1466" w14:textId="77777777" w:rsidTr="0029437B">
        <w:trPr>
          <w:trHeight w:val="283"/>
        </w:trPr>
        <w:tc>
          <w:tcPr>
            <w:tcW w:w="1985" w:type="dxa"/>
            <w:vAlign w:val="center"/>
          </w:tcPr>
          <w:p w14:paraId="1E0EDC66"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3B29F9D7"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(0.010)</w:t>
            </w:r>
          </w:p>
        </w:tc>
        <w:tc>
          <w:tcPr>
            <w:tcW w:w="3190" w:type="dxa"/>
            <w:tcBorders>
              <w:left w:val="nil"/>
              <w:right w:val="nil"/>
            </w:tcBorders>
            <w:vAlign w:val="center"/>
          </w:tcPr>
          <w:p w14:paraId="54627D34"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(0.023)</w:t>
            </w:r>
          </w:p>
        </w:tc>
      </w:tr>
      <w:tr w:rsidR="00AF648E" w14:paraId="3E3AA135" w14:textId="77777777" w:rsidTr="0029437B">
        <w:trPr>
          <w:trHeight w:val="283"/>
        </w:trPr>
        <w:tc>
          <w:tcPr>
            <w:tcW w:w="1985" w:type="dxa"/>
            <w:vAlign w:val="center"/>
          </w:tcPr>
          <w:p w14:paraId="3D9D6519"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Factor3</w:t>
            </w:r>
          </w:p>
        </w:tc>
        <w:tc>
          <w:tcPr>
            <w:tcW w:w="3189" w:type="dxa"/>
            <w:tcBorders>
              <w:right w:val="nil"/>
            </w:tcBorders>
            <w:vAlign w:val="center"/>
          </w:tcPr>
          <w:p w14:paraId="5A3C33F7"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0.875</w:t>
            </w:r>
          </w:p>
        </w:tc>
        <w:tc>
          <w:tcPr>
            <w:tcW w:w="3190" w:type="dxa"/>
            <w:tcBorders>
              <w:left w:val="nil"/>
              <w:right w:val="nil"/>
            </w:tcBorders>
            <w:vAlign w:val="center"/>
          </w:tcPr>
          <w:p w14:paraId="52A27A4C"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-4.999</w:t>
            </w:r>
          </w:p>
        </w:tc>
      </w:tr>
      <w:tr w:rsidR="00AF648E" w14:paraId="10A2130A" w14:textId="77777777" w:rsidTr="0029437B">
        <w:trPr>
          <w:trHeight w:val="283"/>
        </w:trPr>
        <w:tc>
          <w:tcPr>
            <w:tcW w:w="1985" w:type="dxa"/>
            <w:vAlign w:val="center"/>
          </w:tcPr>
          <w:p w14:paraId="6A4741CC"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4AB41D41"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(0.642)</w:t>
            </w:r>
          </w:p>
        </w:tc>
        <w:tc>
          <w:tcPr>
            <w:tcW w:w="3190" w:type="dxa"/>
            <w:tcBorders>
              <w:left w:val="nil"/>
              <w:right w:val="nil"/>
            </w:tcBorders>
            <w:vAlign w:val="center"/>
          </w:tcPr>
          <w:p w14:paraId="7AD320E6"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(0.015)</w:t>
            </w:r>
          </w:p>
        </w:tc>
      </w:tr>
      <w:tr w:rsidR="00AF648E" w14:paraId="53E3C1E8" w14:textId="77777777" w:rsidTr="0029437B">
        <w:trPr>
          <w:trHeight w:val="283"/>
        </w:trPr>
        <w:tc>
          <w:tcPr>
            <w:tcW w:w="1985" w:type="dxa"/>
            <w:vAlign w:val="center"/>
          </w:tcPr>
          <w:p w14:paraId="34C1274C"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Factor4</w:t>
            </w:r>
          </w:p>
        </w:tc>
        <w:tc>
          <w:tcPr>
            <w:tcW w:w="3189" w:type="dxa"/>
            <w:tcBorders>
              <w:right w:val="nil"/>
            </w:tcBorders>
            <w:vAlign w:val="center"/>
          </w:tcPr>
          <w:p w14:paraId="710D5F14"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5.414</w:t>
            </w:r>
          </w:p>
        </w:tc>
        <w:tc>
          <w:tcPr>
            <w:tcW w:w="3190" w:type="dxa"/>
            <w:tcBorders>
              <w:left w:val="nil"/>
              <w:right w:val="nil"/>
            </w:tcBorders>
            <w:vAlign w:val="center"/>
          </w:tcPr>
          <w:p w14:paraId="2905859E"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p>
        </w:tc>
      </w:tr>
      <w:tr w:rsidR="00AF648E" w14:paraId="703DAF89" w14:textId="77777777" w:rsidTr="0029437B">
        <w:trPr>
          <w:trHeight w:val="283"/>
        </w:trPr>
        <w:tc>
          <w:tcPr>
            <w:tcW w:w="1985" w:type="dxa"/>
            <w:vAlign w:val="center"/>
          </w:tcPr>
          <w:p w14:paraId="6392D45F"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12EA1A5B"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c>
          <w:tcPr>
            <w:tcW w:w="3190" w:type="dxa"/>
            <w:tcBorders>
              <w:left w:val="nil"/>
              <w:right w:val="nil"/>
            </w:tcBorders>
            <w:vAlign w:val="center"/>
          </w:tcPr>
          <w:p w14:paraId="3A01C05E"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p>
        </w:tc>
      </w:tr>
      <w:tr w:rsidR="00AF648E" w14:paraId="22DABB09" w14:textId="77777777" w:rsidTr="0029437B">
        <w:trPr>
          <w:trHeight w:val="283"/>
        </w:trPr>
        <w:tc>
          <w:tcPr>
            <w:tcW w:w="1985" w:type="dxa"/>
            <w:vAlign w:val="center"/>
          </w:tcPr>
          <w:p w14:paraId="09840F5D"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Factor6</w:t>
            </w:r>
          </w:p>
        </w:tc>
        <w:tc>
          <w:tcPr>
            <w:tcW w:w="3189" w:type="dxa"/>
            <w:tcBorders>
              <w:right w:val="nil"/>
            </w:tcBorders>
            <w:vAlign w:val="center"/>
          </w:tcPr>
          <w:p w14:paraId="2A4E082D"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0E9C7254"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6.643</w:t>
            </w:r>
          </w:p>
        </w:tc>
      </w:tr>
      <w:tr w:rsidR="00AF648E" w14:paraId="511B87C0" w14:textId="77777777" w:rsidTr="0029437B">
        <w:trPr>
          <w:trHeight w:val="283"/>
        </w:trPr>
        <w:tc>
          <w:tcPr>
            <w:tcW w:w="1985" w:type="dxa"/>
            <w:vAlign w:val="center"/>
          </w:tcPr>
          <w:p w14:paraId="3C461CCA"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68CB4706"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5970A29F"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(0.082)</w:t>
            </w:r>
          </w:p>
        </w:tc>
      </w:tr>
      <w:tr w:rsidR="00AF648E" w14:paraId="28DEA82A" w14:textId="77777777" w:rsidTr="0029437B">
        <w:trPr>
          <w:trHeight w:val="283"/>
        </w:trPr>
        <w:tc>
          <w:tcPr>
            <w:tcW w:w="1985" w:type="dxa"/>
            <w:vAlign w:val="center"/>
          </w:tcPr>
          <w:p w14:paraId="2833B05C"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hint="eastAsia"/>
                <w:i/>
                <w:sz w:val="20"/>
                <w:szCs w:val="20"/>
              </w:rPr>
              <w:t>Intercept</w:t>
            </w:r>
          </w:p>
        </w:tc>
        <w:tc>
          <w:tcPr>
            <w:tcW w:w="3189" w:type="dxa"/>
            <w:tcBorders>
              <w:right w:val="nil"/>
            </w:tcBorders>
            <w:vAlign w:val="center"/>
          </w:tcPr>
          <w:p w14:paraId="62018A91"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-26.113</w:t>
            </w:r>
          </w:p>
        </w:tc>
        <w:tc>
          <w:tcPr>
            <w:tcW w:w="3190" w:type="dxa"/>
            <w:tcBorders>
              <w:left w:val="nil"/>
              <w:right w:val="nil"/>
            </w:tcBorders>
            <w:vAlign w:val="center"/>
          </w:tcPr>
          <w:p w14:paraId="702DD203"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38.986</w:t>
            </w:r>
          </w:p>
        </w:tc>
      </w:tr>
      <w:tr w:rsidR="00AF648E" w14:paraId="29552394" w14:textId="77777777" w:rsidTr="0029437B">
        <w:trPr>
          <w:trHeight w:val="283"/>
        </w:trPr>
        <w:tc>
          <w:tcPr>
            <w:tcW w:w="1985" w:type="dxa"/>
            <w:vAlign w:val="center"/>
          </w:tcPr>
          <w:p w14:paraId="00E61C78"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16DEC678"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(0.047)</w:t>
            </w:r>
          </w:p>
        </w:tc>
        <w:tc>
          <w:tcPr>
            <w:tcW w:w="3190" w:type="dxa"/>
            <w:tcBorders>
              <w:left w:val="nil"/>
              <w:right w:val="nil"/>
            </w:tcBorders>
            <w:vAlign w:val="center"/>
          </w:tcPr>
          <w:p w14:paraId="7B7096C6" w14:textId="77777777" w:rsidR="00AF648E" w:rsidRPr="00C95B8A" w:rsidRDefault="00AF648E" w:rsidP="0029437B">
            <w:pPr>
              <w:tabs>
                <w:tab w:val="decimal" w:pos="137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(0.028)</w:t>
            </w:r>
          </w:p>
        </w:tc>
      </w:tr>
      <w:tr w:rsidR="00AF648E" w14:paraId="25BBEDC6" w14:textId="77777777" w:rsidTr="0029437B">
        <w:trPr>
          <w:trHeight w:val="283"/>
        </w:trPr>
        <w:tc>
          <w:tcPr>
            <w:tcW w:w="1985" w:type="dxa"/>
            <w:vAlign w:val="center"/>
          </w:tcPr>
          <w:p w14:paraId="4242A761"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hint="eastAsia"/>
                <w:sz w:val="20"/>
                <w:szCs w:val="20"/>
              </w:rPr>
              <w:t>Obs.</w:t>
            </w:r>
          </w:p>
        </w:tc>
        <w:tc>
          <w:tcPr>
            <w:tcW w:w="3189" w:type="dxa"/>
            <w:tcBorders>
              <w:right w:val="nil"/>
            </w:tcBorders>
            <w:vAlign w:val="center"/>
          </w:tcPr>
          <w:p w14:paraId="121BFA13" w14:textId="77777777" w:rsidR="00AF648E" w:rsidRPr="00C95B8A" w:rsidRDefault="00AF648E" w:rsidP="0029437B">
            <w:pPr>
              <w:jc w:val="center"/>
              <w:rPr>
                <w:sz w:val="20"/>
                <w:szCs w:val="20"/>
              </w:rPr>
            </w:pPr>
            <w:r w:rsidRPr="00C95B8A">
              <w:rPr>
                <w:rFonts w:ascii="Times New Roman" w:hAnsi="Times New Roman" w:cs="Times New Roman"/>
                <w:kern w:val="0"/>
                <w:sz w:val="20"/>
                <w:szCs w:val="20"/>
              </w:rPr>
              <w:t>98</w:t>
            </w:r>
          </w:p>
        </w:tc>
        <w:tc>
          <w:tcPr>
            <w:tcW w:w="3190" w:type="dxa"/>
            <w:tcBorders>
              <w:left w:val="nil"/>
              <w:right w:val="nil"/>
            </w:tcBorders>
            <w:vAlign w:val="center"/>
          </w:tcPr>
          <w:p w14:paraId="56556977" w14:textId="77777777" w:rsidR="00AF648E" w:rsidRPr="00C95B8A" w:rsidRDefault="00AF648E" w:rsidP="0029437B">
            <w:pPr>
              <w:jc w:val="center"/>
              <w:rPr>
                <w:sz w:val="20"/>
                <w:szCs w:val="20"/>
              </w:rPr>
            </w:pPr>
            <w:r w:rsidRPr="00C95B8A">
              <w:rPr>
                <w:rFonts w:ascii="Times New Roman" w:hAnsi="Times New Roman" w:cs="Times New Roman"/>
                <w:kern w:val="0"/>
                <w:sz w:val="20"/>
                <w:szCs w:val="20"/>
              </w:rPr>
              <w:t>98</w:t>
            </w:r>
          </w:p>
        </w:tc>
      </w:tr>
      <w:tr w:rsidR="00AF648E" w14:paraId="1DC03F09" w14:textId="77777777" w:rsidTr="0029437B">
        <w:trPr>
          <w:trHeight w:val="283"/>
        </w:trPr>
        <w:tc>
          <w:tcPr>
            <w:tcW w:w="1985" w:type="dxa"/>
            <w:vAlign w:val="center"/>
          </w:tcPr>
          <w:p w14:paraId="359D7BDA"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kern w:val="0"/>
                <w:sz w:val="20"/>
                <w:szCs w:val="20"/>
              </w:rPr>
              <w:t xml:space="preserve">adj. </w:t>
            </w:r>
            <w:r w:rsidRPr="00C95B8A">
              <w:rPr>
                <w:rFonts w:ascii="Times New Roman" w:hAnsi="Times New Roman"/>
                <w:i/>
                <w:iCs/>
                <w:kern w:val="0"/>
                <w:sz w:val="20"/>
                <w:szCs w:val="20"/>
              </w:rPr>
              <w:t>R</w:t>
            </w:r>
            <w:r w:rsidRPr="00C95B8A">
              <w:rPr>
                <w:rFonts w:ascii="Times New Roman" w:hAnsi="Times New Roman"/>
                <w:kern w:val="0"/>
                <w:sz w:val="20"/>
                <w:szCs w:val="20"/>
                <w:vertAlign w:val="superscript"/>
              </w:rPr>
              <w:t>2</w:t>
            </w:r>
          </w:p>
        </w:tc>
        <w:tc>
          <w:tcPr>
            <w:tcW w:w="3189" w:type="dxa"/>
            <w:tcBorders>
              <w:bottom w:val="single" w:sz="4" w:space="0" w:color="auto"/>
              <w:right w:val="nil"/>
            </w:tcBorders>
            <w:vAlign w:val="center"/>
          </w:tcPr>
          <w:p w14:paraId="75A53980" w14:textId="77777777" w:rsidR="00AF648E" w:rsidRPr="00C95B8A" w:rsidRDefault="00AF648E" w:rsidP="0029437B">
            <w:pPr>
              <w:jc w:val="center"/>
              <w:rPr>
                <w:rFonts w:ascii="Times New Roman" w:hAnsi="Times New Roman" w:cs="Times New Roman"/>
                <w:sz w:val="20"/>
                <w:szCs w:val="20"/>
              </w:rPr>
            </w:pPr>
            <w:r w:rsidRPr="00C95B8A">
              <w:rPr>
                <w:rFonts w:ascii="Times New Roman" w:hAnsi="Times New Roman" w:cs="Times New Roman" w:hint="eastAsia"/>
                <w:sz w:val="20"/>
                <w:szCs w:val="20"/>
              </w:rPr>
              <w:t>0.</w:t>
            </w:r>
            <w:r w:rsidRPr="00C95B8A">
              <w:rPr>
                <w:rFonts w:ascii="Times New Roman" w:hAnsi="Times New Roman" w:cs="Times New Roman"/>
                <w:sz w:val="20"/>
                <w:szCs w:val="20"/>
              </w:rPr>
              <w:t>613</w:t>
            </w:r>
          </w:p>
        </w:tc>
        <w:tc>
          <w:tcPr>
            <w:tcW w:w="3190" w:type="dxa"/>
            <w:tcBorders>
              <w:left w:val="nil"/>
              <w:bottom w:val="single" w:sz="4" w:space="0" w:color="auto"/>
              <w:right w:val="nil"/>
            </w:tcBorders>
            <w:vAlign w:val="center"/>
          </w:tcPr>
          <w:p w14:paraId="5E9BE580" w14:textId="77777777" w:rsidR="00AF648E" w:rsidRPr="00C95B8A" w:rsidRDefault="00AF648E" w:rsidP="0029437B">
            <w:pPr>
              <w:jc w:val="center"/>
              <w:rPr>
                <w:rFonts w:ascii="Times New Roman" w:hAnsi="Times New Roman" w:cs="Times New Roman"/>
                <w:sz w:val="20"/>
                <w:szCs w:val="20"/>
              </w:rPr>
            </w:pPr>
            <w:r w:rsidRPr="00C95B8A">
              <w:rPr>
                <w:rFonts w:ascii="Times New Roman" w:hAnsi="Times New Roman" w:cs="Times New Roman" w:hint="eastAsia"/>
                <w:sz w:val="20"/>
                <w:szCs w:val="20"/>
              </w:rPr>
              <w:t>0.</w:t>
            </w:r>
            <w:r w:rsidRPr="00C95B8A">
              <w:rPr>
                <w:rFonts w:ascii="Times New Roman" w:hAnsi="Times New Roman" w:cs="Times New Roman"/>
                <w:sz w:val="20"/>
                <w:szCs w:val="20"/>
              </w:rPr>
              <w:t>458</w:t>
            </w:r>
          </w:p>
        </w:tc>
      </w:tr>
    </w:tbl>
    <w:p w14:paraId="733F0672" w14:textId="77777777" w:rsidR="00AF648E" w:rsidRPr="002B2D45" w:rsidRDefault="00AF648E" w:rsidP="00AF648E">
      <w:pPr>
        <w:spacing w:after="0"/>
        <w:jc w:val="both"/>
        <w:rPr>
          <w:rFonts w:ascii="Times New Roman" w:hAnsi="Times New Roman" w:cs="Times New Roman"/>
          <w:sz w:val="20"/>
          <w:szCs w:val="20"/>
        </w:rPr>
      </w:pPr>
      <w:r w:rsidRPr="002B2D45">
        <w:rPr>
          <w:rFonts w:ascii="Times New Roman" w:hAnsi="Times New Roman" w:cs="Times New Roman"/>
          <w:sz w:val="20"/>
          <w:szCs w:val="20"/>
        </w:rPr>
        <w:t>NOTES</w:t>
      </w:r>
      <w:r w:rsidRPr="002B2D45">
        <w:rPr>
          <w:rFonts w:ascii="Times New Roman" w:hAnsi="Times New Roman" w:cs="Times New Roman" w:hint="eastAsia"/>
          <w:sz w:val="20"/>
          <w:szCs w:val="20"/>
        </w:rPr>
        <w:t xml:space="preserve">: </w:t>
      </w:r>
      <w:r w:rsidRPr="002B2D45">
        <w:rPr>
          <w:rFonts w:ascii="Times New Roman" w:hAnsi="Times New Roman" w:cs="Times New Roman"/>
          <w:sz w:val="20"/>
          <w:szCs w:val="20"/>
        </w:rPr>
        <w:t>T</w:t>
      </w:r>
      <w:r w:rsidRPr="002B2D45">
        <w:rPr>
          <w:rFonts w:ascii="Times New Roman" w:hAnsi="Times New Roman" w:cs="Times New Roman" w:hint="eastAsia"/>
          <w:sz w:val="20"/>
          <w:szCs w:val="20"/>
        </w:rPr>
        <w:t xml:space="preserve">he </w:t>
      </w:r>
      <w:r w:rsidRPr="002B2D45">
        <w:rPr>
          <w:rFonts w:ascii="Times New Roman" w:hAnsi="Times New Roman" w:cs="Times New Roman"/>
          <w:sz w:val="20"/>
          <w:szCs w:val="20"/>
        </w:rPr>
        <w:t>simultaneous equations model is</w:t>
      </w:r>
    </w:p>
    <w:p w14:paraId="53E73CDF" w14:textId="77777777" w:rsidR="00AF648E" w:rsidRPr="002B2D45" w:rsidRDefault="00AF648E" w:rsidP="00AF648E">
      <w:pPr>
        <w:spacing w:after="0"/>
        <w:ind w:firstLineChars="100" w:firstLine="200"/>
        <w:rPr>
          <w:rFonts w:ascii="Times New Roman" w:hAnsi="Times New Roman" w:cs="Times New Roman"/>
          <w:sz w:val="20"/>
          <w:szCs w:val="20"/>
        </w:rPr>
      </w:pPr>
      <w:r w:rsidRPr="002B2D45">
        <w:rPr>
          <w:rFonts w:ascii="Times New Roman" w:hAnsi="Times New Roman" w:cs="Times New Roman"/>
          <w:position w:val="-66"/>
          <w:sz w:val="20"/>
          <w:szCs w:val="20"/>
        </w:rPr>
        <w:object w:dxaOrig="6619" w:dyaOrig="1440" w14:anchorId="5A3DFF9D">
          <v:shape id="_x0000_i1027" type="#_x0000_t75" style="width:301.5pt;height:65pt" o:ole="">
            <v:imagedata r:id="rId13" o:title=""/>
          </v:shape>
          <o:OLEObject Type="Embed" ProgID="Equation.DSMT4" ShapeID="_x0000_i1027" DrawAspect="Content" ObjectID="_1628328502" r:id="rId14"/>
        </w:object>
      </w:r>
    </w:p>
    <w:p w14:paraId="3777EFA4" w14:textId="7B905CAE" w:rsidR="00AF648E" w:rsidRDefault="00AF648E" w:rsidP="00C653E8">
      <w:pPr>
        <w:spacing w:after="0"/>
        <w:jc w:val="both"/>
        <w:rPr>
          <w:rFonts w:ascii="Times New Roman" w:hAnsi="Times New Roman" w:cs="Times New Roman"/>
          <w:b/>
          <w:sz w:val="24"/>
          <w:szCs w:val="24"/>
        </w:rPr>
      </w:pPr>
      <w:r w:rsidRPr="002B2D45">
        <w:rPr>
          <w:rFonts w:ascii="Times New Roman" w:hAnsi="Times New Roman" w:cs="Times New Roman"/>
          <w:sz w:val="20"/>
          <w:szCs w:val="20"/>
        </w:rPr>
        <w:t xml:space="preserve">The choice of exogenous variables is based on Panel B of Table 2. </w:t>
      </w:r>
      <w:r w:rsidRPr="002B2D45">
        <w:rPr>
          <w:rFonts w:ascii="Times New Roman" w:hAnsi="Times New Roman" w:cs="Times New Roman"/>
          <w:i/>
          <w:sz w:val="20"/>
          <w:szCs w:val="20"/>
        </w:rPr>
        <w:t>Factor1</w:t>
      </w:r>
      <w:r w:rsidRPr="002B2D45">
        <w:rPr>
          <w:rFonts w:ascii="Times New Roman" w:hAnsi="Times New Roman" w:cs="Times New Roman"/>
          <w:sz w:val="20"/>
          <w:szCs w:val="20"/>
        </w:rPr>
        <w:t xml:space="preserve">, </w:t>
      </w:r>
      <w:r w:rsidRPr="002B2D45">
        <w:rPr>
          <w:rFonts w:ascii="Times New Roman" w:hAnsi="Times New Roman" w:cs="Times New Roman"/>
          <w:i/>
          <w:sz w:val="20"/>
          <w:szCs w:val="20"/>
        </w:rPr>
        <w:t>Factor2</w:t>
      </w:r>
      <w:r w:rsidRPr="002B2D45">
        <w:rPr>
          <w:rFonts w:ascii="Times New Roman" w:hAnsi="Times New Roman" w:cs="Times New Roman"/>
          <w:sz w:val="20"/>
          <w:szCs w:val="20"/>
        </w:rPr>
        <w:t xml:space="preserve">, …, </w:t>
      </w:r>
      <w:r w:rsidRPr="002B2D45">
        <w:rPr>
          <w:rFonts w:ascii="Times New Roman" w:hAnsi="Times New Roman" w:cs="Times New Roman"/>
          <w:i/>
          <w:sz w:val="20"/>
          <w:szCs w:val="20"/>
        </w:rPr>
        <w:t>Factor6</w:t>
      </w:r>
      <w:r w:rsidRPr="002B2D45">
        <w:rPr>
          <w:rFonts w:ascii="Times New Roman" w:hAnsi="Times New Roman" w:cs="Times New Roman"/>
          <w:sz w:val="20"/>
          <w:szCs w:val="20"/>
        </w:rPr>
        <w:t xml:space="preserve"> are six principal components</w:t>
      </w:r>
      <w:r w:rsidRPr="002B2D45">
        <w:rPr>
          <w:rFonts w:ascii="Times New Roman" w:hAnsi="Times New Roman" w:cs="Times New Roman" w:hint="eastAsia"/>
          <w:sz w:val="20"/>
          <w:szCs w:val="20"/>
        </w:rPr>
        <w:t xml:space="preserve"> </w:t>
      </w:r>
      <w:r w:rsidRPr="002B2D45">
        <w:rPr>
          <w:rFonts w:ascii="Times New Roman" w:hAnsi="Times New Roman" w:cs="Times New Roman"/>
          <w:sz w:val="20"/>
          <w:szCs w:val="20"/>
        </w:rPr>
        <w:t xml:space="preserve">obtained from </w:t>
      </w:r>
      <w:r>
        <w:rPr>
          <w:rFonts w:ascii="Times New Roman" w:hAnsi="Times New Roman" w:cs="Times New Roman"/>
          <w:sz w:val="20"/>
          <w:szCs w:val="20"/>
        </w:rPr>
        <w:t xml:space="preserve">the </w:t>
      </w:r>
      <w:r w:rsidRPr="002B2D45">
        <w:rPr>
          <w:rFonts w:ascii="Times New Roman" w:hAnsi="Times New Roman" w:cs="Times New Roman"/>
          <w:sz w:val="20"/>
          <w:szCs w:val="20"/>
        </w:rPr>
        <w:t>Federal funds rate (</w:t>
      </w:r>
      <w:r w:rsidRPr="002B2D45">
        <w:rPr>
          <w:rFonts w:ascii="Times New Roman" w:hAnsi="Times New Roman" w:cs="Times New Roman"/>
          <w:i/>
          <w:sz w:val="20"/>
          <w:szCs w:val="20"/>
        </w:rPr>
        <w:t>FF_Rate</w:t>
      </w:r>
      <w:r w:rsidRPr="002B2D45">
        <w:rPr>
          <w:rFonts w:ascii="Times New Roman" w:hAnsi="Times New Roman" w:cs="Times New Roman"/>
          <w:sz w:val="20"/>
          <w:szCs w:val="20"/>
        </w:rPr>
        <w:t>), real GDP growth rate (</w:t>
      </w:r>
      <w:r w:rsidRPr="002B2D45">
        <w:rPr>
          <w:rFonts w:ascii="Times New Roman" w:hAnsi="Times New Roman" w:cs="Times New Roman"/>
          <w:i/>
          <w:sz w:val="20"/>
          <w:szCs w:val="20"/>
        </w:rPr>
        <w:t>GDP</w:t>
      </w:r>
      <w:r w:rsidRPr="002B2D45">
        <w:rPr>
          <w:rFonts w:ascii="Times New Roman" w:hAnsi="Times New Roman" w:cs="Times New Roman"/>
          <w:sz w:val="20"/>
          <w:szCs w:val="20"/>
        </w:rPr>
        <w:t>), percentage change in CPI (</w:t>
      </w:r>
      <w:r w:rsidRPr="002B2D45">
        <w:rPr>
          <w:rFonts w:ascii="Times New Roman" w:hAnsi="Times New Roman" w:cs="Times New Roman"/>
          <w:i/>
          <w:sz w:val="20"/>
          <w:szCs w:val="20"/>
        </w:rPr>
        <w:t>CPI</w:t>
      </w:r>
      <w:r w:rsidRPr="002B2D45">
        <w:rPr>
          <w:rFonts w:ascii="Times New Roman" w:hAnsi="Times New Roman" w:cs="Times New Roman"/>
          <w:sz w:val="20"/>
          <w:szCs w:val="20"/>
        </w:rPr>
        <w:t>), Baa-Aaa corporate bond yield spread (</w:t>
      </w:r>
      <w:r w:rsidRPr="002B2D45">
        <w:rPr>
          <w:rFonts w:ascii="Times New Roman" w:hAnsi="Times New Roman" w:cs="Times New Roman" w:hint="eastAsia"/>
          <w:i/>
          <w:sz w:val="20"/>
          <w:szCs w:val="20"/>
        </w:rPr>
        <w:t>Credit_Spr</w:t>
      </w:r>
      <w:r w:rsidRPr="002B2D45">
        <w:rPr>
          <w:rFonts w:ascii="Times New Roman" w:hAnsi="Times New Roman" w:cs="Times New Roman"/>
          <w:sz w:val="20"/>
          <w:szCs w:val="20"/>
        </w:rPr>
        <w:t>), 10-1 year Treasury yield spread (</w:t>
      </w:r>
      <w:r w:rsidRPr="002B2D45">
        <w:rPr>
          <w:rFonts w:ascii="Times New Roman" w:hAnsi="Times New Roman" w:cs="Times New Roman"/>
          <w:i/>
          <w:sz w:val="20"/>
          <w:szCs w:val="20"/>
        </w:rPr>
        <w:t>Term_Spr</w:t>
      </w:r>
      <w:r w:rsidRPr="002B2D45">
        <w:rPr>
          <w:rFonts w:ascii="Times New Roman" w:hAnsi="Times New Roman" w:cs="Times New Roman"/>
          <w:sz w:val="20"/>
          <w:szCs w:val="20"/>
        </w:rPr>
        <w:t xml:space="preserve">), </w:t>
      </w:r>
      <w:r w:rsidRPr="00F7286A">
        <w:rPr>
          <w:rFonts w:ascii="Times New Roman" w:hAnsi="Times New Roman" w:cs="Times New Roman"/>
          <w:sz w:val="20"/>
          <w:szCs w:val="20"/>
        </w:rPr>
        <w:t>and the change in the</w:t>
      </w:r>
      <w:r w:rsidRPr="002B2D45">
        <w:rPr>
          <w:rFonts w:ascii="Times New Roman" w:hAnsi="Times New Roman" w:cs="Times New Roman"/>
          <w:sz w:val="20"/>
          <w:szCs w:val="20"/>
        </w:rPr>
        <w:t xml:space="preserve"> Index of Consumer Sentiment from the University of Michigan (</w:t>
      </w:r>
      <w:r w:rsidRPr="002B2D45">
        <w:rPr>
          <w:rFonts w:ascii="Times New Roman" w:hAnsi="Times New Roman" w:cs="Times New Roman" w:hint="eastAsia"/>
          <w:i/>
          <w:sz w:val="20"/>
          <w:szCs w:val="20"/>
        </w:rPr>
        <w:t>C</w:t>
      </w:r>
      <w:r w:rsidRPr="002B2D45">
        <w:rPr>
          <w:rFonts w:ascii="Times New Roman" w:hAnsi="Times New Roman" w:cs="Times New Roman"/>
          <w:i/>
          <w:sz w:val="20"/>
          <w:szCs w:val="20"/>
        </w:rPr>
        <w:t>SI</w:t>
      </w:r>
      <w:r w:rsidRPr="002B2D45">
        <w:rPr>
          <w:rFonts w:ascii="Times New Roman" w:hAnsi="Times New Roman" w:cs="Times New Roman"/>
          <w:sz w:val="20"/>
          <w:szCs w:val="20"/>
        </w:rPr>
        <w:t>). Variable definitions are provided in Table A</w:t>
      </w:r>
      <w:r>
        <w:rPr>
          <w:rFonts w:ascii="Times New Roman" w:hAnsi="Times New Roman" w:cs="Times New Roman"/>
          <w:sz w:val="20"/>
          <w:szCs w:val="20"/>
        </w:rPr>
        <w:t>2</w:t>
      </w:r>
      <w:r w:rsidRPr="002B2D45">
        <w:rPr>
          <w:rFonts w:ascii="Times New Roman" w:hAnsi="Times New Roman" w:cs="Times New Roman"/>
          <w:sz w:val="20"/>
          <w:szCs w:val="20"/>
        </w:rPr>
        <w:t xml:space="preserve">. P-values are </w:t>
      </w:r>
      <w:r>
        <w:rPr>
          <w:rFonts w:ascii="Times New Roman" w:hAnsi="Times New Roman" w:cs="Times New Roman"/>
          <w:sz w:val="20"/>
          <w:szCs w:val="20"/>
        </w:rPr>
        <w:t xml:space="preserve">shown </w:t>
      </w:r>
      <w:r w:rsidRPr="002B2D45">
        <w:rPr>
          <w:rFonts w:ascii="Times New Roman" w:hAnsi="Times New Roman" w:cs="Times New Roman"/>
          <w:sz w:val="20"/>
          <w:szCs w:val="20"/>
        </w:rPr>
        <w:t>in parentheses.</w:t>
      </w:r>
    </w:p>
    <w:p w14:paraId="76F73983" w14:textId="77777777" w:rsidR="00C653E8" w:rsidRDefault="00C653E8" w:rsidP="00AF648E">
      <w:pPr>
        <w:spacing w:after="0"/>
        <w:jc w:val="both"/>
        <w:rPr>
          <w:rFonts w:ascii="Times New Roman" w:hAnsi="Times New Roman" w:cs="Times New Roman"/>
          <w:sz w:val="24"/>
          <w:szCs w:val="24"/>
        </w:rPr>
      </w:pPr>
      <w:r>
        <w:rPr>
          <w:rFonts w:ascii="Times New Roman" w:hAnsi="Times New Roman" w:cs="Times New Roman"/>
          <w:sz w:val="24"/>
          <w:szCs w:val="24"/>
        </w:rPr>
        <w:br w:type="page"/>
      </w:r>
    </w:p>
    <w:p w14:paraId="0F313555" w14:textId="48F4EB64" w:rsidR="00AF648E" w:rsidRDefault="00AF648E" w:rsidP="00AF648E">
      <w:pPr>
        <w:spacing w:after="0"/>
        <w:jc w:val="both"/>
        <w:rPr>
          <w:rFonts w:ascii="Times New Roman" w:hAnsi="Times New Roman" w:cs="Times New Roman"/>
          <w:sz w:val="24"/>
          <w:szCs w:val="24"/>
        </w:rPr>
      </w:pPr>
      <w:r>
        <w:rPr>
          <w:rFonts w:ascii="Times New Roman" w:hAnsi="Times New Roman" w:cs="Times New Roman"/>
          <w:sz w:val="24"/>
          <w:szCs w:val="24"/>
        </w:rPr>
        <w:lastRenderedPageBreak/>
        <w:t>Table A4</w:t>
      </w:r>
    </w:p>
    <w:p w14:paraId="6DD7ADAE" w14:textId="3B51AB23" w:rsidR="00AF648E" w:rsidRPr="00FF4169" w:rsidRDefault="009526EC" w:rsidP="00AF648E">
      <w:pPr>
        <w:spacing w:after="0"/>
        <w:jc w:val="both"/>
        <w:rPr>
          <w:rFonts w:ascii="Times New Roman" w:hAnsi="Times New Roman" w:cs="Times New Roman"/>
          <w:sz w:val="24"/>
          <w:szCs w:val="24"/>
        </w:rPr>
      </w:pPr>
      <w:r w:rsidRPr="00FF4169">
        <w:rPr>
          <w:rFonts w:ascii="Times New Roman" w:hAnsi="Times New Roman" w:cs="Times New Roman"/>
          <w:sz w:val="24"/>
          <w:szCs w:val="24"/>
        </w:rPr>
        <w:t>SIMULTANEOUS</w:t>
      </w:r>
      <w:r>
        <w:rPr>
          <w:rFonts w:ascii="Times New Roman" w:hAnsi="Times New Roman" w:cs="Times New Roman"/>
          <w:sz w:val="24"/>
          <w:szCs w:val="24"/>
        </w:rPr>
        <w:t xml:space="preserve"> </w:t>
      </w:r>
      <w:r w:rsidRPr="00FF4169">
        <w:rPr>
          <w:rFonts w:ascii="Times New Roman" w:hAnsi="Times New Roman" w:cs="Times New Roman"/>
          <w:sz w:val="24"/>
          <w:szCs w:val="24"/>
        </w:rPr>
        <w:t>EQUATION</w:t>
      </w:r>
      <w:r>
        <w:rPr>
          <w:rFonts w:ascii="Times New Roman" w:hAnsi="Times New Roman" w:cs="Times New Roman"/>
          <w:sz w:val="24"/>
          <w:szCs w:val="24"/>
        </w:rPr>
        <w:t>S</w:t>
      </w:r>
      <w:r w:rsidRPr="00FF4169">
        <w:rPr>
          <w:rFonts w:ascii="Times New Roman" w:hAnsi="Times New Roman" w:cs="Times New Roman"/>
          <w:sz w:val="24"/>
          <w:szCs w:val="24"/>
        </w:rPr>
        <w:t xml:space="preserve"> MODEL FOR SYNDICATED LOAN QUANTUM AND SPREAD</w:t>
      </w:r>
      <w:r>
        <w:rPr>
          <w:rFonts w:ascii="Times New Roman" w:hAnsi="Times New Roman" w:cs="Times New Roman"/>
          <w:sz w:val="24"/>
          <w:szCs w:val="24"/>
        </w:rPr>
        <w:t>S</w:t>
      </w:r>
      <w:r w:rsidR="00AF648E">
        <w:rPr>
          <w:rFonts w:ascii="Times New Roman" w:hAnsi="Times New Roman" w:cs="Times New Roman"/>
          <w:sz w:val="24"/>
          <w:szCs w:val="24"/>
        </w:rPr>
        <w:t>.</w:t>
      </w:r>
    </w:p>
    <w:tbl>
      <w:tblPr>
        <w:tblStyle w:val="af4"/>
        <w:tblW w:w="8364"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3189"/>
        <w:gridCol w:w="3190"/>
      </w:tblGrid>
      <w:tr w:rsidR="00AF648E" w14:paraId="2024E7CE" w14:textId="77777777" w:rsidTr="0029437B">
        <w:trPr>
          <w:trHeight w:val="283"/>
        </w:trPr>
        <w:tc>
          <w:tcPr>
            <w:tcW w:w="1985" w:type="dxa"/>
            <w:tcBorders>
              <w:top w:val="single" w:sz="4" w:space="0" w:color="auto"/>
              <w:bottom w:val="single" w:sz="4" w:space="0" w:color="auto"/>
            </w:tcBorders>
          </w:tcPr>
          <w:p w14:paraId="062EE812" w14:textId="77777777" w:rsidR="00AF648E" w:rsidRPr="00C95B8A" w:rsidRDefault="00AF648E" w:rsidP="0029437B">
            <w:pPr>
              <w:jc w:val="both"/>
              <w:rPr>
                <w:rFonts w:ascii="Times New Roman" w:hAnsi="Times New Roman" w:cs="Times New Roman"/>
                <w:sz w:val="20"/>
                <w:szCs w:val="20"/>
              </w:rPr>
            </w:pPr>
          </w:p>
        </w:tc>
        <w:tc>
          <w:tcPr>
            <w:tcW w:w="3189" w:type="dxa"/>
            <w:tcBorders>
              <w:top w:val="single" w:sz="4" w:space="0" w:color="auto"/>
              <w:bottom w:val="single" w:sz="4" w:space="0" w:color="auto"/>
              <w:right w:val="nil"/>
            </w:tcBorders>
          </w:tcPr>
          <w:p w14:paraId="5089B7C1" w14:textId="77777777" w:rsidR="00AF648E" w:rsidRPr="00C95B8A" w:rsidRDefault="00AF648E" w:rsidP="0029437B">
            <w:pPr>
              <w:autoSpaceDE w:val="0"/>
              <w:autoSpaceDN w:val="0"/>
              <w:adjustRightInd w:val="0"/>
              <w:jc w:val="center"/>
              <w:rPr>
                <w:rFonts w:ascii="Times New Roman" w:hAnsi="Times New Roman" w:cs="Times New Roman"/>
                <w:kern w:val="0"/>
                <w:sz w:val="20"/>
                <w:szCs w:val="20"/>
              </w:rPr>
            </w:pPr>
            <w:r w:rsidRPr="00C95B8A">
              <w:rPr>
                <w:rFonts w:ascii="Times New Roman" w:hAnsi="Times New Roman" w:cs="Times New Roman"/>
                <w:i/>
                <w:iCs/>
                <w:color w:val="000000"/>
                <w:sz w:val="20"/>
                <w:szCs w:val="20"/>
              </w:rPr>
              <w:t>Synd_Loan</w:t>
            </w:r>
          </w:p>
        </w:tc>
        <w:tc>
          <w:tcPr>
            <w:tcW w:w="3190" w:type="dxa"/>
            <w:tcBorders>
              <w:top w:val="single" w:sz="4" w:space="0" w:color="auto"/>
              <w:left w:val="nil"/>
              <w:bottom w:val="single" w:sz="4" w:space="0" w:color="auto"/>
              <w:right w:val="nil"/>
            </w:tcBorders>
          </w:tcPr>
          <w:p w14:paraId="4E5B5050" w14:textId="77777777" w:rsidR="00AF648E" w:rsidRPr="00C95B8A" w:rsidRDefault="00AF648E" w:rsidP="0029437B">
            <w:pPr>
              <w:autoSpaceDE w:val="0"/>
              <w:autoSpaceDN w:val="0"/>
              <w:adjustRightInd w:val="0"/>
              <w:jc w:val="center"/>
              <w:rPr>
                <w:rFonts w:ascii="Times New Roman" w:hAnsi="Times New Roman" w:cs="Times New Roman"/>
                <w:kern w:val="0"/>
                <w:sz w:val="20"/>
                <w:szCs w:val="20"/>
              </w:rPr>
            </w:pPr>
            <w:r w:rsidRPr="00C95B8A">
              <w:rPr>
                <w:rFonts w:ascii="Times New Roman" w:hAnsi="Times New Roman" w:cs="Times New Roman"/>
                <w:i/>
                <w:iCs/>
                <w:color w:val="000000"/>
                <w:sz w:val="20"/>
                <w:szCs w:val="20"/>
              </w:rPr>
              <w:t>Spr_Synd</w:t>
            </w:r>
          </w:p>
        </w:tc>
      </w:tr>
      <w:tr w:rsidR="00AF648E" w14:paraId="7F45DAB6" w14:textId="77777777" w:rsidTr="0029437B">
        <w:trPr>
          <w:trHeight w:val="283"/>
        </w:trPr>
        <w:tc>
          <w:tcPr>
            <w:tcW w:w="1985" w:type="dxa"/>
            <w:tcBorders>
              <w:top w:val="single" w:sz="4" w:space="0" w:color="auto"/>
            </w:tcBorders>
            <w:vAlign w:val="center"/>
          </w:tcPr>
          <w:p w14:paraId="42DD7C0A"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sz w:val="20"/>
                <w:szCs w:val="20"/>
              </w:rPr>
              <w:t>logVR</w:t>
            </w:r>
            <w:r w:rsidRPr="00C95B8A">
              <w:rPr>
                <w:rFonts w:ascii="Times New Roman" w:hAnsi="Times New Roman" w:cs="Times New Roman" w:hint="eastAsia"/>
                <w:i/>
                <w:sz w:val="20"/>
                <w:szCs w:val="20"/>
              </w:rPr>
              <w:t>P</w:t>
            </w:r>
            <w:r w:rsidRPr="00C95B8A">
              <w:rPr>
                <w:rFonts w:ascii="Times New Roman" w:hAnsi="Times New Roman" w:cs="Times New Roman"/>
                <w:i/>
                <w:sz w:val="20"/>
                <w:szCs w:val="20"/>
                <w:vertAlign w:val="subscript"/>
                <w:lang w:eastAsia="zh-HK"/>
              </w:rPr>
              <w:t>t</w:t>
            </w:r>
            <w:r w:rsidRPr="00C95B8A">
              <w:rPr>
                <w:rFonts w:ascii="Times New Roman" w:hAnsi="Times New Roman" w:cs="Times New Roman"/>
                <w:sz w:val="20"/>
                <w:szCs w:val="20"/>
                <w:vertAlign w:val="subscript"/>
                <w:lang w:eastAsia="zh-HK"/>
              </w:rPr>
              <w:t>-1</w:t>
            </w:r>
          </w:p>
        </w:tc>
        <w:tc>
          <w:tcPr>
            <w:tcW w:w="3189" w:type="dxa"/>
            <w:tcBorders>
              <w:top w:val="single" w:sz="4" w:space="0" w:color="auto"/>
              <w:right w:val="nil"/>
            </w:tcBorders>
            <w:vAlign w:val="center"/>
          </w:tcPr>
          <w:p w14:paraId="45EC59EF"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-103.658</w:t>
            </w:r>
          </w:p>
        </w:tc>
        <w:tc>
          <w:tcPr>
            <w:tcW w:w="3190" w:type="dxa"/>
            <w:tcBorders>
              <w:top w:val="single" w:sz="4" w:space="0" w:color="auto"/>
              <w:left w:val="nil"/>
              <w:right w:val="nil"/>
            </w:tcBorders>
            <w:vAlign w:val="center"/>
          </w:tcPr>
          <w:p w14:paraId="1742F88C"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0.389</w:t>
            </w:r>
          </w:p>
        </w:tc>
      </w:tr>
      <w:tr w:rsidR="00AF648E" w14:paraId="08497D10" w14:textId="77777777" w:rsidTr="0029437B">
        <w:trPr>
          <w:trHeight w:val="283"/>
        </w:trPr>
        <w:tc>
          <w:tcPr>
            <w:tcW w:w="1985" w:type="dxa"/>
            <w:vAlign w:val="center"/>
          </w:tcPr>
          <w:p w14:paraId="35E47FBD" w14:textId="77777777" w:rsidR="00AF648E" w:rsidRPr="00C95B8A" w:rsidRDefault="00AF648E" w:rsidP="0029437B">
            <w:pPr>
              <w:jc w:val="both"/>
              <w:rPr>
                <w:rFonts w:ascii="Times New Roman" w:hAnsi="Times New Roman" w:cs="Times New Roman"/>
                <w:sz w:val="20"/>
                <w:szCs w:val="20"/>
              </w:rPr>
            </w:pPr>
          </w:p>
        </w:tc>
        <w:tc>
          <w:tcPr>
            <w:tcW w:w="3189" w:type="dxa"/>
            <w:tcBorders>
              <w:right w:val="nil"/>
            </w:tcBorders>
            <w:vAlign w:val="center"/>
          </w:tcPr>
          <w:p w14:paraId="1A0546CF"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(0.001)</w:t>
            </w:r>
          </w:p>
        </w:tc>
        <w:tc>
          <w:tcPr>
            <w:tcW w:w="3190" w:type="dxa"/>
            <w:tcBorders>
              <w:left w:val="nil"/>
              <w:right w:val="nil"/>
            </w:tcBorders>
            <w:vAlign w:val="center"/>
          </w:tcPr>
          <w:p w14:paraId="577A422C"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r>
      <w:tr w:rsidR="00AF648E" w14:paraId="0F08B9D5" w14:textId="77777777" w:rsidTr="0029437B">
        <w:trPr>
          <w:trHeight w:val="283"/>
        </w:trPr>
        <w:tc>
          <w:tcPr>
            <w:tcW w:w="1985" w:type="dxa"/>
            <w:vAlign w:val="center"/>
          </w:tcPr>
          <w:p w14:paraId="064F7195"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iCs/>
                <w:color w:val="000000"/>
                <w:sz w:val="20"/>
                <w:szCs w:val="20"/>
              </w:rPr>
              <w:t>Synd_Loan</w:t>
            </w:r>
          </w:p>
        </w:tc>
        <w:tc>
          <w:tcPr>
            <w:tcW w:w="3189" w:type="dxa"/>
            <w:tcBorders>
              <w:right w:val="nil"/>
            </w:tcBorders>
            <w:vAlign w:val="center"/>
          </w:tcPr>
          <w:p w14:paraId="30C51F65" w14:textId="77777777" w:rsidR="00AF648E" w:rsidRPr="00C95B8A" w:rsidRDefault="00AF648E" w:rsidP="0029437B">
            <w:pPr>
              <w:tabs>
                <w:tab w:val="decimal" w:pos="1390"/>
              </w:tabs>
              <w:jc w:val="both"/>
              <w:rPr>
                <w:rFonts w:ascii="Times New Roman" w:hAnsi="Times New Roman" w:cs="Times New Roman"/>
                <w:sz w:val="20"/>
                <w:szCs w:val="20"/>
              </w:rPr>
            </w:pPr>
          </w:p>
        </w:tc>
        <w:tc>
          <w:tcPr>
            <w:tcW w:w="3190" w:type="dxa"/>
            <w:tcBorders>
              <w:left w:val="nil"/>
              <w:right w:val="nil"/>
            </w:tcBorders>
            <w:vAlign w:val="center"/>
          </w:tcPr>
          <w:p w14:paraId="15523D5C"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-0.001</w:t>
            </w:r>
          </w:p>
        </w:tc>
      </w:tr>
      <w:tr w:rsidR="00AF648E" w14:paraId="040311A1" w14:textId="77777777" w:rsidTr="0029437B">
        <w:trPr>
          <w:trHeight w:val="283"/>
        </w:trPr>
        <w:tc>
          <w:tcPr>
            <w:tcW w:w="1985" w:type="dxa"/>
            <w:vAlign w:val="center"/>
          </w:tcPr>
          <w:p w14:paraId="5CCDD7D3" w14:textId="77777777" w:rsidR="00AF648E" w:rsidRPr="00C95B8A" w:rsidRDefault="00AF648E" w:rsidP="0029437B">
            <w:pPr>
              <w:jc w:val="both"/>
              <w:rPr>
                <w:rFonts w:ascii="Times New Roman" w:hAnsi="Times New Roman" w:cs="Times New Roman"/>
                <w:sz w:val="20"/>
                <w:szCs w:val="20"/>
              </w:rPr>
            </w:pPr>
          </w:p>
        </w:tc>
        <w:tc>
          <w:tcPr>
            <w:tcW w:w="3189" w:type="dxa"/>
            <w:tcBorders>
              <w:right w:val="nil"/>
            </w:tcBorders>
            <w:vAlign w:val="center"/>
          </w:tcPr>
          <w:p w14:paraId="5FDDA360" w14:textId="77777777" w:rsidR="00AF648E" w:rsidRPr="00C95B8A" w:rsidRDefault="00AF648E" w:rsidP="0029437B">
            <w:pPr>
              <w:tabs>
                <w:tab w:val="decimal" w:pos="1390"/>
              </w:tabs>
              <w:jc w:val="both"/>
              <w:rPr>
                <w:rFonts w:ascii="Times New Roman" w:hAnsi="Times New Roman" w:cs="Times New Roman"/>
                <w:sz w:val="20"/>
                <w:szCs w:val="20"/>
              </w:rPr>
            </w:pPr>
          </w:p>
        </w:tc>
        <w:tc>
          <w:tcPr>
            <w:tcW w:w="3190" w:type="dxa"/>
            <w:tcBorders>
              <w:left w:val="nil"/>
              <w:right w:val="nil"/>
            </w:tcBorders>
            <w:vAlign w:val="center"/>
          </w:tcPr>
          <w:p w14:paraId="54D17F07"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(0.566)</w:t>
            </w:r>
          </w:p>
        </w:tc>
      </w:tr>
      <w:tr w:rsidR="00AF648E" w14:paraId="05F1F04D" w14:textId="77777777" w:rsidTr="0029437B">
        <w:trPr>
          <w:trHeight w:val="283"/>
        </w:trPr>
        <w:tc>
          <w:tcPr>
            <w:tcW w:w="1985" w:type="dxa"/>
            <w:vAlign w:val="center"/>
          </w:tcPr>
          <w:p w14:paraId="04C7F80D"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iCs/>
                <w:color w:val="000000"/>
                <w:sz w:val="20"/>
                <w:szCs w:val="20"/>
              </w:rPr>
              <w:t>Spr_Synd</w:t>
            </w:r>
          </w:p>
        </w:tc>
        <w:tc>
          <w:tcPr>
            <w:tcW w:w="3189" w:type="dxa"/>
            <w:tcBorders>
              <w:right w:val="nil"/>
            </w:tcBorders>
            <w:vAlign w:val="center"/>
          </w:tcPr>
          <w:p w14:paraId="0683C4CC"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32.495</w:t>
            </w:r>
          </w:p>
        </w:tc>
        <w:tc>
          <w:tcPr>
            <w:tcW w:w="3190" w:type="dxa"/>
            <w:tcBorders>
              <w:left w:val="nil"/>
              <w:right w:val="nil"/>
            </w:tcBorders>
            <w:vAlign w:val="center"/>
          </w:tcPr>
          <w:p w14:paraId="082170D2"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p>
        </w:tc>
      </w:tr>
      <w:tr w:rsidR="00AF648E" w14:paraId="1CDB18D2" w14:textId="77777777" w:rsidTr="0029437B">
        <w:trPr>
          <w:trHeight w:val="283"/>
        </w:trPr>
        <w:tc>
          <w:tcPr>
            <w:tcW w:w="1985" w:type="dxa"/>
            <w:vAlign w:val="center"/>
          </w:tcPr>
          <w:p w14:paraId="2D9C5C71" w14:textId="77777777" w:rsidR="00AF648E" w:rsidRPr="00C95B8A" w:rsidRDefault="00AF648E" w:rsidP="0029437B">
            <w:pPr>
              <w:jc w:val="both"/>
              <w:rPr>
                <w:rFonts w:ascii="Times New Roman" w:hAnsi="Times New Roman" w:cs="Times New Roman"/>
                <w:sz w:val="20"/>
                <w:szCs w:val="20"/>
              </w:rPr>
            </w:pPr>
          </w:p>
        </w:tc>
        <w:tc>
          <w:tcPr>
            <w:tcW w:w="3189" w:type="dxa"/>
            <w:tcBorders>
              <w:right w:val="nil"/>
            </w:tcBorders>
            <w:vAlign w:val="center"/>
          </w:tcPr>
          <w:p w14:paraId="629323CE"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(0.507)</w:t>
            </w:r>
          </w:p>
        </w:tc>
        <w:tc>
          <w:tcPr>
            <w:tcW w:w="3190" w:type="dxa"/>
            <w:tcBorders>
              <w:left w:val="nil"/>
              <w:right w:val="nil"/>
            </w:tcBorders>
            <w:vAlign w:val="center"/>
          </w:tcPr>
          <w:p w14:paraId="41D17DFD"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p>
        </w:tc>
      </w:tr>
      <w:tr w:rsidR="00AF648E" w14:paraId="73254F4B" w14:textId="77777777" w:rsidTr="0029437B">
        <w:trPr>
          <w:trHeight w:val="283"/>
        </w:trPr>
        <w:tc>
          <w:tcPr>
            <w:tcW w:w="1985" w:type="dxa"/>
            <w:vAlign w:val="center"/>
          </w:tcPr>
          <w:p w14:paraId="1C53F5D3"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i/>
                <w:sz w:val="20"/>
                <w:szCs w:val="20"/>
              </w:rPr>
              <w:t>Factor1</w:t>
            </w:r>
          </w:p>
        </w:tc>
        <w:tc>
          <w:tcPr>
            <w:tcW w:w="3189" w:type="dxa"/>
            <w:tcBorders>
              <w:right w:val="nil"/>
            </w:tcBorders>
            <w:vAlign w:val="center"/>
          </w:tcPr>
          <w:p w14:paraId="5C0A68B5"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-15.842</w:t>
            </w:r>
          </w:p>
        </w:tc>
        <w:tc>
          <w:tcPr>
            <w:tcW w:w="3190" w:type="dxa"/>
            <w:tcBorders>
              <w:left w:val="nil"/>
              <w:right w:val="nil"/>
            </w:tcBorders>
            <w:vAlign w:val="center"/>
          </w:tcPr>
          <w:p w14:paraId="165FC56B"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-0.120</w:t>
            </w:r>
          </w:p>
        </w:tc>
      </w:tr>
      <w:tr w:rsidR="00AF648E" w14:paraId="7FE002E5" w14:textId="77777777" w:rsidTr="0029437B">
        <w:trPr>
          <w:trHeight w:val="283"/>
        </w:trPr>
        <w:tc>
          <w:tcPr>
            <w:tcW w:w="1985" w:type="dxa"/>
            <w:vAlign w:val="center"/>
          </w:tcPr>
          <w:p w14:paraId="795FDDA3"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6DC6BDE8"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(0.103)</w:t>
            </w:r>
          </w:p>
        </w:tc>
        <w:tc>
          <w:tcPr>
            <w:tcW w:w="3190" w:type="dxa"/>
            <w:tcBorders>
              <w:left w:val="nil"/>
              <w:right w:val="nil"/>
            </w:tcBorders>
            <w:vAlign w:val="center"/>
          </w:tcPr>
          <w:p w14:paraId="7C706BAF"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r>
      <w:tr w:rsidR="00AF648E" w14:paraId="36BDAC83" w14:textId="77777777" w:rsidTr="0029437B">
        <w:trPr>
          <w:trHeight w:val="283"/>
        </w:trPr>
        <w:tc>
          <w:tcPr>
            <w:tcW w:w="1985" w:type="dxa"/>
            <w:vAlign w:val="center"/>
          </w:tcPr>
          <w:p w14:paraId="4FDC01CD"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Factor2</w:t>
            </w:r>
          </w:p>
        </w:tc>
        <w:tc>
          <w:tcPr>
            <w:tcW w:w="3189" w:type="dxa"/>
            <w:tcBorders>
              <w:right w:val="nil"/>
            </w:tcBorders>
            <w:vAlign w:val="center"/>
          </w:tcPr>
          <w:p w14:paraId="463E03FE"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-24.366</w:t>
            </w:r>
          </w:p>
        </w:tc>
        <w:tc>
          <w:tcPr>
            <w:tcW w:w="3190" w:type="dxa"/>
            <w:tcBorders>
              <w:left w:val="nil"/>
              <w:right w:val="nil"/>
            </w:tcBorders>
            <w:vAlign w:val="center"/>
          </w:tcPr>
          <w:p w14:paraId="542BFE0A"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-0.167</w:t>
            </w:r>
          </w:p>
        </w:tc>
      </w:tr>
      <w:tr w:rsidR="00AF648E" w14:paraId="213F91B1" w14:textId="77777777" w:rsidTr="0029437B">
        <w:trPr>
          <w:trHeight w:val="283"/>
        </w:trPr>
        <w:tc>
          <w:tcPr>
            <w:tcW w:w="1985" w:type="dxa"/>
            <w:vAlign w:val="center"/>
          </w:tcPr>
          <w:p w14:paraId="258FE021"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1B9610DB"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(0.014)</w:t>
            </w:r>
          </w:p>
        </w:tc>
        <w:tc>
          <w:tcPr>
            <w:tcW w:w="3190" w:type="dxa"/>
            <w:tcBorders>
              <w:left w:val="nil"/>
              <w:right w:val="nil"/>
            </w:tcBorders>
            <w:vAlign w:val="center"/>
          </w:tcPr>
          <w:p w14:paraId="6711643E"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r>
      <w:tr w:rsidR="00AF648E" w14:paraId="010F5859" w14:textId="77777777" w:rsidTr="0029437B">
        <w:trPr>
          <w:trHeight w:val="283"/>
        </w:trPr>
        <w:tc>
          <w:tcPr>
            <w:tcW w:w="1985" w:type="dxa"/>
            <w:vAlign w:val="center"/>
          </w:tcPr>
          <w:p w14:paraId="1EC4EDBF"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Factor3</w:t>
            </w:r>
          </w:p>
        </w:tc>
        <w:tc>
          <w:tcPr>
            <w:tcW w:w="3189" w:type="dxa"/>
            <w:tcBorders>
              <w:right w:val="nil"/>
            </w:tcBorders>
            <w:vAlign w:val="center"/>
          </w:tcPr>
          <w:p w14:paraId="03E185F1"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7DDC21F3"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0.222</w:t>
            </w:r>
          </w:p>
        </w:tc>
      </w:tr>
      <w:tr w:rsidR="00AF648E" w14:paraId="2F8472FF" w14:textId="77777777" w:rsidTr="0029437B">
        <w:trPr>
          <w:trHeight w:val="283"/>
        </w:trPr>
        <w:tc>
          <w:tcPr>
            <w:tcW w:w="1985" w:type="dxa"/>
            <w:vAlign w:val="center"/>
          </w:tcPr>
          <w:p w14:paraId="44BD058E"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228AED68"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p>
        </w:tc>
        <w:tc>
          <w:tcPr>
            <w:tcW w:w="3190" w:type="dxa"/>
            <w:tcBorders>
              <w:left w:val="nil"/>
              <w:right w:val="nil"/>
            </w:tcBorders>
            <w:vAlign w:val="center"/>
          </w:tcPr>
          <w:p w14:paraId="46C28566"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r>
      <w:tr w:rsidR="00AF648E" w14:paraId="4DADF73A" w14:textId="77777777" w:rsidTr="0029437B">
        <w:trPr>
          <w:trHeight w:val="283"/>
        </w:trPr>
        <w:tc>
          <w:tcPr>
            <w:tcW w:w="1985" w:type="dxa"/>
            <w:vAlign w:val="center"/>
          </w:tcPr>
          <w:p w14:paraId="073C6B6B"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Factor4</w:t>
            </w:r>
          </w:p>
        </w:tc>
        <w:tc>
          <w:tcPr>
            <w:tcW w:w="3189" w:type="dxa"/>
            <w:tcBorders>
              <w:right w:val="nil"/>
            </w:tcBorders>
            <w:vAlign w:val="center"/>
          </w:tcPr>
          <w:p w14:paraId="33F1A5FD"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-17.389</w:t>
            </w:r>
          </w:p>
        </w:tc>
        <w:tc>
          <w:tcPr>
            <w:tcW w:w="3190" w:type="dxa"/>
            <w:tcBorders>
              <w:left w:val="nil"/>
              <w:right w:val="nil"/>
            </w:tcBorders>
            <w:vAlign w:val="center"/>
          </w:tcPr>
          <w:p w14:paraId="5879A4A3"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-0.357</w:t>
            </w:r>
          </w:p>
        </w:tc>
      </w:tr>
      <w:tr w:rsidR="00AF648E" w14:paraId="736319DE" w14:textId="77777777" w:rsidTr="0029437B">
        <w:trPr>
          <w:trHeight w:val="283"/>
        </w:trPr>
        <w:tc>
          <w:tcPr>
            <w:tcW w:w="1985" w:type="dxa"/>
            <w:vAlign w:val="center"/>
          </w:tcPr>
          <w:p w14:paraId="25F24922"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5AEC67C1"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(0.392)</w:t>
            </w:r>
          </w:p>
        </w:tc>
        <w:tc>
          <w:tcPr>
            <w:tcW w:w="3190" w:type="dxa"/>
            <w:tcBorders>
              <w:left w:val="nil"/>
              <w:right w:val="nil"/>
            </w:tcBorders>
            <w:vAlign w:val="center"/>
          </w:tcPr>
          <w:p w14:paraId="3A553F1D"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r>
      <w:tr w:rsidR="00AF648E" w14:paraId="7811AFFE" w14:textId="77777777" w:rsidTr="0029437B">
        <w:trPr>
          <w:trHeight w:val="283"/>
        </w:trPr>
        <w:tc>
          <w:tcPr>
            <w:tcW w:w="1985" w:type="dxa"/>
            <w:vAlign w:val="center"/>
          </w:tcPr>
          <w:p w14:paraId="3BE44DCA"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i/>
                <w:sz w:val="20"/>
                <w:szCs w:val="20"/>
              </w:rPr>
              <w:t>Factor5</w:t>
            </w:r>
          </w:p>
        </w:tc>
        <w:tc>
          <w:tcPr>
            <w:tcW w:w="3189" w:type="dxa"/>
            <w:tcBorders>
              <w:right w:val="nil"/>
            </w:tcBorders>
            <w:vAlign w:val="center"/>
          </w:tcPr>
          <w:p w14:paraId="408906D7"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25.587</w:t>
            </w:r>
          </w:p>
        </w:tc>
        <w:tc>
          <w:tcPr>
            <w:tcW w:w="3190" w:type="dxa"/>
            <w:tcBorders>
              <w:left w:val="nil"/>
              <w:right w:val="nil"/>
            </w:tcBorders>
            <w:vAlign w:val="center"/>
          </w:tcPr>
          <w:p w14:paraId="63D83261"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p>
        </w:tc>
      </w:tr>
      <w:tr w:rsidR="00AF648E" w14:paraId="53B39220" w14:textId="77777777" w:rsidTr="0029437B">
        <w:trPr>
          <w:trHeight w:val="283"/>
        </w:trPr>
        <w:tc>
          <w:tcPr>
            <w:tcW w:w="1985" w:type="dxa"/>
            <w:vAlign w:val="center"/>
          </w:tcPr>
          <w:p w14:paraId="59998DAC"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72DCD6A0"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(0.065)</w:t>
            </w:r>
          </w:p>
        </w:tc>
        <w:tc>
          <w:tcPr>
            <w:tcW w:w="3190" w:type="dxa"/>
            <w:tcBorders>
              <w:left w:val="nil"/>
              <w:right w:val="nil"/>
            </w:tcBorders>
            <w:vAlign w:val="center"/>
          </w:tcPr>
          <w:p w14:paraId="1D229B7B"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p>
        </w:tc>
      </w:tr>
      <w:tr w:rsidR="00AF648E" w14:paraId="1E6D5A88" w14:textId="77777777" w:rsidTr="0029437B">
        <w:trPr>
          <w:trHeight w:val="283"/>
        </w:trPr>
        <w:tc>
          <w:tcPr>
            <w:tcW w:w="1985" w:type="dxa"/>
            <w:vAlign w:val="center"/>
          </w:tcPr>
          <w:p w14:paraId="2AF9CAAA" w14:textId="77777777" w:rsidR="00AF648E" w:rsidRPr="00C95B8A" w:rsidRDefault="00AF648E" w:rsidP="0029437B">
            <w:pPr>
              <w:jc w:val="both"/>
              <w:rPr>
                <w:rFonts w:ascii="Times New Roman" w:hAnsi="Times New Roman" w:cs="Times New Roman"/>
                <w:i/>
                <w:sz w:val="20"/>
                <w:szCs w:val="20"/>
              </w:rPr>
            </w:pPr>
            <w:r w:rsidRPr="00C95B8A">
              <w:rPr>
                <w:rFonts w:ascii="Times New Roman" w:hAnsi="Times New Roman" w:cs="Times New Roman" w:hint="eastAsia"/>
                <w:i/>
                <w:sz w:val="20"/>
                <w:szCs w:val="20"/>
              </w:rPr>
              <w:t>Intercept</w:t>
            </w:r>
          </w:p>
        </w:tc>
        <w:tc>
          <w:tcPr>
            <w:tcW w:w="3189" w:type="dxa"/>
            <w:tcBorders>
              <w:right w:val="nil"/>
            </w:tcBorders>
            <w:vAlign w:val="center"/>
          </w:tcPr>
          <w:p w14:paraId="4BE0AAF5"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425.535</w:t>
            </w:r>
          </w:p>
        </w:tc>
        <w:tc>
          <w:tcPr>
            <w:tcW w:w="3190" w:type="dxa"/>
            <w:tcBorders>
              <w:left w:val="nil"/>
              <w:right w:val="nil"/>
            </w:tcBorders>
            <w:vAlign w:val="center"/>
          </w:tcPr>
          <w:p w14:paraId="050B529F"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0.671</w:t>
            </w:r>
          </w:p>
        </w:tc>
      </w:tr>
      <w:tr w:rsidR="00AF648E" w14:paraId="274B7E42" w14:textId="77777777" w:rsidTr="0029437B">
        <w:trPr>
          <w:trHeight w:val="283"/>
        </w:trPr>
        <w:tc>
          <w:tcPr>
            <w:tcW w:w="1985" w:type="dxa"/>
            <w:vAlign w:val="center"/>
          </w:tcPr>
          <w:p w14:paraId="6436D2CB" w14:textId="77777777" w:rsidR="00AF648E" w:rsidRPr="00C95B8A" w:rsidRDefault="00AF648E" w:rsidP="0029437B">
            <w:pPr>
              <w:jc w:val="both"/>
              <w:rPr>
                <w:rFonts w:ascii="Times New Roman" w:hAnsi="Times New Roman" w:cs="Times New Roman"/>
                <w:i/>
                <w:sz w:val="20"/>
                <w:szCs w:val="20"/>
              </w:rPr>
            </w:pPr>
          </w:p>
        </w:tc>
        <w:tc>
          <w:tcPr>
            <w:tcW w:w="3189" w:type="dxa"/>
            <w:tcBorders>
              <w:right w:val="nil"/>
            </w:tcBorders>
            <w:vAlign w:val="center"/>
          </w:tcPr>
          <w:p w14:paraId="2641A936" w14:textId="77777777" w:rsidR="00AF648E" w:rsidRPr="00C95B8A" w:rsidRDefault="00AF648E" w:rsidP="0029437B">
            <w:pPr>
              <w:tabs>
                <w:tab w:val="decimal" w:pos="139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(0.000)</w:t>
            </w:r>
          </w:p>
        </w:tc>
        <w:tc>
          <w:tcPr>
            <w:tcW w:w="3190" w:type="dxa"/>
            <w:tcBorders>
              <w:left w:val="nil"/>
              <w:right w:val="nil"/>
            </w:tcBorders>
            <w:vAlign w:val="center"/>
          </w:tcPr>
          <w:p w14:paraId="400552EF" w14:textId="77777777" w:rsidR="00AF648E" w:rsidRPr="00C95B8A" w:rsidRDefault="00AF648E" w:rsidP="0029437B">
            <w:pPr>
              <w:tabs>
                <w:tab w:val="decimal" w:pos="1350"/>
              </w:tabs>
              <w:autoSpaceDE w:val="0"/>
              <w:autoSpaceDN w:val="0"/>
              <w:adjustRightInd w:val="0"/>
              <w:jc w:val="both"/>
              <w:rPr>
                <w:rFonts w:ascii="Times New Roman" w:hAnsi="Times New Roman" w:cs="Times New Roman"/>
                <w:kern w:val="0"/>
                <w:sz w:val="20"/>
                <w:szCs w:val="20"/>
              </w:rPr>
            </w:pPr>
            <w:r w:rsidRPr="00C95B8A">
              <w:rPr>
                <w:rFonts w:ascii="Times New Roman" w:hAnsi="Times New Roman" w:cs="Times New Roman"/>
                <w:kern w:val="0"/>
                <w:sz w:val="20"/>
                <w:szCs w:val="20"/>
              </w:rPr>
              <w:t>(0.113)</w:t>
            </w:r>
          </w:p>
        </w:tc>
      </w:tr>
      <w:tr w:rsidR="00AF648E" w14:paraId="3B8AA2B8" w14:textId="77777777" w:rsidTr="0029437B">
        <w:trPr>
          <w:trHeight w:val="283"/>
        </w:trPr>
        <w:tc>
          <w:tcPr>
            <w:tcW w:w="1985" w:type="dxa"/>
            <w:vAlign w:val="center"/>
          </w:tcPr>
          <w:p w14:paraId="16375EE1"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cs="Times New Roman" w:hint="eastAsia"/>
                <w:sz w:val="20"/>
                <w:szCs w:val="20"/>
              </w:rPr>
              <w:t>Obs.</w:t>
            </w:r>
          </w:p>
        </w:tc>
        <w:tc>
          <w:tcPr>
            <w:tcW w:w="3189" w:type="dxa"/>
            <w:tcBorders>
              <w:right w:val="nil"/>
            </w:tcBorders>
            <w:vAlign w:val="center"/>
          </w:tcPr>
          <w:p w14:paraId="653F9A5A" w14:textId="77777777" w:rsidR="00AF648E" w:rsidRPr="00C95B8A" w:rsidRDefault="00AF648E" w:rsidP="0029437B">
            <w:pPr>
              <w:jc w:val="center"/>
              <w:rPr>
                <w:sz w:val="20"/>
                <w:szCs w:val="20"/>
              </w:rPr>
            </w:pPr>
            <w:r w:rsidRPr="00C95B8A">
              <w:rPr>
                <w:rFonts w:ascii="Times New Roman" w:hAnsi="Times New Roman" w:cs="Times New Roman"/>
                <w:kern w:val="0"/>
                <w:sz w:val="20"/>
                <w:szCs w:val="20"/>
              </w:rPr>
              <w:t>103</w:t>
            </w:r>
          </w:p>
        </w:tc>
        <w:tc>
          <w:tcPr>
            <w:tcW w:w="3190" w:type="dxa"/>
            <w:tcBorders>
              <w:left w:val="nil"/>
              <w:right w:val="nil"/>
            </w:tcBorders>
            <w:vAlign w:val="center"/>
          </w:tcPr>
          <w:p w14:paraId="54116CE0" w14:textId="77777777" w:rsidR="00AF648E" w:rsidRPr="00C95B8A" w:rsidRDefault="00AF648E" w:rsidP="0029437B">
            <w:pPr>
              <w:autoSpaceDE w:val="0"/>
              <w:autoSpaceDN w:val="0"/>
              <w:adjustRightInd w:val="0"/>
              <w:jc w:val="center"/>
              <w:rPr>
                <w:rFonts w:ascii="Times New Roman" w:hAnsi="Times New Roman" w:cs="Times New Roman"/>
                <w:kern w:val="0"/>
                <w:sz w:val="20"/>
                <w:szCs w:val="20"/>
              </w:rPr>
            </w:pPr>
            <w:r w:rsidRPr="00C95B8A">
              <w:rPr>
                <w:rFonts w:ascii="Times New Roman" w:hAnsi="Times New Roman" w:cs="Times New Roman"/>
                <w:kern w:val="0"/>
                <w:sz w:val="20"/>
                <w:szCs w:val="20"/>
              </w:rPr>
              <w:t>103</w:t>
            </w:r>
          </w:p>
        </w:tc>
      </w:tr>
      <w:tr w:rsidR="00AF648E" w14:paraId="227B7976" w14:textId="77777777" w:rsidTr="0029437B">
        <w:trPr>
          <w:trHeight w:val="283"/>
        </w:trPr>
        <w:tc>
          <w:tcPr>
            <w:tcW w:w="1985" w:type="dxa"/>
            <w:vAlign w:val="center"/>
          </w:tcPr>
          <w:p w14:paraId="50914269" w14:textId="77777777" w:rsidR="00AF648E" w:rsidRPr="00C95B8A" w:rsidRDefault="00AF648E" w:rsidP="0029437B">
            <w:pPr>
              <w:jc w:val="both"/>
              <w:rPr>
                <w:rFonts w:ascii="Times New Roman" w:hAnsi="Times New Roman" w:cs="Times New Roman"/>
                <w:sz w:val="20"/>
                <w:szCs w:val="20"/>
              </w:rPr>
            </w:pPr>
            <w:r w:rsidRPr="00C95B8A">
              <w:rPr>
                <w:rFonts w:ascii="Times New Roman" w:hAnsi="Times New Roman"/>
                <w:kern w:val="0"/>
                <w:sz w:val="20"/>
                <w:szCs w:val="20"/>
              </w:rPr>
              <w:t xml:space="preserve">adj. </w:t>
            </w:r>
            <w:r w:rsidRPr="00C95B8A">
              <w:rPr>
                <w:rFonts w:ascii="Times New Roman" w:hAnsi="Times New Roman"/>
                <w:i/>
                <w:iCs/>
                <w:kern w:val="0"/>
                <w:sz w:val="20"/>
                <w:szCs w:val="20"/>
              </w:rPr>
              <w:t>R</w:t>
            </w:r>
            <w:r w:rsidRPr="00C95B8A">
              <w:rPr>
                <w:rFonts w:ascii="Times New Roman" w:hAnsi="Times New Roman"/>
                <w:kern w:val="0"/>
                <w:sz w:val="20"/>
                <w:szCs w:val="20"/>
                <w:vertAlign w:val="superscript"/>
              </w:rPr>
              <w:t>2</w:t>
            </w:r>
          </w:p>
        </w:tc>
        <w:tc>
          <w:tcPr>
            <w:tcW w:w="3189" w:type="dxa"/>
            <w:tcBorders>
              <w:bottom w:val="single" w:sz="4" w:space="0" w:color="auto"/>
              <w:right w:val="nil"/>
            </w:tcBorders>
            <w:vAlign w:val="center"/>
          </w:tcPr>
          <w:p w14:paraId="6FADA09D" w14:textId="77777777" w:rsidR="00AF648E" w:rsidRPr="00C95B8A" w:rsidRDefault="00AF648E" w:rsidP="0029437B">
            <w:pPr>
              <w:jc w:val="center"/>
              <w:rPr>
                <w:rFonts w:ascii="Times New Roman" w:hAnsi="Times New Roman" w:cs="Times New Roman"/>
                <w:sz w:val="20"/>
                <w:szCs w:val="20"/>
              </w:rPr>
            </w:pPr>
            <w:r w:rsidRPr="00C95B8A">
              <w:rPr>
                <w:rFonts w:ascii="Times New Roman" w:hAnsi="Times New Roman" w:cs="Times New Roman" w:hint="eastAsia"/>
                <w:sz w:val="20"/>
                <w:szCs w:val="20"/>
              </w:rPr>
              <w:t>0.3</w:t>
            </w:r>
            <w:r w:rsidRPr="00C95B8A">
              <w:rPr>
                <w:rFonts w:ascii="Times New Roman" w:hAnsi="Times New Roman" w:cs="Times New Roman"/>
                <w:sz w:val="20"/>
                <w:szCs w:val="20"/>
              </w:rPr>
              <w:t>51</w:t>
            </w:r>
          </w:p>
        </w:tc>
        <w:tc>
          <w:tcPr>
            <w:tcW w:w="3190" w:type="dxa"/>
            <w:tcBorders>
              <w:left w:val="nil"/>
              <w:bottom w:val="single" w:sz="4" w:space="0" w:color="auto"/>
              <w:right w:val="nil"/>
            </w:tcBorders>
            <w:vAlign w:val="center"/>
          </w:tcPr>
          <w:p w14:paraId="72F7AB81" w14:textId="77777777" w:rsidR="00AF648E" w:rsidRPr="00C95B8A" w:rsidRDefault="00AF648E" w:rsidP="0029437B">
            <w:pPr>
              <w:jc w:val="center"/>
              <w:rPr>
                <w:rFonts w:ascii="Times New Roman" w:hAnsi="Times New Roman" w:cs="Times New Roman"/>
                <w:sz w:val="20"/>
                <w:szCs w:val="20"/>
              </w:rPr>
            </w:pPr>
            <w:r w:rsidRPr="00C95B8A">
              <w:rPr>
                <w:rFonts w:ascii="Times New Roman" w:hAnsi="Times New Roman" w:cs="Times New Roman" w:hint="eastAsia"/>
                <w:sz w:val="20"/>
                <w:szCs w:val="20"/>
              </w:rPr>
              <w:t>0.</w:t>
            </w:r>
            <w:r w:rsidRPr="00C95B8A">
              <w:rPr>
                <w:rFonts w:ascii="Times New Roman" w:hAnsi="Times New Roman" w:cs="Times New Roman"/>
                <w:sz w:val="20"/>
                <w:szCs w:val="20"/>
              </w:rPr>
              <w:t>746</w:t>
            </w:r>
          </w:p>
        </w:tc>
      </w:tr>
    </w:tbl>
    <w:p w14:paraId="75EF789C" w14:textId="77777777" w:rsidR="00AF648E" w:rsidRPr="00E47CD7" w:rsidRDefault="00AF648E" w:rsidP="00AF648E">
      <w:pPr>
        <w:spacing w:after="0" w:line="240" w:lineRule="auto"/>
        <w:jc w:val="both"/>
        <w:rPr>
          <w:rFonts w:ascii="Times New Roman" w:hAnsi="Times New Roman" w:cs="Times New Roman"/>
          <w:sz w:val="20"/>
          <w:szCs w:val="20"/>
        </w:rPr>
      </w:pPr>
      <w:r w:rsidRPr="00E47CD7">
        <w:rPr>
          <w:rFonts w:ascii="Times New Roman" w:hAnsi="Times New Roman" w:cs="Times New Roman"/>
          <w:sz w:val="20"/>
          <w:szCs w:val="20"/>
        </w:rPr>
        <w:t>NOTES</w:t>
      </w:r>
      <w:r w:rsidRPr="00E47CD7">
        <w:rPr>
          <w:rFonts w:ascii="Times New Roman" w:hAnsi="Times New Roman" w:cs="Times New Roman" w:hint="eastAsia"/>
          <w:sz w:val="20"/>
          <w:szCs w:val="20"/>
        </w:rPr>
        <w:t xml:space="preserve">: </w:t>
      </w:r>
      <w:r w:rsidRPr="00E47CD7">
        <w:rPr>
          <w:rFonts w:ascii="Times New Roman" w:hAnsi="Times New Roman" w:cs="Times New Roman"/>
          <w:sz w:val="20"/>
          <w:szCs w:val="20"/>
        </w:rPr>
        <w:t>T</w:t>
      </w:r>
      <w:r w:rsidRPr="00E47CD7">
        <w:rPr>
          <w:rFonts w:ascii="Times New Roman" w:hAnsi="Times New Roman" w:cs="Times New Roman" w:hint="eastAsia"/>
          <w:sz w:val="20"/>
          <w:szCs w:val="20"/>
        </w:rPr>
        <w:t xml:space="preserve">he </w:t>
      </w:r>
      <w:r w:rsidRPr="00E47CD7">
        <w:rPr>
          <w:rFonts w:ascii="Times New Roman" w:hAnsi="Times New Roman" w:cs="Times New Roman"/>
          <w:sz w:val="20"/>
          <w:szCs w:val="20"/>
        </w:rPr>
        <w:t>simultaneous equations model is</w:t>
      </w:r>
    </w:p>
    <w:p w14:paraId="7EF2E337" w14:textId="77777777" w:rsidR="00AF648E" w:rsidRPr="00E47CD7" w:rsidRDefault="00AF648E" w:rsidP="00AF648E">
      <w:pPr>
        <w:spacing w:after="0" w:line="240" w:lineRule="auto"/>
        <w:ind w:firstLineChars="100" w:firstLine="200"/>
        <w:jc w:val="both"/>
        <w:rPr>
          <w:rFonts w:ascii="Times New Roman" w:hAnsi="Times New Roman" w:cs="Times New Roman"/>
          <w:sz w:val="20"/>
          <w:szCs w:val="20"/>
        </w:rPr>
      </w:pPr>
      <w:r w:rsidRPr="00E47CD7">
        <w:rPr>
          <w:rFonts w:ascii="Times New Roman" w:hAnsi="Times New Roman" w:cs="Times New Roman"/>
          <w:position w:val="-66"/>
          <w:sz w:val="20"/>
          <w:szCs w:val="20"/>
        </w:rPr>
        <w:object w:dxaOrig="7260" w:dyaOrig="1440" w14:anchorId="178414E3">
          <v:shape id="_x0000_i1028" type="#_x0000_t75" style="width:333pt;height:66.5pt" o:ole="">
            <v:imagedata r:id="rId15" o:title=""/>
          </v:shape>
          <o:OLEObject Type="Embed" ProgID="Equation.DSMT4" ShapeID="_x0000_i1028" DrawAspect="Content" ObjectID="_1628328503" r:id="rId16"/>
        </w:object>
      </w:r>
    </w:p>
    <w:p w14:paraId="26643F28" w14:textId="77777777" w:rsidR="00C653E8" w:rsidRDefault="00AF648E" w:rsidP="00C653E8">
      <w:pPr>
        <w:spacing w:after="0" w:line="240" w:lineRule="auto"/>
        <w:jc w:val="both"/>
        <w:rPr>
          <w:rFonts w:ascii="Times New Roman" w:hAnsi="Times New Roman" w:cs="Times New Roman"/>
          <w:sz w:val="20"/>
          <w:szCs w:val="20"/>
        </w:rPr>
      </w:pPr>
      <w:r w:rsidRPr="00E47CD7">
        <w:rPr>
          <w:rFonts w:ascii="Times New Roman" w:hAnsi="Times New Roman" w:cs="Times New Roman"/>
          <w:sz w:val="20"/>
          <w:szCs w:val="20"/>
        </w:rPr>
        <w:t xml:space="preserve">The choice of exogenous variables is based on Panel B of Table 2. </w:t>
      </w:r>
      <w:r w:rsidRPr="00E47CD7">
        <w:rPr>
          <w:rFonts w:ascii="Times New Roman" w:hAnsi="Times New Roman" w:cs="Times New Roman"/>
          <w:i/>
          <w:sz w:val="20"/>
          <w:szCs w:val="20"/>
        </w:rPr>
        <w:t>Factor1</w:t>
      </w:r>
      <w:r w:rsidRPr="00E47CD7">
        <w:rPr>
          <w:rFonts w:ascii="Times New Roman" w:hAnsi="Times New Roman" w:cs="Times New Roman"/>
          <w:sz w:val="20"/>
          <w:szCs w:val="20"/>
        </w:rPr>
        <w:t xml:space="preserve">, </w:t>
      </w:r>
      <w:r w:rsidRPr="00E47CD7">
        <w:rPr>
          <w:rFonts w:ascii="Times New Roman" w:hAnsi="Times New Roman" w:cs="Times New Roman"/>
          <w:i/>
          <w:sz w:val="20"/>
          <w:szCs w:val="20"/>
        </w:rPr>
        <w:t>Factor2</w:t>
      </w:r>
      <w:r w:rsidRPr="00E47CD7">
        <w:rPr>
          <w:rFonts w:ascii="Times New Roman" w:hAnsi="Times New Roman" w:cs="Times New Roman"/>
          <w:sz w:val="20"/>
          <w:szCs w:val="20"/>
        </w:rPr>
        <w:t xml:space="preserve">, …, </w:t>
      </w:r>
      <w:r w:rsidRPr="00E47CD7">
        <w:rPr>
          <w:rFonts w:ascii="Times New Roman" w:hAnsi="Times New Roman" w:cs="Times New Roman"/>
          <w:i/>
          <w:sz w:val="20"/>
          <w:szCs w:val="20"/>
        </w:rPr>
        <w:t>Factor6</w:t>
      </w:r>
      <w:r w:rsidRPr="00E47CD7">
        <w:rPr>
          <w:rFonts w:ascii="Times New Roman" w:hAnsi="Times New Roman" w:cs="Times New Roman"/>
          <w:sz w:val="20"/>
          <w:szCs w:val="20"/>
        </w:rPr>
        <w:t xml:space="preserve"> are six principal components</w:t>
      </w:r>
      <w:r w:rsidRPr="00E47CD7">
        <w:rPr>
          <w:rFonts w:ascii="Times New Roman" w:hAnsi="Times New Roman" w:cs="Times New Roman" w:hint="eastAsia"/>
          <w:sz w:val="20"/>
          <w:szCs w:val="20"/>
        </w:rPr>
        <w:t xml:space="preserve"> </w:t>
      </w:r>
      <w:r w:rsidRPr="00E47CD7">
        <w:rPr>
          <w:rFonts w:ascii="Times New Roman" w:hAnsi="Times New Roman" w:cs="Times New Roman"/>
          <w:sz w:val="20"/>
          <w:szCs w:val="20"/>
        </w:rPr>
        <w:t xml:space="preserve">obtained from </w:t>
      </w:r>
      <w:r>
        <w:rPr>
          <w:rFonts w:ascii="Times New Roman" w:hAnsi="Times New Roman" w:cs="Times New Roman"/>
          <w:sz w:val="20"/>
          <w:szCs w:val="20"/>
        </w:rPr>
        <w:t xml:space="preserve">the </w:t>
      </w:r>
      <w:r w:rsidRPr="00E47CD7">
        <w:rPr>
          <w:rFonts w:ascii="Times New Roman" w:hAnsi="Times New Roman" w:cs="Times New Roman"/>
          <w:sz w:val="20"/>
          <w:szCs w:val="20"/>
        </w:rPr>
        <w:t>Federal funds rate (</w:t>
      </w:r>
      <w:r w:rsidRPr="00E47CD7">
        <w:rPr>
          <w:rFonts w:ascii="Times New Roman" w:hAnsi="Times New Roman" w:cs="Times New Roman"/>
          <w:i/>
          <w:sz w:val="20"/>
          <w:szCs w:val="20"/>
        </w:rPr>
        <w:t>FF_Rate</w:t>
      </w:r>
      <w:r w:rsidRPr="00E47CD7">
        <w:rPr>
          <w:rFonts w:ascii="Times New Roman" w:hAnsi="Times New Roman" w:cs="Times New Roman"/>
          <w:sz w:val="20"/>
          <w:szCs w:val="20"/>
        </w:rPr>
        <w:t>), real GDP growth rate (</w:t>
      </w:r>
      <w:r w:rsidRPr="00E47CD7">
        <w:rPr>
          <w:rFonts w:ascii="Times New Roman" w:hAnsi="Times New Roman" w:cs="Times New Roman"/>
          <w:i/>
          <w:sz w:val="20"/>
          <w:szCs w:val="20"/>
        </w:rPr>
        <w:t>GDP</w:t>
      </w:r>
      <w:r w:rsidRPr="00E47CD7">
        <w:rPr>
          <w:rFonts w:ascii="Times New Roman" w:hAnsi="Times New Roman" w:cs="Times New Roman"/>
          <w:sz w:val="20"/>
          <w:szCs w:val="20"/>
        </w:rPr>
        <w:t>), percentage change in CPI (</w:t>
      </w:r>
      <w:r w:rsidRPr="00E47CD7">
        <w:rPr>
          <w:rFonts w:ascii="Times New Roman" w:hAnsi="Times New Roman" w:cs="Times New Roman"/>
          <w:i/>
          <w:sz w:val="20"/>
          <w:szCs w:val="20"/>
        </w:rPr>
        <w:t>CPI</w:t>
      </w:r>
      <w:r w:rsidRPr="00E47CD7">
        <w:rPr>
          <w:rFonts w:ascii="Times New Roman" w:hAnsi="Times New Roman" w:cs="Times New Roman"/>
          <w:sz w:val="20"/>
          <w:szCs w:val="20"/>
        </w:rPr>
        <w:t>), Baa-Aaa corporate bond yield spread (</w:t>
      </w:r>
      <w:r w:rsidRPr="00E47CD7">
        <w:rPr>
          <w:rFonts w:ascii="Times New Roman" w:hAnsi="Times New Roman" w:cs="Times New Roman" w:hint="eastAsia"/>
          <w:i/>
          <w:sz w:val="20"/>
          <w:szCs w:val="20"/>
        </w:rPr>
        <w:t>Credit_Spr</w:t>
      </w:r>
      <w:r w:rsidRPr="00E47CD7">
        <w:rPr>
          <w:rFonts w:ascii="Times New Roman" w:hAnsi="Times New Roman" w:cs="Times New Roman"/>
          <w:sz w:val="20"/>
          <w:szCs w:val="20"/>
        </w:rPr>
        <w:t>), 10-1 year Treasury yield spread (</w:t>
      </w:r>
      <w:r w:rsidRPr="00E47CD7">
        <w:rPr>
          <w:rFonts w:ascii="Times New Roman" w:hAnsi="Times New Roman" w:cs="Times New Roman"/>
          <w:i/>
          <w:sz w:val="20"/>
          <w:szCs w:val="20"/>
        </w:rPr>
        <w:t>Term_Spr</w:t>
      </w:r>
      <w:r w:rsidRPr="00E47CD7">
        <w:rPr>
          <w:rFonts w:ascii="Times New Roman" w:hAnsi="Times New Roman" w:cs="Times New Roman"/>
          <w:sz w:val="20"/>
          <w:szCs w:val="20"/>
        </w:rPr>
        <w:t xml:space="preserve">), </w:t>
      </w:r>
      <w:r w:rsidRPr="00F7286A">
        <w:rPr>
          <w:rFonts w:ascii="Times New Roman" w:hAnsi="Times New Roman" w:cs="Times New Roman"/>
          <w:sz w:val="20"/>
          <w:szCs w:val="20"/>
        </w:rPr>
        <w:t>and the change in the</w:t>
      </w:r>
      <w:r w:rsidRPr="00E47CD7">
        <w:rPr>
          <w:rFonts w:ascii="Times New Roman" w:hAnsi="Times New Roman" w:cs="Times New Roman"/>
          <w:sz w:val="20"/>
          <w:szCs w:val="20"/>
        </w:rPr>
        <w:t xml:space="preserve"> Index of Consumer Sentiment from the University of Michigan (</w:t>
      </w:r>
      <w:r w:rsidRPr="00E47CD7">
        <w:rPr>
          <w:rFonts w:ascii="Times New Roman" w:hAnsi="Times New Roman" w:cs="Times New Roman" w:hint="eastAsia"/>
          <w:i/>
          <w:sz w:val="20"/>
          <w:szCs w:val="20"/>
        </w:rPr>
        <w:t>C</w:t>
      </w:r>
      <w:r w:rsidRPr="00E47CD7">
        <w:rPr>
          <w:rFonts w:ascii="Times New Roman" w:hAnsi="Times New Roman" w:cs="Times New Roman"/>
          <w:i/>
          <w:sz w:val="20"/>
          <w:szCs w:val="20"/>
        </w:rPr>
        <w:t>SI</w:t>
      </w:r>
      <w:r w:rsidRPr="00E47CD7">
        <w:rPr>
          <w:rFonts w:ascii="Times New Roman" w:hAnsi="Times New Roman" w:cs="Times New Roman"/>
          <w:sz w:val="20"/>
          <w:szCs w:val="20"/>
        </w:rPr>
        <w:t xml:space="preserve">). </w:t>
      </w:r>
      <w:r w:rsidRPr="0036371E">
        <w:rPr>
          <w:rFonts w:ascii="Times New Roman" w:hAnsi="Times New Roman" w:cs="Times New Roman"/>
          <w:sz w:val="20"/>
          <w:szCs w:val="20"/>
        </w:rPr>
        <w:t xml:space="preserve">The model is estimated </w:t>
      </w:r>
      <w:r>
        <w:rPr>
          <w:rFonts w:ascii="Times New Roman" w:hAnsi="Times New Roman" w:cs="Times New Roman"/>
          <w:sz w:val="20"/>
          <w:szCs w:val="20"/>
        </w:rPr>
        <w:t>using</w:t>
      </w:r>
      <w:r w:rsidRPr="0036371E">
        <w:rPr>
          <w:rFonts w:ascii="Times New Roman" w:hAnsi="Times New Roman" w:cs="Times New Roman"/>
          <w:sz w:val="20"/>
          <w:szCs w:val="20"/>
        </w:rPr>
        <w:t xml:space="preserve"> three-stage least squares</w:t>
      </w:r>
      <w:r>
        <w:rPr>
          <w:rFonts w:ascii="Times New Roman" w:hAnsi="Times New Roman" w:cs="Times New Roman"/>
          <w:sz w:val="20"/>
          <w:szCs w:val="20"/>
        </w:rPr>
        <w:t>.</w:t>
      </w:r>
      <w:r w:rsidRPr="0036371E">
        <w:rPr>
          <w:rFonts w:ascii="Times New Roman" w:hAnsi="Times New Roman" w:cs="Times New Roman"/>
          <w:sz w:val="20"/>
          <w:szCs w:val="20"/>
        </w:rPr>
        <w:t xml:space="preserve"> </w:t>
      </w:r>
      <w:r w:rsidRPr="00E47CD7">
        <w:rPr>
          <w:rFonts w:ascii="Times New Roman" w:hAnsi="Times New Roman" w:cs="Times New Roman"/>
          <w:sz w:val="20"/>
          <w:szCs w:val="20"/>
        </w:rPr>
        <w:t>Variable definitions are provided in Table A</w:t>
      </w:r>
      <w:r>
        <w:rPr>
          <w:rFonts w:ascii="Times New Roman" w:hAnsi="Times New Roman" w:cs="Times New Roman"/>
          <w:sz w:val="20"/>
          <w:szCs w:val="20"/>
        </w:rPr>
        <w:t>2</w:t>
      </w:r>
      <w:r w:rsidRPr="00E47CD7">
        <w:rPr>
          <w:rFonts w:ascii="Times New Roman" w:hAnsi="Times New Roman" w:cs="Times New Roman"/>
          <w:sz w:val="20"/>
          <w:szCs w:val="20"/>
        </w:rPr>
        <w:t xml:space="preserve">. P-values are </w:t>
      </w:r>
      <w:r>
        <w:rPr>
          <w:rFonts w:ascii="Times New Roman" w:hAnsi="Times New Roman" w:cs="Times New Roman"/>
          <w:sz w:val="20"/>
          <w:szCs w:val="20"/>
        </w:rPr>
        <w:t xml:space="preserve">shown </w:t>
      </w:r>
      <w:r w:rsidRPr="00E47CD7">
        <w:rPr>
          <w:rFonts w:ascii="Times New Roman" w:hAnsi="Times New Roman" w:cs="Times New Roman"/>
          <w:sz w:val="20"/>
          <w:szCs w:val="20"/>
        </w:rPr>
        <w:t>in parentheses.</w:t>
      </w:r>
    </w:p>
    <w:p w14:paraId="4E2E4FDA" w14:textId="77777777" w:rsidR="00C653E8" w:rsidRDefault="00C653E8" w:rsidP="00C653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br w:type="page"/>
      </w:r>
    </w:p>
    <w:p w14:paraId="1A1ABDC1" w14:textId="670F39EE" w:rsidR="00BD6DFA" w:rsidRPr="00787C30" w:rsidRDefault="00A61D43" w:rsidP="00DB396D">
      <w:pPr>
        <w:spacing w:after="0" w:line="480" w:lineRule="auto"/>
        <w:jc w:val="both"/>
        <w:rPr>
          <w:rFonts w:ascii="Times-Roman" w:hAnsi="Times-Roman" w:cs="Times-Roman"/>
          <w:b/>
          <w:color w:val="231F20"/>
          <w:sz w:val="28"/>
          <w:szCs w:val="28"/>
        </w:rPr>
      </w:pPr>
      <w:r w:rsidRPr="00787C30">
        <w:rPr>
          <w:rFonts w:ascii="Times-Roman" w:hAnsi="Times-Roman" w:cs="Times-Roman"/>
          <w:b/>
          <w:color w:val="231F20"/>
          <w:sz w:val="28"/>
          <w:szCs w:val="28"/>
        </w:rPr>
        <w:lastRenderedPageBreak/>
        <w:t>LITERATURE CITED</w:t>
      </w:r>
    </w:p>
    <w:p w14:paraId="0EEE6810" w14:textId="046047F3" w:rsidR="00A47D20" w:rsidRPr="00A47D20" w:rsidRDefault="00A47D20"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47D20">
        <w:rPr>
          <w:rFonts w:ascii="Times New Roman" w:hAnsi="Times New Roman" w:cs="Times New Roman"/>
          <w:sz w:val="24"/>
          <w:szCs w:val="24"/>
        </w:rPr>
        <w:t xml:space="preserve">Acharya, </w:t>
      </w:r>
      <w:r w:rsidR="00251EA6" w:rsidRPr="00251EA6">
        <w:rPr>
          <w:rFonts w:ascii="Times New Roman" w:hAnsi="Times New Roman" w:cs="Times New Roman"/>
          <w:sz w:val="24"/>
          <w:szCs w:val="24"/>
        </w:rPr>
        <w:t>Viral V.</w:t>
      </w:r>
      <w:r w:rsidR="00AA2F51">
        <w:rPr>
          <w:rFonts w:ascii="Times New Roman" w:hAnsi="Times New Roman" w:cs="Times New Roman"/>
          <w:sz w:val="24"/>
          <w:szCs w:val="24"/>
        </w:rPr>
        <w:t xml:space="preserve">, </w:t>
      </w:r>
      <w:r w:rsidR="00B46CF3">
        <w:rPr>
          <w:rFonts w:ascii="Times New Roman" w:hAnsi="Times New Roman" w:cs="Times New Roman"/>
          <w:sz w:val="24"/>
          <w:szCs w:val="24"/>
        </w:rPr>
        <w:t xml:space="preserve">and </w:t>
      </w:r>
      <w:r w:rsidR="00B46CF3" w:rsidRPr="00B46CF3">
        <w:rPr>
          <w:rFonts w:ascii="Times New Roman" w:hAnsi="Times New Roman" w:cs="Times New Roman"/>
          <w:sz w:val="24"/>
          <w:szCs w:val="24"/>
        </w:rPr>
        <w:t>Nada Mora</w:t>
      </w:r>
      <w:r w:rsidR="00EF2AE2">
        <w:rPr>
          <w:rFonts w:ascii="Times New Roman" w:hAnsi="Times New Roman" w:cs="Times New Roman"/>
          <w:sz w:val="24"/>
          <w:szCs w:val="24"/>
        </w:rPr>
        <w:t>.</w:t>
      </w:r>
      <w:r w:rsidR="00AA2F51">
        <w:rPr>
          <w:rFonts w:ascii="Times New Roman" w:hAnsi="Times New Roman" w:cs="Times New Roman"/>
          <w:sz w:val="24"/>
          <w:szCs w:val="24"/>
        </w:rPr>
        <w:t xml:space="preserve"> </w:t>
      </w:r>
      <w:r w:rsidR="00A61D43">
        <w:rPr>
          <w:rFonts w:ascii="Times New Roman" w:hAnsi="Times New Roman" w:cs="Times New Roman"/>
          <w:sz w:val="24"/>
          <w:szCs w:val="24"/>
        </w:rPr>
        <w:t>(</w:t>
      </w:r>
      <w:r w:rsidR="00AA2F51">
        <w:rPr>
          <w:rFonts w:ascii="Times New Roman" w:hAnsi="Times New Roman" w:cs="Times New Roman"/>
          <w:sz w:val="24"/>
          <w:szCs w:val="24"/>
        </w:rPr>
        <w:t>2015</w:t>
      </w:r>
      <w:r w:rsidR="00A61D43">
        <w:rPr>
          <w:rFonts w:ascii="Times New Roman" w:hAnsi="Times New Roman" w:cs="Times New Roman"/>
          <w:sz w:val="24"/>
          <w:szCs w:val="24"/>
        </w:rPr>
        <w:t>)</w:t>
      </w:r>
      <w:r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Pr="00A47D20">
        <w:rPr>
          <w:rFonts w:ascii="Times New Roman" w:hAnsi="Times New Roman" w:cs="Times New Roman"/>
          <w:sz w:val="24"/>
          <w:szCs w:val="24"/>
        </w:rPr>
        <w:t xml:space="preserve">A </w:t>
      </w:r>
      <w:r w:rsidR="00D757C4">
        <w:rPr>
          <w:rFonts w:ascii="Times New Roman" w:hAnsi="Times New Roman" w:cs="Times New Roman"/>
          <w:sz w:val="24"/>
          <w:szCs w:val="24"/>
        </w:rPr>
        <w:t>C</w:t>
      </w:r>
      <w:r w:rsidRPr="00A47D20">
        <w:rPr>
          <w:rFonts w:ascii="Times New Roman" w:hAnsi="Times New Roman" w:cs="Times New Roman"/>
          <w:sz w:val="24"/>
          <w:szCs w:val="24"/>
        </w:rPr>
        <w:t xml:space="preserve">risis of </w:t>
      </w:r>
      <w:r w:rsidR="006E76EE">
        <w:rPr>
          <w:rFonts w:ascii="Times New Roman" w:hAnsi="Times New Roman" w:cs="Times New Roman"/>
          <w:sz w:val="24"/>
          <w:szCs w:val="24"/>
        </w:rPr>
        <w:t>B</w:t>
      </w:r>
      <w:r w:rsidRPr="00A47D20">
        <w:rPr>
          <w:rFonts w:ascii="Times New Roman" w:hAnsi="Times New Roman" w:cs="Times New Roman"/>
          <w:sz w:val="24"/>
          <w:szCs w:val="24"/>
        </w:rPr>
        <w:t xml:space="preserve">anks as </w:t>
      </w:r>
      <w:r w:rsidR="006E76EE">
        <w:rPr>
          <w:rFonts w:ascii="Times New Roman" w:hAnsi="Times New Roman" w:cs="Times New Roman"/>
          <w:sz w:val="24"/>
          <w:szCs w:val="24"/>
        </w:rPr>
        <w:t>L</w:t>
      </w:r>
      <w:r w:rsidRPr="00A47D20">
        <w:rPr>
          <w:rFonts w:ascii="Times New Roman" w:hAnsi="Times New Roman" w:cs="Times New Roman"/>
          <w:sz w:val="24"/>
          <w:szCs w:val="24"/>
        </w:rPr>
        <w:t xml:space="preserve">iquidity </w:t>
      </w:r>
      <w:r w:rsidR="006E76EE">
        <w:rPr>
          <w:rFonts w:ascii="Times New Roman" w:hAnsi="Times New Roman" w:cs="Times New Roman"/>
          <w:sz w:val="24"/>
          <w:szCs w:val="24"/>
        </w:rPr>
        <w:t>P</w:t>
      </w:r>
      <w:r w:rsidRPr="00A47D20">
        <w:rPr>
          <w:rFonts w:ascii="Times New Roman" w:hAnsi="Times New Roman" w:cs="Times New Roman"/>
          <w:sz w:val="24"/>
          <w:szCs w:val="24"/>
        </w:rPr>
        <w:t>roviders.</w:t>
      </w:r>
      <w:r w:rsidR="00A61D43">
        <w:rPr>
          <w:rFonts w:ascii="Times New Roman" w:hAnsi="Times New Roman" w:cs="Times New Roman"/>
          <w:sz w:val="24"/>
          <w:szCs w:val="24"/>
        </w:rPr>
        <w:t>”</w:t>
      </w:r>
      <w:r w:rsidRPr="00A47D20">
        <w:rPr>
          <w:rFonts w:ascii="Times New Roman" w:hAnsi="Times New Roman" w:cs="Times New Roman"/>
          <w:sz w:val="24"/>
          <w:szCs w:val="24"/>
        </w:rPr>
        <w:t xml:space="preserve"> </w:t>
      </w:r>
      <w:r w:rsidRPr="00E60770">
        <w:rPr>
          <w:rFonts w:ascii="Times New Roman" w:hAnsi="Times New Roman" w:cs="Times New Roman"/>
          <w:i/>
          <w:sz w:val="24"/>
          <w:szCs w:val="24"/>
        </w:rPr>
        <w:t>J</w:t>
      </w:r>
      <w:r w:rsidR="00C67CB7" w:rsidRPr="00E60770">
        <w:rPr>
          <w:rFonts w:ascii="Times New Roman" w:hAnsi="Times New Roman" w:cs="Times New Roman"/>
          <w:i/>
          <w:sz w:val="24"/>
          <w:szCs w:val="24"/>
        </w:rPr>
        <w:t>ournal of</w:t>
      </w:r>
      <w:r w:rsidRPr="00E60770">
        <w:rPr>
          <w:rFonts w:ascii="Times New Roman" w:hAnsi="Times New Roman" w:cs="Times New Roman"/>
          <w:i/>
          <w:sz w:val="24"/>
          <w:szCs w:val="24"/>
        </w:rPr>
        <w:t xml:space="preserve"> Finance</w:t>
      </w:r>
      <w:r w:rsidR="00C67CB7">
        <w:rPr>
          <w:rFonts w:ascii="Times New Roman" w:hAnsi="Times New Roman" w:cs="Times New Roman"/>
          <w:sz w:val="24"/>
          <w:szCs w:val="24"/>
        </w:rPr>
        <w:t>,</w:t>
      </w:r>
      <w:r w:rsidRPr="00A47D20">
        <w:rPr>
          <w:rFonts w:ascii="Times New Roman" w:hAnsi="Times New Roman" w:cs="Times New Roman"/>
          <w:sz w:val="24"/>
          <w:szCs w:val="24"/>
        </w:rPr>
        <w:t xml:space="preserve"> 70, 1</w:t>
      </w:r>
      <w:r w:rsidR="00F126A3">
        <w:rPr>
          <w:rFonts w:ascii="Times New Roman" w:hAnsi="Times New Roman" w:cs="Times New Roman"/>
          <w:sz w:val="24"/>
          <w:szCs w:val="24"/>
        </w:rPr>
        <w:t>-</w:t>
      </w:r>
      <w:r w:rsidRPr="00A47D20">
        <w:rPr>
          <w:rFonts w:ascii="Times New Roman" w:hAnsi="Times New Roman" w:cs="Times New Roman"/>
          <w:sz w:val="24"/>
          <w:szCs w:val="24"/>
        </w:rPr>
        <w:t>43.</w:t>
      </w:r>
    </w:p>
    <w:p w14:paraId="6B1AE435" w14:textId="53F465F4" w:rsidR="000A5660" w:rsidRDefault="00EF2AE2"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EF2AE2">
        <w:rPr>
          <w:rFonts w:ascii="Times New Roman" w:hAnsi="Times New Roman" w:cs="Times New Roman"/>
          <w:sz w:val="24"/>
          <w:szCs w:val="24"/>
        </w:rPr>
        <w:t>Andersen, Torben G., Tim Bollerslev, Francis X. Diebold, and Heiko Ebens</w:t>
      </w:r>
      <w:r w:rsidR="000A5660" w:rsidRPr="000A5660">
        <w:rPr>
          <w:rFonts w:ascii="Times New Roman" w:hAnsi="Times New Roman" w:cs="Times New Roman"/>
          <w:sz w:val="24"/>
          <w:szCs w:val="24"/>
        </w:rPr>
        <w:t xml:space="preserve">. </w:t>
      </w:r>
      <w:r w:rsidR="00A61D43">
        <w:rPr>
          <w:rFonts w:ascii="Times New Roman" w:hAnsi="Times New Roman" w:cs="Times New Roman"/>
          <w:sz w:val="24"/>
          <w:szCs w:val="24"/>
        </w:rPr>
        <w:t>(</w:t>
      </w:r>
      <w:r w:rsidR="000A5660" w:rsidRPr="000A5660">
        <w:rPr>
          <w:rFonts w:ascii="Times New Roman" w:hAnsi="Times New Roman" w:cs="Times New Roman"/>
          <w:sz w:val="24"/>
          <w:szCs w:val="24"/>
        </w:rPr>
        <w:t>2001</w:t>
      </w:r>
      <w:r w:rsidR="00A61D43">
        <w:rPr>
          <w:rFonts w:ascii="Times New Roman" w:hAnsi="Times New Roman" w:cs="Times New Roman"/>
          <w:sz w:val="24"/>
          <w:szCs w:val="24"/>
        </w:rPr>
        <w:t>)</w:t>
      </w:r>
      <w:r w:rsidR="000A5660" w:rsidRPr="000A5660">
        <w:rPr>
          <w:rFonts w:ascii="Times New Roman" w:hAnsi="Times New Roman" w:cs="Times New Roman"/>
          <w:sz w:val="24"/>
          <w:szCs w:val="24"/>
        </w:rPr>
        <w:t xml:space="preserve"> </w:t>
      </w:r>
      <w:r w:rsidR="00A61D43">
        <w:rPr>
          <w:rFonts w:ascii="Times New Roman" w:hAnsi="Times New Roman" w:cs="Times New Roman"/>
          <w:sz w:val="24"/>
          <w:szCs w:val="24"/>
        </w:rPr>
        <w:t>“</w:t>
      </w:r>
      <w:r w:rsidR="000A5660" w:rsidRPr="000A5660">
        <w:rPr>
          <w:rFonts w:ascii="Times New Roman" w:hAnsi="Times New Roman" w:cs="Times New Roman"/>
          <w:sz w:val="24"/>
          <w:szCs w:val="24"/>
        </w:rPr>
        <w:t xml:space="preserve">The </w:t>
      </w:r>
      <w:r w:rsidR="003424AF">
        <w:rPr>
          <w:rFonts w:ascii="Times New Roman" w:hAnsi="Times New Roman" w:cs="Times New Roman"/>
          <w:sz w:val="24"/>
          <w:szCs w:val="24"/>
        </w:rPr>
        <w:t>D</w:t>
      </w:r>
      <w:r w:rsidR="000A5660" w:rsidRPr="000A5660">
        <w:rPr>
          <w:rFonts w:ascii="Times New Roman" w:hAnsi="Times New Roman" w:cs="Times New Roman"/>
          <w:sz w:val="24"/>
          <w:szCs w:val="24"/>
        </w:rPr>
        <w:t xml:space="preserve">istribution of </w:t>
      </w:r>
      <w:r w:rsidR="003424AF">
        <w:rPr>
          <w:rFonts w:ascii="Times New Roman" w:hAnsi="Times New Roman" w:cs="Times New Roman"/>
          <w:sz w:val="24"/>
          <w:szCs w:val="24"/>
        </w:rPr>
        <w:t>Realized S</w:t>
      </w:r>
      <w:r w:rsidR="000A5660" w:rsidRPr="000A5660">
        <w:rPr>
          <w:rFonts w:ascii="Times New Roman" w:hAnsi="Times New Roman" w:cs="Times New Roman"/>
          <w:sz w:val="24"/>
          <w:szCs w:val="24"/>
        </w:rPr>
        <w:t xml:space="preserve">tock </w:t>
      </w:r>
      <w:r w:rsidR="003424AF">
        <w:rPr>
          <w:rFonts w:ascii="Times New Roman" w:hAnsi="Times New Roman" w:cs="Times New Roman"/>
          <w:sz w:val="24"/>
          <w:szCs w:val="24"/>
        </w:rPr>
        <w:t>R</w:t>
      </w:r>
      <w:r w:rsidR="000A5660" w:rsidRPr="000A5660">
        <w:rPr>
          <w:rFonts w:ascii="Times New Roman" w:hAnsi="Times New Roman" w:cs="Times New Roman"/>
          <w:sz w:val="24"/>
          <w:szCs w:val="24"/>
        </w:rPr>
        <w:t xml:space="preserve">eturn </w:t>
      </w:r>
      <w:r w:rsidR="003424AF">
        <w:rPr>
          <w:rFonts w:ascii="Times New Roman" w:hAnsi="Times New Roman" w:cs="Times New Roman"/>
          <w:sz w:val="24"/>
          <w:szCs w:val="24"/>
        </w:rPr>
        <w:t>V</w:t>
      </w:r>
      <w:r w:rsidR="000A5660" w:rsidRPr="000A5660">
        <w:rPr>
          <w:rFonts w:ascii="Times New Roman" w:hAnsi="Times New Roman" w:cs="Times New Roman"/>
          <w:sz w:val="24"/>
          <w:szCs w:val="24"/>
        </w:rPr>
        <w:t>olatility.</w:t>
      </w:r>
      <w:r w:rsidR="00A61D43">
        <w:rPr>
          <w:rFonts w:ascii="Times New Roman" w:hAnsi="Times New Roman" w:cs="Times New Roman"/>
          <w:sz w:val="24"/>
          <w:szCs w:val="24"/>
        </w:rPr>
        <w:t>”</w:t>
      </w:r>
      <w:r w:rsidR="000A5660" w:rsidRPr="000A5660">
        <w:rPr>
          <w:rFonts w:ascii="Times New Roman" w:hAnsi="Times New Roman" w:cs="Times New Roman"/>
          <w:sz w:val="24"/>
          <w:szCs w:val="24"/>
        </w:rPr>
        <w:t xml:space="preserve"> </w:t>
      </w:r>
      <w:r w:rsidR="00C67CB7" w:rsidRPr="00E60770">
        <w:rPr>
          <w:rFonts w:ascii="Times New Roman" w:hAnsi="Times New Roman" w:cs="Times New Roman"/>
          <w:i/>
          <w:sz w:val="24"/>
          <w:szCs w:val="24"/>
        </w:rPr>
        <w:t>Journal of Financial Economics</w:t>
      </w:r>
      <w:r w:rsidR="00C67CB7">
        <w:rPr>
          <w:rFonts w:ascii="Times New Roman" w:hAnsi="Times New Roman" w:cs="Times New Roman"/>
          <w:sz w:val="24"/>
          <w:szCs w:val="24"/>
        </w:rPr>
        <w:t>,</w:t>
      </w:r>
      <w:r w:rsidR="000A5660" w:rsidRPr="000A5660">
        <w:rPr>
          <w:rFonts w:ascii="Times New Roman" w:hAnsi="Times New Roman" w:cs="Times New Roman"/>
          <w:sz w:val="24"/>
          <w:szCs w:val="24"/>
        </w:rPr>
        <w:t xml:space="preserve"> 61, 43</w:t>
      </w:r>
      <w:r w:rsidR="00F126A3">
        <w:rPr>
          <w:rFonts w:ascii="Times New Roman" w:hAnsi="Times New Roman" w:cs="Times New Roman"/>
          <w:sz w:val="24"/>
          <w:szCs w:val="24"/>
        </w:rPr>
        <w:t>-</w:t>
      </w:r>
      <w:r w:rsidR="000A5660" w:rsidRPr="000A5660">
        <w:rPr>
          <w:rFonts w:ascii="Times New Roman" w:hAnsi="Times New Roman" w:cs="Times New Roman"/>
          <w:sz w:val="24"/>
          <w:szCs w:val="24"/>
        </w:rPr>
        <w:t>76.</w:t>
      </w:r>
    </w:p>
    <w:p w14:paraId="01B1C084" w14:textId="77777777" w:rsidR="00A47D20" w:rsidRPr="00A47D20" w:rsidRDefault="00731F6E"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731F6E">
        <w:rPr>
          <w:rFonts w:ascii="Times New Roman" w:hAnsi="Times New Roman" w:cs="Times New Roman"/>
          <w:sz w:val="24"/>
          <w:szCs w:val="24"/>
        </w:rPr>
        <w:t>Angbazo, Lazarus A., Jianping Mei, and Anthony Saunders</w:t>
      </w:r>
      <w:r w:rsidR="000A5660" w:rsidRPr="000A5660">
        <w:rPr>
          <w:rFonts w:ascii="Times New Roman" w:hAnsi="Times New Roman" w:cs="Times New Roman"/>
          <w:sz w:val="24"/>
          <w:szCs w:val="24"/>
        </w:rPr>
        <w:t xml:space="preserve">. </w:t>
      </w:r>
      <w:r w:rsidR="00A61D43">
        <w:rPr>
          <w:rFonts w:ascii="Times New Roman" w:hAnsi="Times New Roman" w:cs="Times New Roman"/>
          <w:sz w:val="24"/>
          <w:szCs w:val="24"/>
        </w:rPr>
        <w:t>(</w:t>
      </w:r>
      <w:r w:rsidR="000A5660" w:rsidRPr="000A5660">
        <w:rPr>
          <w:rFonts w:ascii="Times New Roman" w:hAnsi="Times New Roman" w:cs="Times New Roman"/>
          <w:sz w:val="24"/>
          <w:szCs w:val="24"/>
        </w:rPr>
        <w:t>1998</w:t>
      </w:r>
      <w:r w:rsidR="00A61D43">
        <w:rPr>
          <w:rFonts w:ascii="Times New Roman" w:hAnsi="Times New Roman" w:cs="Times New Roman"/>
          <w:sz w:val="24"/>
          <w:szCs w:val="24"/>
        </w:rPr>
        <w:t>)</w:t>
      </w:r>
      <w:r w:rsidR="000A5660" w:rsidRPr="000A5660">
        <w:rPr>
          <w:rFonts w:ascii="Times New Roman" w:hAnsi="Times New Roman" w:cs="Times New Roman"/>
          <w:sz w:val="24"/>
          <w:szCs w:val="24"/>
        </w:rPr>
        <w:t xml:space="preserve"> </w:t>
      </w:r>
      <w:r w:rsidR="00A61D43">
        <w:rPr>
          <w:rFonts w:ascii="Times New Roman" w:hAnsi="Times New Roman" w:cs="Times New Roman"/>
          <w:sz w:val="24"/>
          <w:szCs w:val="24"/>
        </w:rPr>
        <w:t>“</w:t>
      </w:r>
      <w:r w:rsidR="000A5660" w:rsidRPr="000A5660">
        <w:rPr>
          <w:rFonts w:ascii="Times New Roman" w:hAnsi="Times New Roman" w:cs="Times New Roman"/>
          <w:sz w:val="24"/>
          <w:szCs w:val="24"/>
        </w:rPr>
        <w:t xml:space="preserve">Credit </w:t>
      </w:r>
      <w:r w:rsidR="003424AF">
        <w:rPr>
          <w:rFonts w:ascii="Times New Roman" w:hAnsi="Times New Roman" w:cs="Times New Roman"/>
          <w:sz w:val="24"/>
          <w:szCs w:val="24"/>
        </w:rPr>
        <w:t>S</w:t>
      </w:r>
      <w:r w:rsidR="000A5660" w:rsidRPr="000A5660">
        <w:rPr>
          <w:rFonts w:ascii="Times New Roman" w:hAnsi="Times New Roman" w:cs="Times New Roman"/>
          <w:sz w:val="24"/>
          <w:szCs w:val="24"/>
        </w:rPr>
        <w:t xml:space="preserve">preads in the </w:t>
      </w:r>
      <w:r w:rsidR="003424AF">
        <w:rPr>
          <w:rFonts w:ascii="Times New Roman" w:hAnsi="Times New Roman" w:cs="Times New Roman"/>
          <w:sz w:val="24"/>
          <w:szCs w:val="24"/>
        </w:rPr>
        <w:t>M</w:t>
      </w:r>
      <w:r w:rsidR="000A5660" w:rsidRPr="000A5660">
        <w:rPr>
          <w:rFonts w:ascii="Times New Roman" w:hAnsi="Times New Roman" w:cs="Times New Roman"/>
          <w:sz w:val="24"/>
          <w:szCs w:val="24"/>
        </w:rPr>
        <w:t xml:space="preserve">arket for </w:t>
      </w:r>
      <w:r w:rsidR="003424AF">
        <w:rPr>
          <w:rFonts w:ascii="Times New Roman" w:hAnsi="Times New Roman" w:cs="Times New Roman"/>
          <w:sz w:val="24"/>
          <w:szCs w:val="24"/>
        </w:rPr>
        <w:t>H</w:t>
      </w:r>
      <w:r w:rsidR="000A5660" w:rsidRPr="000A5660">
        <w:rPr>
          <w:rFonts w:ascii="Times New Roman" w:hAnsi="Times New Roman" w:cs="Times New Roman"/>
          <w:sz w:val="24"/>
          <w:szCs w:val="24"/>
        </w:rPr>
        <w:t xml:space="preserve">ighly </w:t>
      </w:r>
      <w:r w:rsidR="003424AF">
        <w:rPr>
          <w:rFonts w:ascii="Times New Roman" w:hAnsi="Times New Roman" w:cs="Times New Roman"/>
          <w:sz w:val="24"/>
          <w:szCs w:val="24"/>
        </w:rPr>
        <w:t>L</w:t>
      </w:r>
      <w:r w:rsidR="000A5660" w:rsidRPr="000A5660">
        <w:rPr>
          <w:rFonts w:ascii="Times New Roman" w:hAnsi="Times New Roman" w:cs="Times New Roman"/>
          <w:sz w:val="24"/>
          <w:szCs w:val="24"/>
        </w:rPr>
        <w:t xml:space="preserve">everaged </w:t>
      </w:r>
      <w:r w:rsidR="003424AF">
        <w:rPr>
          <w:rFonts w:ascii="Times New Roman" w:hAnsi="Times New Roman" w:cs="Times New Roman"/>
          <w:sz w:val="24"/>
          <w:szCs w:val="24"/>
        </w:rPr>
        <w:t>T</w:t>
      </w:r>
      <w:r w:rsidR="000A5660" w:rsidRPr="000A5660">
        <w:rPr>
          <w:rFonts w:ascii="Times New Roman" w:hAnsi="Times New Roman" w:cs="Times New Roman"/>
          <w:sz w:val="24"/>
          <w:szCs w:val="24"/>
        </w:rPr>
        <w:t xml:space="preserve">ransaction </w:t>
      </w:r>
      <w:r w:rsidR="003424AF">
        <w:rPr>
          <w:rFonts w:ascii="Times New Roman" w:hAnsi="Times New Roman" w:cs="Times New Roman"/>
          <w:sz w:val="24"/>
          <w:szCs w:val="24"/>
        </w:rPr>
        <w:t>L</w:t>
      </w:r>
      <w:r w:rsidR="000A5660" w:rsidRPr="000A5660">
        <w:rPr>
          <w:rFonts w:ascii="Times New Roman" w:hAnsi="Times New Roman" w:cs="Times New Roman"/>
          <w:sz w:val="24"/>
          <w:szCs w:val="24"/>
        </w:rPr>
        <w:t>oans.</w:t>
      </w:r>
      <w:r w:rsidR="00A61D43">
        <w:rPr>
          <w:rFonts w:ascii="Times New Roman" w:hAnsi="Times New Roman" w:cs="Times New Roman"/>
          <w:sz w:val="24"/>
          <w:szCs w:val="24"/>
        </w:rPr>
        <w:t>”</w:t>
      </w:r>
      <w:r w:rsidR="000A5660" w:rsidRPr="000A5660">
        <w:rPr>
          <w:rFonts w:ascii="Times New Roman" w:hAnsi="Times New Roman" w:cs="Times New Roman"/>
          <w:sz w:val="24"/>
          <w:szCs w:val="24"/>
        </w:rPr>
        <w:t xml:space="preserve"> </w:t>
      </w:r>
      <w:r w:rsidR="00C10B04" w:rsidRPr="00E60770">
        <w:rPr>
          <w:rFonts w:ascii="Times New Roman" w:hAnsi="Times New Roman" w:cs="Times New Roman"/>
          <w:i/>
          <w:sz w:val="24"/>
          <w:szCs w:val="24"/>
        </w:rPr>
        <w:t>Journal of Banking and Finance</w:t>
      </w:r>
      <w:r w:rsidR="00C10B04" w:rsidRPr="00C10B04">
        <w:rPr>
          <w:rFonts w:ascii="Times New Roman" w:hAnsi="Times New Roman" w:cs="Times New Roman"/>
          <w:sz w:val="24"/>
          <w:szCs w:val="24"/>
        </w:rPr>
        <w:t>,</w:t>
      </w:r>
      <w:r w:rsidR="000A5660" w:rsidRPr="000A5660">
        <w:rPr>
          <w:rFonts w:ascii="Times New Roman" w:hAnsi="Times New Roman" w:cs="Times New Roman"/>
          <w:sz w:val="24"/>
          <w:szCs w:val="24"/>
        </w:rPr>
        <w:t xml:space="preserve"> 22, 1249-1282.</w:t>
      </w:r>
    </w:p>
    <w:p w14:paraId="165689D4" w14:textId="77777777" w:rsidR="00343C87" w:rsidRDefault="00A04FC2"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04FC2">
        <w:rPr>
          <w:rFonts w:ascii="Times New Roman" w:hAnsi="Times New Roman" w:cs="Times New Roman"/>
          <w:sz w:val="24"/>
          <w:szCs w:val="24"/>
        </w:rPr>
        <w:t>Baker, Scott R., Nicholas Bloom, and Steven J. Davis</w:t>
      </w:r>
      <w:r w:rsidR="00343C87" w:rsidRPr="00343C87">
        <w:rPr>
          <w:rFonts w:ascii="Times New Roman" w:hAnsi="Times New Roman" w:cs="Times New Roman"/>
          <w:sz w:val="24"/>
          <w:szCs w:val="24"/>
        </w:rPr>
        <w:t xml:space="preserve">. </w:t>
      </w:r>
      <w:r w:rsidR="00A61D43">
        <w:rPr>
          <w:rFonts w:ascii="Times New Roman" w:hAnsi="Times New Roman" w:cs="Times New Roman"/>
          <w:sz w:val="24"/>
          <w:szCs w:val="24"/>
        </w:rPr>
        <w:t>(</w:t>
      </w:r>
      <w:r w:rsidR="00343C87" w:rsidRPr="00343C87">
        <w:rPr>
          <w:rFonts w:ascii="Times New Roman" w:hAnsi="Times New Roman" w:cs="Times New Roman"/>
          <w:sz w:val="24"/>
          <w:szCs w:val="24"/>
        </w:rPr>
        <w:t>2016</w:t>
      </w:r>
      <w:r w:rsidR="00A61D43">
        <w:rPr>
          <w:rFonts w:ascii="Times New Roman" w:hAnsi="Times New Roman" w:cs="Times New Roman"/>
          <w:sz w:val="24"/>
          <w:szCs w:val="24"/>
        </w:rPr>
        <w:t>)</w:t>
      </w:r>
      <w:r w:rsidR="00343C87" w:rsidRPr="00343C87">
        <w:rPr>
          <w:rFonts w:ascii="Times New Roman" w:hAnsi="Times New Roman" w:cs="Times New Roman"/>
          <w:sz w:val="24"/>
          <w:szCs w:val="24"/>
        </w:rPr>
        <w:t xml:space="preserve"> </w:t>
      </w:r>
      <w:r w:rsidR="00A61D43">
        <w:rPr>
          <w:rFonts w:ascii="Times New Roman" w:hAnsi="Times New Roman" w:cs="Times New Roman"/>
          <w:sz w:val="24"/>
          <w:szCs w:val="24"/>
        </w:rPr>
        <w:t>“</w:t>
      </w:r>
      <w:r w:rsidR="00343C87" w:rsidRPr="00343C87">
        <w:rPr>
          <w:rFonts w:ascii="Times New Roman" w:hAnsi="Times New Roman" w:cs="Times New Roman"/>
          <w:sz w:val="24"/>
          <w:szCs w:val="24"/>
        </w:rPr>
        <w:t xml:space="preserve">Measuring </w:t>
      </w:r>
      <w:r w:rsidR="004F618A">
        <w:rPr>
          <w:rFonts w:ascii="Times New Roman" w:hAnsi="Times New Roman" w:cs="Times New Roman"/>
          <w:sz w:val="24"/>
          <w:szCs w:val="24"/>
        </w:rPr>
        <w:t>E</w:t>
      </w:r>
      <w:r w:rsidR="00343C87" w:rsidRPr="00343C87">
        <w:rPr>
          <w:rFonts w:ascii="Times New Roman" w:hAnsi="Times New Roman" w:cs="Times New Roman"/>
          <w:sz w:val="24"/>
          <w:szCs w:val="24"/>
        </w:rPr>
        <w:t xml:space="preserve">conomic </w:t>
      </w:r>
      <w:r w:rsidR="004F618A">
        <w:rPr>
          <w:rFonts w:ascii="Times New Roman" w:hAnsi="Times New Roman" w:cs="Times New Roman"/>
          <w:sz w:val="24"/>
          <w:szCs w:val="24"/>
        </w:rPr>
        <w:t>P</w:t>
      </w:r>
      <w:r w:rsidR="00343C87" w:rsidRPr="00343C87">
        <w:rPr>
          <w:rFonts w:ascii="Times New Roman" w:hAnsi="Times New Roman" w:cs="Times New Roman"/>
          <w:sz w:val="24"/>
          <w:szCs w:val="24"/>
        </w:rPr>
        <w:t xml:space="preserve">olicy </w:t>
      </w:r>
      <w:r w:rsidR="004F618A">
        <w:rPr>
          <w:rFonts w:ascii="Times New Roman" w:hAnsi="Times New Roman" w:cs="Times New Roman"/>
          <w:sz w:val="24"/>
          <w:szCs w:val="24"/>
        </w:rPr>
        <w:t>U</w:t>
      </w:r>
      <w:r w:rsidR="00343C87" w:rsidRPr="00343C87">
        <w:rPr>
          <w:rFonts w:ascii="Times New Roman" w:hAnsi="Times New Roman" w:cs="Times New Roman"/>
          <w:sz w:val="24"/>
          <w:szCs w:val="24"/>
        </w:rPr>
        <w:t>ncertainty.</w:t>
      </w:r>
      <w:r w:rsidR="00A61D43">
        <w:rPr>
          <w:rFonts w:ascii="Times New Roman" w:hAnsi="Times New Roman" w:cs="Times New Roman"/>
          <w:sz w:val="24"/>
          <w:szCs w:val="24"/>
        </w:rPr>
        <w:t>”</w:t>
      </w:r>
      <w:r w:rsidR="00343C87" w:rsidRPr="00343C87">
        <w:rPr>
          <w:rFonts w:ascii="Times New Roman" w:hAnsi="Times New Roman" w:cs="Times New Roman"/>
          <w:sz w:val="24"/>
          <w:szCs w:val="24"/>
        </w:rPr>
        <w:t xml:space="preserve"> </w:t>
      </w:r>
      <w:r w:rsidR="00C10B04" w:rsidRPr="00E60770">
        <w:rPr>
          <w:rFonts w:ascii="Times New Roman" w:hAnsi="Times New Roman" w:cs="Times New Roman"/>
          <w:i/>
          <w:sz w:val="24"/>
          <w:szCs w:val="24"/>
        </w:rPr>
        <w:t>Quarterly Journal of Economics</w:t>
      </w:r>
      <w:r w:rsidR="00C10B04" w:rsidRPr="00C10B04">
        <w:rPr>
          <w:rFonts w:ascii="Times New Roman" w:hAnsi="Times New Roman" w:cs="Times New Roman"/>
          <w:sz w:val="24"/>
          <w:szCs w:val="24"/>
        </w:rPr>
        <w:t>,</w:t>
      </w:r>
      <w:r w:rsidR="00343C87" w:rsidRPr="00343C87">
        <w:rPr>
          <w:rFonts w:ascii="Times New Roman" w:hAnsi="Times New Roman" w:cs="Times New Roman"/>
          <w:sz w:val="24"/>
          <w:szCs w:val="24"/>
        </w:rPr>
        <w:t xml:space="preserve"> 131, 1593-1636.</w:t>
      </w:r>
    </w:p>
    <w:p w14:paraId="10F25266" w14:textId="77777777" w:rsidR="00A47D20" w:rsidRPr="00A47D20" w:rsidRDefault="00CE17C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CE17C7">
        <w:rPr>
          <w:rFonts w:ascii="Times New Roman" w:hAnsi="Times New Roman" w:cs="Times New Roman"/>
          <w:sz w:val="24"/>
          <w:szCs w:val="24"/>
        </w:rPr>
        <w:t>Bali, Turan G., and Hao Zhou</w:t>
      </w:r>
      <w:r w:rsidR="00A47D20" w:rsidRPr="00A47D20">
        <w:rPr>
          <w:rFonts w:ascii="Times New Roman" w:hAnsi="Times New Roman" w:cs="Times New Roman"/>
          <w:sz w:val="24"/>
          <w:szCs w:val="24"/>
        </w:rPr>
        <w:t>.</w:t>
      </w:r>
      <w:r w:rsidR="005D1516">
        <w:rPr>
          <w:rFonts w:ascii="Times New Roman" w:hAnsi="Times New Roman" w:cs="Times New Roman"/>
          <w:sz w:val="24"/>
          <w:szCs w:val="24"/>
        </w:rPr>
        <w:t xml:space="preserve"> </w:t>
      </w:r>
      <w:r w:rsidR="00A61D43">
        <w:rPr>
          <w:rFonts w:ascii="Times New Roman" w:hAnsi="Times New Roman" w:cs="Times New Roman"/>
          <w:sz w:val="24"/>
          <w:szCs w:val="24"/>
        </w:rPr>
        <w:t>(</w:t>
      </w:r>
      <w:r w:rsidR="005D1516">
        <w:rPr>
          <w:rFonts w:ascii="Times New Roman" w:hAnsi="Times New Roman" w:cs="Times New Roman"/>
          <w:sz w:val="24"/>
          <w:szCs w:val="24"/>
        </w:rPr>
        <w:t>2016</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Risk, </w:t>
      </w:r>
      <w:r w:rsidR="004F618A">
        <w:rPr>
          <w:rFonts w:ascii="Times New Roman" w:hAnsi="Times New Roman" w:cs="Times New Roman"/>
          <w:sz w:val="24"/>
          <w:szCs w:val="24"/>
        </w:rPr>
        <w:t>U</w:t>
      </w:r>
      <w:r w:rsidR="00A47D20" w:rsidRPr="00A47D20">
        <w:rPr>
          <w:rFonts w:ascii="Times New Roman" w:hAnsi="Times New Roman" w:cs="Times New Roman"/>
          <w:sz w:val="24"/>
          <w:szCs w:val="24"/>
        </w:rPr>
        <w:t xml:space="preserve">ncertainty, and </w:t>
      </w:r>
      <w:r w:rsidR="004F618A">
        <w:rPr>
          <w:rFonts w:ascii="Times New Roman" w:hAnsi="Times New Roman" w:cs="Times New Roman"/>
          <w:sz w:val="24"/>
          <w:szCs w:val="24"/>
        </w:rPr>
        <w:t>E</w:t>
      </w:r>
      <w:r w:rsidR="00A47D20" w:rsidRPr="00A47D20">
        <w:rPr>
          <w:rFonts w:ascii="Times New Roman" w:hAnsi="Times New Roman" w:cs="Times New Roman"/>
          <w:sz w:val="24"/>
          <w:szCs w:val="24"/>
        </w:rPr>
        <w:t xml:space="preserve">xpected </w:t>
      </w:r>
      <w:r w:rsidR="004F618A">
        <w:rPr>
          <w:rFonts w:ascii="Times New Roman" w:hAnsi="Times New Roman" w:cs="Times New Roman"/>
          <w:sz w:val="24"/>
          <w:szCs w:val="24"/>
        </w:rPr>
        <w:t>R</w:t>
      </w:r>
      <w:r w:rsidR="00A47D20" w:rsidRPr="00A47D20">
        <w:rPr>
          <w:rFonts w:ascii="Times New Roman" w:hAnsi="Times New Roman" w:cs="Times New Roman"/>
          <w:sz w:val="24"/>
          <w:szCs w:val="24"/>
        </w:rPr>
        <w:t>eturns.</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46656" w:rsidRPr="00E60770">
        <w:rPr>
          <w:rFonts w:ascii="Times New Roman" w:hAnsi="Times New Roman" w:cs="Times New Roman"/>
          <w:i/>
          <w:sz w:val="24"/>
          <w:szCs w:val="24"/>
        </w:rPr>
        <w:t>Journal of Financial and Quantitative Analysis</w:t>
      </w:r>
      <w:r w:rsidR="00446656" w:rsidRPr="00446656">
        <w:rPr>
          <w:rFonts w:ascii="Times New Roman" w:hAnsi="Times New Roman" w:cs="Times New Roman"/>
          <w:sz w:val="24"/>
          <w:szCs w:val="24"/>
        </w:rPr>
        <w:t>,</w:t>
      </w:r>
      <w:r w:rsidR="00A47D20" w:rsidRPr="00A47D20">
        <w:rPr>
          <w:rFonts w:ascii="Times New Roman" w:hAnsi="Times New Roman" w:cs="Times New Roman"/>
          <w:sz w:val="24"/>
          <w:szCs w:val="24"/>
        </w:rPr>
        <w:t xml:space="preserve"> 51, 707</w:t>
      </w:r>
      <w:r w:rsidR="00DF6BFB">
        <w:rPr>
          <w:rFonts w:ascii="Times New Roman" w:hAnsi="Times New Roman" w:cs="Times New Roman"/>
          <w:sz w:val="24"/>
          <w:szCs w:val="24"/>
        </w:rPr>
        <w:t>-</w:t>
      </w:r>
      <w:r w:rsidR="00A47D20" w:rsidRPr="00A47D20">
        <w:rPr>
          <w:rFonts w:ascii="Times New Roman" w:hAnsi="Times New Roman" w:cs="Times New Roman"/>
          <w:sz w:val="24"/>
          <w:szCs w:val="24"/>
        </w:rPr>
        <w:t>735.</w:t>
      </w:r>
    </w:p>
    <w:p w14:paraId="3B4FD85D" w14:textId="77777777" w:rsidR="00A47D20" w:rsidRPr="00A47D20" w:rsidRDefault="003C4C7E"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3C4C7E">
        <w:rPr>
          <w:rFonts w:ascii="Times New Roman" w:hAnsi="Times New Roman" w:cs="Times New Roman"/>
          <w:sz w:val="24"/>
          <w:szCs w:val="24"/>
        </w:rPr>
        <w:t>Barndorff-Nielsen, Ole E., and Neil Shephard</w:t>
      </w:r>
      <w:r w:rsidR="00A61D43">
        <w:rPr>
          <w:rFonts w:ascii="Times New Roman" w:hAnsi="Times New Roman" w:cs="Times New Roman"/>
          <w:sz w:val="24"/>
          <w:szCs w:val="24"/>
        </w:rPr>
        <w:t>.</w:t>
      </w:r>
      <w:r w:rsidR="001012A5">
        <w:rPr>
          <w:rFonts w:ascii="Times New Roman" w:hAnsi="Times New Roman" w:cs="Times New Roman"/>
          <w:sz w:val="24"/>
          <w:szCs w:val="24"/>
        </w:rPr>
        <w:t xml:space="preserve"> </w:t>
      </w:r>
      <w:r w:rsidR="00A61D43">
        <w:rPr>
          <w:rFonts w:ascii="Times New Roman" w:hAnsi="Times New Roman" w:cs="Times New Roman"/>
          <w:sz w:val="24"/>
          <w:szCs w:val="24"/>
        </w:rPr>
        <w:t>(</w:t>
      </w:r>
      <w:r w:rsidR="001012A5">
        <w:rPr>
          <w:rFonts w:ascii="Times New Roman" w:hAnsi="Times New Roman" w:cs="Times New Roman"/>
          <w:sz w:val="24"/>
          <w:szCs w:val="24"/>
        </w:rPr>
        <w:t>2002</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Econometric </w:t>
      </w:r>
      <w:r w:rsidR="004F618A">
        <w:rPr>
          <w:rFonts w:ascii="Times New Roman" w:hAnsi="Times New Roman" w:cs="Times New Roman"/>
          <w:sz w:val="24"/>
          <w:szCs w:val="24"/>
        </w:rPr>
        <w:t>A</w:t>
      </w:r>
      <w:r w:rsidR="00A47D20" w:rsidRPr="00A47D20">
        <w:rPr>
          <w:rFonts w:ascii="Times New Roman" w:hAnsi="Times New Roman" w:cs="Times New Roman"/>
          <w:sz w:val="24"/>
          <w:szCs w:val="24"/>
        </w:rPr>
        <w:t xml:space="preserve">nalysis of </w:t>
      </w:r>
      <w:r w:rsidR="004F618A">
        <w:rPr>
          <w:rFonts w:ascii="Times New Roman" w:hAnsi="Times New Roman" w:cs="Times New Roman"/>
          <w:sz w:val="24"/>
          <w:szCs w:val="24"/>
        </w:rPr>
        <w:t>R</w:t>
      </w:r>
      <w:r w:rsidR="00A47D20" w:rsidRPr="00A47D20">
        <w:rPr>
          <w:rFonts w:ascii="Times New Roman" w:hAnsi="Times New Roman" w:cs="Times New Roman"/>
          <w:sz w:val="24"/>
          <w:szCs w:val="24"/>
        </w:rPr>
        <w:t xml:space="preserve">ealized </w:t>
      </w:r>
      <w:r w:rsidR="004F618A">
        <w:rPr>
          <w:rFonts w:ascii="Times New Roman" w:hAnsi="Times New Roman" w:cs="Times New Roman"/>
          <w:sz w:val="24"/>
          <w:szCs w:val="24"/>
        </w:rPr>
        <w:t>V</w:t>
      </w:r>
      <w:r w:rsidR="00A47D20" w:rsidRPr="00A47D20">
        <w:rPr>
          <w:rFonts w:ascii="Times New Roman" w:hAnsi="Times New Roman" w:cs="Times New Roman"/>
          <w:sz w:val="24"/>
          <w:szCs w:val="24"/>
        </w:rPr>
        <w:t xml:space="preserve">olatility and </w:t>
      </w:r>
      <w:r w:rsidR="006868B0">
        <w:rPr>
          <w:rFonts w:ascii="Times New Roman" w:hAnsi="Times New Roman" w:cs="Times New Roman"/>
          <w:sz w:val="24"/>
          <w:szCs w:val="24"/>
        </w:rPr>
        <w:t>I</w:t>
      </w:r>
      <w:r w:rsidR="00A47D20" w:rsidRPr="00A47D20">
        <w:rPr>
          <w:rFonts w:ascii="Times New Roman" w:hAnsi="Times New Roman" w:cs="Times New Roman"/>
          <w:sz w:val="24"/>
          <w:szCs w:val="24"/>
        </w:rPr>
        <w:t xml:space="preserve">ts </w:t>
      </w:r>
      <w:r w:rsidR="004F618A">
        <w:rPr>
          <w:rFonts w:ascii="Times New Roman" w:hAnsi="Times New Roman" w:cs="Times New Roman"/>
          <w:sz w:val="24"/>
          <w:szCs w:val="24"/>
        </w:rPr>
        <w:t>U</w:t>
      </w:r>
      <w:r w:rsidR="00A47D20" w:rsidRPr="00A47D20">
        <w:rPr>
          <w:rFonts w:ascii="Times New Roman" w:hAnsi="Times New Roman" w:cs="Times New Roman"/>
          <w:sz w:val="24"/>
          <w:szCs w:val="24"/>
        </w:rPr>
        <w:t xml:space="preserve">se in </w:t>
      </w:r>
      <w:r w:rsidR="004F618A">
        <w:rPr>
          <w:rFonts w:ascii="Times New Roman" w:hAnsi="Times New Roman" w:cs="Times New Roman"/>
          <w:sz w:val="24"/>
          <w:szCs w:val="24"/>
        </w:rPr>
        <w:t>E</w:t>
      </w:r>
      <w:r w:rsidR="00A47D20" w:rsidRPr="00A47D20">
        <w:rPr>
          <w:rFonts w:ascii="Times New Roman" w:hAnsi="Times New Roman" w:cs="Times New Roman"/>
          <w:sz w:val="24"/>
          <w:szCs w:val="24"/>
        </w:rPr>
        <w:t xml:space="preserve">stimating </w:t>
      </w:r>
      <w:r w:rsidR="004F618A">
        <w:rPr>
          <w:rFonts w:ascii="Times New Roman" w:hAnsi="Times New Roman" w:cs="Times New Roman"/>
          <w:sz w:val="24"/>
          <w:szCs w:val="24"/>
        </w:rPr>
        <w:t>S</w:t>
      </w:r>
      <w:r w:rsidR="00A47D20" w:rsidRPr="00A47D20">
        <w:rPr>
          <w:rFonts w:ascii="Times New Roman" w:hAnsi="Times New Roman" w:cs="Times New Roman"/>
          <w:sz w:val="24"/>
          <w:szCs w:val="24"/>
        </w:rPr>
        <w:t xml:space="preserve">tochastic </w:t>
      </w:r>
      <w:r w:rsidR="004F618A">
        <w:rPr>
          <w:rFonts w:ascii="Times New Roman" w:hAnsi="Times New Roman" w:cs="Times New Roman"/>
          <w:sz w:val="24"/>
          <w:szCs w:val="24"/>
        </w:rPr>
        <w:t>V</w:t>
      </w:r>
      <w:r w:rsidR="00A47D20" w:rsidRPr="00A47D20">
        <w:rPr>
          <w:rFonts w:ascii="Times New Roman" w:hAnsi="Times New Roman" w:cs="Times New Roman"/>
          <w:sz w:val="24"/>
          <w:szCs w:val="24"/>
        </w:rPr>
        <w:t xml:space="preserve">olatility </w:t>
      </w:r>
      <w:r w:rsidR="004F618A">
        <w:rPr>
          <w:rFonts w:ascii="Times New Roman" w:hAnsi="Times New Roman" w:cs="Times New Roman"/>
          <w:sz w:val="24"/>
          <w:szCs w:val="24"/>
        </w:rPr>
        <w:t>M</w:t>
      </w:r>
      <w:r w:rsidR="00A47D20" w:rsidRPr="00A47D20">
        <w:rPr>
          <w:rFonts w:ascii="Times New Roman" w:hAnsi="Times New Roman" w:cs="Times New Roman"/>
          <w:sz w:val="24"/>
          <w:szCs w:val="24"/>
        </w:rPr>
        <w:t>odels</w:t>
      </w:r>
      <w:r w:rsidR="001012A5">
        <w:rPr>
          <w:rFonts w:ascii="Times New Roman" w:hAnsi="Times New Roman" w:cs="Times New Roman"/>
          <w:sz w:val="24"/>
          <w:szCs w:val="24"/>
        </w:rPr>
        <w:t>.</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46656" w:rsidRPr="00E60770">
        <w:rPr>
          <w:rFonts w:ascii="Times New Roman" w:hAnsi="Times New Roman" w:cs="Times New Roman"/>
          <w:i/>
          <w:sz w:val="24"/>
          <w:szCs w:val="24"/>
        </w:rPr>
        <w:t>Journal of the Royal Statistical Society Series B</w:t>
      </w:r>
      <w:r w:rsidR="00446656" w:rsidRPr="00446656">
        <w:rPr>
          <w:rFonts w:ascii="Times New Roman" w:hAnsi="Times New Roman" w:cs="Times New Roman"/>
          <w:sz w:val="24"/>
          <w:szCs w:val="24"/>
        </w:rPr>
        <w:t>,</w:t>
      </w:r>
      <w:r w:rsidR="00C73C6E" w:rsidRPr="00C73C6E">
        <w:rPr>
          <w:rFonts w:ascii="Times New Roman" w:hAnsi="Times New Roman" w:cs="Times New Roman"/>
          <w:sz w:val="24"/>
          <w:szCs w:val="24"/>
        </w:rPr>
        <w:t xml:space="preserve"> 64</w:t>
      </w:r>
      <w:r w:rsidR="00A47D20" w:rsidRPr="00A47D20">
        <w:rPr>
          <w:rFonts w:ascii="Times New Roman" w:hAnsi="Times New Roman" w:cs="Times New Roman"/>
          <w:sz w:val="24"/>
          <w:szCs w:val="24"/>
        </w:rPr>
        <w:t>, 253</w:t>
      </w:r>
      <w:r w:rsidR="00DF6BFB">
        <w:rPr>
          <w:rFonts w:ascii="Times New Roman" w:hAnsi="Times New Roman" w:cs="Times New Roman"/>
          <w:sz w:val="24"/>
          <w:szCs w:val="24"/>
        </w:rPr>
        <w:t>-</w:t>
      </w:r>
      <w:r w:rsidR="00A47D20" w:rsidRPr="00A47D20">
        <w:rPr>
          <w:rFonts w:ascii="Times New Roman" w:hAnsi="Times New Roman" w:cs="Times New Roman"/>
          <w:sz w:val="24"/>
          <w:szCs w:val="24"/>
        </w:rPr>
        <w:t>280.</w:t>
      </w:r>
    </w:p>
    <w:p w14:paraId="012C424D" w14:textId="77777777" w:rsidR="00A47D20" w:rsidRPr="00A47D20" w:rsidRDefault="00CD3814"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CD3814">
        <w:rPr>
          <w:rFonts w:ascii="Times New Roman" w:hAnsi="Times New Roman" w:cs="Times New Roman"/>
          <w:sz w:val="24"/>
          <w:szCs w:val="24"/>
        </w:rPr>
        <w:t>Bassett, William F., Mary Beth Chosak, John C. Driscoll, and Egon Zakrajšek</w:t>
      </w:r>
      <w:r w:rsidR="00D95C3F" w:rsidRPr="00D95C3F">
        <w:rPr>
          <w:rFonts w:ascii="Times New Roman" w:hAnsi="Times New Roman" w:cs="Times New Roman"/>
          <w:sz w:val="24"/>
          <w:szCs w:val="24"/>
        </w:rPr>
        <w:t>.</w:t>
      </w:r>
      <w:r w:rsidR="00DC6406">
        <w:rPr>
          <w:rFonts w:ascii="Times New Roman" w:hAnsi="Times New Roman" w:cs="Times New Roman"/>
          <w:sz w:val="24"/>
          <w:szCs w:val="24"/>
        </w:rPr>
        <w:t xml:space="preserve"> </w:t>
      </w:r>
      <w:r w:rsidR="00A61D43">
        <w:rPr>
          <w:rFonts w:ascii="Times New Roman" w:hAnsi="Times New Roman" w:cs="Times New Roman"/>
          <w:sz w:val="24"/>
          <w:szCs w:val="24"/>
        </w:rPr>
        <w:t>(</w:t>
      </w:r>
      <w:r w:rsidR="00DC6406">
        <w:rPr>
          <w:rFonts w:ascii="Times New Roman" w:hAnsi="Times New Roman" w:cs="Times New Roman"/>
          <w:sz w:val="24"/>
          <w:szCs w:val="24"/>
        </w:rPr>
        <w:t>2014</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Changes in </w:t>
      </w:r>
      <w:r w:rsidR="008D6464">
        <w:rPr>
          <w:rFonts w:ascii="Times New Roman" w:hAnsi="Times New Roman" w:cs="Times New Roman"/>
          <w:sz w:val="24"/>
          <w:szCs w:val="24"/>
        </w:rPr>
        <w:t>B</w:t>
      </w:r>
      <w:r w:rsidR="00A47D20" w:rsidRPr="00A47D20">
        <w:rPr>
          <w:rFonts w:ascii="Times New Roman" w:hAnsi="Times New Roman" w:cs="Times New Roman"/>
          <w:sz w:val="24"/>
          <w:szCs w:val="24"/>
        </w:rPr>
        <w:t xml:space="preserve">ank </w:t>
      </w:r>
      <w:r w:rsidR="008D6464">
        <w:rPr>
          <w:rFonts w:ascii="Times New Roman" w:hAnsi="Times New Roman" w:cs="Times New Roman"/>
          <w:sz w:val="24"/>
          <w:szCs w:val="24"/>
        </w:rPr>
        <w:t>L</w:t>
      </w:r>
      <w:r w:rsidR="00A47D20" w:rsidRPr="00A47D20">
        <w:rPr>
          <w:rFonts w:ascii="Times New Roman" w:hAnsi="Times New Roman" w:cs="Times New Roman"/>
          <w:sz w:val="24"/>
          <w:szCs w:val="24"/>
        </w:rPr>
        <w:t xml:space="preserve">ending </w:t>
      </w:r>
      <w:r w:rsidR="008D6464">
        <w:rPr>
          <w:rFonts w:ascii="Times New Roman" w:hAnsi="Times New Roman" w:cs="Times New Roman"/>
          <w:sz w:val="24"/>
          <w:szCs w:val="24"/>
        </w:rPr>
        <w:t>S</w:t>
      </w:r>
      <w:r w:rsidR="00A47D20" w:rsidRPr="00A47D20">
        <w:rPr>
          <w:rFonts w:ascii="Times New Roman" w:hAnsi="Times New Roman" w:cs="Times New Roman"/>
          <w:sz w:val="24"/>
          <w:szCs w:val="24"/>
        </w:rPr>
        <w:t xml:space="preserve">tandards and the </w:t>
      </w:r>
      <w:r w:rsidR="008D6464">
        <w:rPr>
          <w:rFonts w:ascii="Times New Roman" w:hAnsi="Times New Roman" w:cs="Times New Roman"/>
          <w:sz w:val="24"/>
          <w:szCs w:val="24"/>
        </w:rPr>
        <w:t>M</w:t>
      </w:r>
      <w:r w:rsidR="00A47D20" w:rsidRPr="00A47D20">
        <w:rPr>
          <w:rFonts w:ascii="Times New Roman" w:hAnsi="Times New Roman" w:cs="Times New Roman"/>
          <w:sz w:val="24"/>
          <w:szCs w:val="24"/>
        </w:rPr>
        <w:t>acroeconomy.</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E60770">
        <w:rPr>
          <w:rFonts w:ascii="Times New Roman" w:hAnsi="Times New Roman" w:cs="Times New Roman"/>
          <w:i/>
          <w:sz w:val="24"/>
          <w:szCs w:val="24"/>
        </w:rPr>
        <w:t>Journal of Monetary Economics</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62, 23</w:t>
      </w:r>
      <w:r w:rsidR="00DF6BFB">
        <w:rPr>
          <w:rFonts w:ascii="Times New Roman" w:hAnsi="Times New Roman" w:cs="Times New Roman"/>
          <w:sz w:val="24"/>
          <w:szCs w:val="24"/>
        </w:rPr>
        <w:t>-</w:t>
      </w:r>
      <w:r w:rsidR="00A47D20" w:rsidRPr="00A47D20">
        <w:rPr>
          <w:rFonts w:ascii="Times New Roman" w:hAnsi="Times New Roman" w:cs="Times New Roman"/>
          <w:sz w:val="24"/>
          <w:szCs w:val="24"/>
        </w:rPr>
        <w:t>40.</w:t>
      </w:r>
    </w:p>
    <w:p w14:paraId="19F847A3" w14:textId="77777777" w:rsidR="00A47D20" w:rsidRPr="00A47D20" w:rsidRDefault="00D37A4B"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D37A4B">
        <w:rPr>
          <w:rFonts w:ascii="Times New Roman" w:hAnsi="Times New Roman" w:cs="Times New Roman"/>
          <w:sz w:val="24"/>
          <w:szCs w:val="24"/>
        </w:rPr>
        <w:t>Becker, Bo, and Victoria Ivashina</w:t>
      </w:r>
      <w:r w:rsidR="00A47D20" w:rsidRPr="00A47D20">
        <w:rPr>
          <w:rFonts w:ascii="Times New Roman" w:hAnsi="Times New Roman" w:cs="Times New Roman"/>
          <w:sz w:val="24"/>
          <w:szCs w:val="24"/>
        </w:rPr>
        <w:t>.</w:t>
      </w:r>
      <w:r w:rsidR="00E92AC8">
        <w:rPr>
          <w:rFonts w:ascii="Times New Roman" w:hAnsi="Times New Roman" w:cs="Times New Roman"/>
          <w:sz w:val="24"/>
          <w:szCs w:val="24"/>
        </w:rPr>
        <w:t xml:space="preserve"> </w:t>
      </w:r>
      <w:r w:rsidR="00A61D43">
        <w:rPr>
          <w:rFonts w:ascii="Times New Roman" w:hAnsi="Times New Roman" w:cs="Times New Roman"/>
          <w:sz w:val="24"/>
          <w:szCs w:val="24"/>
        </w:rPr>
        <w:t>(</w:t>
      </w:r>
      <w:r w:rsidR="00E92AC8">
        <w:rPr>
          <w:rFonts w:ascii="Times New Roman" w:hAnsi="Times New Roman" w:cs="Times New Roman"/>
          <w:sz w:val="24"/>
          <w:szCs w:val="24"/>
        </w:rPr>
        <w:t>2014</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Cyclicality of </w:t>
      </w:r>
      <w:r w:rsidR="00B87B85">
        <w:rPr>
          <w:rFonts w:ascii="Times New Roman" w:hAnsi="Times New Roman" w:cs="Times New Roman"/>
          <w:sz w:val="24"/>
          <w:szCs w:val="24"/>
        </w:rPr>
        <w:t>C</w:t>
      </w:r>
      <w:r w:rsidR="00A47D20" w:rsidRPr="00A47D20">
        <w:rPr>
          <w:rFonts w:ascii="Times New Roman" w:hAnsi="Times New Roman" w:cs="Times New Roman"/>
          <w:sz w:val="24"/>
          <w:szCs w:val="24"/>
        </w:rPr>
        <w:t xml:space="preserve">redit </w:t>
      </w:r>
      <w:r w:rsidR="00B87B85">
        <w:rPr>
          <w:rFonts w:ascii="Times New Roman" w:hAnsi="Times New Roman" w:cs="Times New Roman"/>
          <w:sz w:val="24"/>
          <w:szCs w:val="24"/>
        </w:rPr>
        <w:t>S</w:t>
      </w:r>
      <w:r w:rsidR="00A47D20" w:rsidRPr="00A47D20">
        <w:rPr>
          <w:rFonts w:ascii="Times New Roman" w:hAnsi="Times New Roman" w:cs="Times New Roman"/>
          <w:sz w:val="24"/>
          <w:szCs w:val="24"/>
        </w:rPr>
        <w:t xml:space="preserve">upply: Firm </w:t>
      </w:r>
      <w:r w:rsidR="00B87B85">
        <w:rPr>
          <w:rFonts w:ascii="Times New Roman" w:hAnsi="Times New Roman" w:cs="Times New Roman"/>
          <w:sz w:val="24"/>
          <w:szCs w:val="24"/>
        </w:rPr>
        <w:t>L</w:t>
      </w:r>
      <w:r w:rsidR="00A47D20" w:rsidRPr="00A47D20">
        <w:rPr>
          <w:rFonts w:ascii="Times New Roman" w:hAnsi="Times New Roman" w:cs="Times New Roman"/>
          <w:sz w:val="24"/>
          <w:szCs w:val="24"/>
        </w:rPr>
        <w:t xml:space="preserve">evel </w:t>
      </w:r>
      <w:r w:rsidR="00B87B85">
        <w:rPr>
          <w:rFonts w:ascii="Times New Roman" w:hAnsi="Times New Roman" w:cs="Times New Roman"/>
          <w:sz w:val="24"/>
          <w:szCs w:val="24"/>
        </w:rPr>
        <w:t>E</w:t>
      </w:r>
      <w:r w:rsidR="00A47D20" w:rsidRPr="00A47D20">
        <w:rPr>
          <w:rFonts w:ascii="Times New Roman" w:hAnsi="Times New Roman" w:cs="Times New Roman"/>
          <w:sz w:val="24"/>
          <w:szCs w:val="24"/>
        </w:rPr>
        <w:t>vidence.</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E60770">
        <w:rPr>
          <w:rFonts w:ascii="Times New Roman" w:hAnsi="Times New Roman" w:cs="Times New Roman"/>
          <w:i/>
          <w:sz w:val="24"/>
          <w:szCs w:val="24"/>
        </w:rPr>
        <w:t>Journal of Monetary Economics</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62, 76</w:t>
      </w:r>
      <w:r w:rsidR="00DF6BFB">
        <w:rPr>
          <w:rFonts w:ascii="Times New Roman" w:hAnsi="Times New Roman" w:cs="Times New Roman"/>
          <w:sz w:val="24"/>
          <w:szCs w:val="24"/>
        </w:rPr>
        <w:t>-</w:t>
      </w:r>
      <w:r w:rsidR="00A47D20" w:rsidRPr="00A47D20">
        <w:rPr>
          <w:rFonts w:ascii="Times New Roman" w:hAnsi="Times New Roman" w:cs="Times New Roman"/>
          <w:sz w:val="24"/>
          <w:szCs w:val="24"/>
        </w:rPr>
        <w:t>93.</w:t>
      </w:r>
    </w:p>
    <w:p w14:paraId="23DE610E" w14:textId="77777777" w:rsidR="00A47D20" w:rsidRPr="00A47D20" w:rsidRDefault="0099691A"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99691A">
        <w:rPr>
          <w:rFonts w:ascii="Times New Roman" w:hAnsi="Times New Roman" w:cs="Times New Roman"/>
          <w:sz w:val="24"/>
          <w:szCs w:val="24"/>
        </w:rPr>
        <w:t>Bekaert, Geert, Marie Hoerova, and Marco Lo Duca</w:t>
      </w:r>
      <w:r w:rsidR="00A47D20" w:rsidRPr="00A47D20">
        <w:rPr>
          <w:rFonts w:ascii="Times New Roman" w:hAnsi="Times New Roman" w:cs="Times New Roman"/>
          <w:sz w:val="24"/>
          <w:szCs w:val="24"/>
        </w:rPr>
        <w:t>.</w:t>
      </w:r>
      <w:r w:rsidR="005455D7">
        <w:rPr>
          <w:rFonts w:ascii="Times New Roman" w:hAnsi="Times New Roman" w:cs="Times New Roman"/>
          <w:sz w:val="24"/>
          <w:szCs w:val="24"/>
        </w:rPr>
        <w:t xml:space="preserve"> </w:t>
      </w:r>
      <w:r w:rsidR="00A61D43">
        <w:rPr>
          <w:rFonts w:ascii="Times New Roman" w:hAnsi="Times New Roman" w:cs="Times New Roman"/>
          <w:sz w:val="24"/>
          <w:szCs w:val="24"/>
        </w:rPr>
        <w:t>(</w:t>
      </w:r>
      <w:r w:rsidR="005455D7">
        <w:rPr>
          <w:rFonts w:ascii="Times New Roman" w:hAnsi="Times New Roman" w:cs="Times New Roman"/>
          <w:sz w:val="24"/>
          <w:szCs w:val="24"/>
        </w:rPr>
        <w:t>2013</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Risk, </w:t>
      </w:r>
      <w:r w:rsidR="002C1009">
        <w:rPr>
          <w:rFonts w:ascii="Times New Roman" w:hAnsi="Times New Roman" w:cs="Times New Roman"/>
          <w:sz w:val="24"/>
          <w:szCs w:val="24"/>
        </w:rPr>
        <w:t>U</w:t>
      </w:r>
      <w:r w:rsidR="00A47D20" w:rsidRPr="00A47D20">
        <w:rPr>
          <w:rFonts w:ascii="Times New Roman" w:hAnsi="Times New Roman" w:cs="Times New Roman"/>
          <w:sz w:val="24"/>
          <w:szCs w:val="24"/>
        </w:rPr>
        <w:t xml:space="preserve">ncertainty and </w:t>
      </w:r>
      <w:r w:rsidR="002C1009">
        <w:rPr>
          <w:rFonts w:ascii="Times New Roman" w:hAnsi="Times New Roman" w:cs="Times New Roman"/>
          <w:sz w:val="24"/>
          <w:szCs w:val="24"/>
        </w:rPr>
        <w:t>M</w:t>
      </w:r>
      <w:r w:rsidR="00A47D20" w:rsidRPr="00A47D20">
        <w:rPr>
          <w:rFonts w:ascii="Times New Roman" w:hAnsi="Times New Roman" w:cs="Times New Roman"/>
          <w:sz w:val="24"/>
          <w:szCs w:val="24"/>
        </w:rPr>
        <w:t xml:space="preserve">onetary </w:t>
      </w:r>
      <w:r w:rsidR="002C1009">
        <w:rPr>
          <w:rFonts w:ascii="Times New Roman" w:hAnsi="Times New Roman" w:cs="Times New Roman"/>
          <w:sz w:val="24"/>
          <w:szCs w:val="24"/>
        </w:rPr>
        <w:t>P</w:t>
      </w:r>
      <w:r w:rsidR="00A47D20" w:rsidRPr="00A47D20">
        <w:rPr>
          <w:rFonts w:ascii="Times New Roman" w:hAnsi="Times New Roman" w:cs="Times New Roman"/>
          <w:sz w:val="24"/>
          <w:szCs w:val="24"/>
        </w:rPr>
        <w:t>olicy.</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E60770">
        <w:rPr>
          <w:rFonts w:ascii="Times New Roman" w:hAnsi="Times New Roman" w:cs="Times New Roman"/>
          <w:i/>
          <w:sz w:val="24"/>
          <w:szCs w:val="24"/>
        </w:rPr>
        <w:t>Journal of Monetary Economics</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60, 771</w:t>
      </w:r>
      <w:r w:rsidR="00DF6BFB">
        <w:rPr>
          <w:rFonts w:ascii="Times New Roman" w:hAnsi="Times New Roman" w:cs="Times New Roman"/>
          <w:sz w:val="24"/>
          <w:szCs w:val="24"/>
        </w:rPr>
        <w:t>-</w:t>
      </w:r>
      <w:r w:rsidR="00A47D20" w:rsidRPr="00A47D20">
        <w:rPr>
          <w:rFonts w:ascii="Times New Roman" w:hAnsi="Times New Roman" w:cs="Times New Roman"/>
          <w:sz w:val="24"/>
          <w:szCs w:val="24"/>
        </w:rPr>
        <w:t>788.</w:t>
      </w:r>
    </w:p>
    <w:p w14:paraId="253E10D5" w14:textId="77777777" w:rsidR="00A47D20" w:rsidRPr="00A47D20" w:rsidRDefault="00A8467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84677">
        <w:rPr>
          <w:rFonts w:ascii="Times New Roman" w:hAnsi="Times New Roman" w:cs="Times New Roman"/>
          <w:sz w:val="24"/>
          <w:szCs w:val="24"/>
        </w:rPr>
        <w:lastRenderedPageBreak/>
        <w:t>Berger, Allen N., and Gregory F. Udell</w:t>
      </w:r>
      <w:r w:rsidR="00A47D20" w:rsidRPr="00A47D20">
        <w:rPr>
          <w:rFonts w:ascii="Times New Roman" w:hAnsi="Times New Roman" w:cs="Times New Roman"/>
          <w:sz w:val="24"/>
          <w:szCs w:val="24"/>
        </w:rPr>
        <w:t>.</w:t>
      </w:r>
      <w:r w:rsidR="005455D7">
        <w:rPr>
          <w:rFonts w:ascii="Times New Roman" w:hAnsi="Times New Roman" w:cs="Times New Roman"/>
          <w:sz w:val="24"/>
          <w:szCs w:val="24"/>
        </w:rPr>
        <w:t xml:space="preserve"> </w:t>
      </w:r>
      <w:r w:rsidR="00A61D43">
        <w:rPr>
          <w:rFonts w:ascii="Times New Roman" w:hAnsi="Times New Roman" w:cs="Times New Roman"/>
          <w:sz w:val="24"/>
          <w:szCs w:val="24"/>
        </w:rPr>
        <w:t>(</w:t>
      </w:r>
      <w:r w:rsidR="005455D7">
        <w:rPr>
          <w:rFonts w:ascii="Times New Roman" w:hAnsi="Times New Roman" w:cs="Times New Roman"/>
          <w:sz w:val="24"/>
          <w:szCs w:val="24"/>
        </w:rPr>
        <w:t>2004</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The </w:t>
      </w:r>
      <w:r w:rsidR="002C1009">
        <w:rPr>
          <w:rFonts w:ascii="Times New Roman" w:hAnsi="Times New Roman" w:cs="Times New Roman"/>
          <w:sz w:val="24"/>
          <w:szCs w:val="24"/>
        </w:rPr>
        <w:t>I</w:t>
      </w:r>
      <w:r w:rsidR="00A47D20" w:rsidRPr="00A47D20">
        <w:rPr>
          <w:rFonts w:ascii="Times New Roman" w:hAnsi="Times New Roman" w:cs="Times New Roman"/>
          <w:sz w:val="24"/>
          <w:szCs w:val="24"/>
        </w:rPr>
        <w:t xml:space="preserve">nstitutional </w:t>
      </w:r>
      <w:r w:rsidR="002C1009">
        <w:rPr>
          <w:rFonts w:ascii="Times New Roman" w:hAnsi="Times New Roman" w:cs="Times New Roman"/>
          <w:sz w:val="24"/>
          <w:szCs w:val="24"/>
        </w:rPr>
        <w:t>M</w:t>
      </w:r>
      <w:r w:rsidR="00A47D20" w:rsidRPr="00A47D20">
        <w:rPr>
          <w:rFonts w:ascii="Times New Roman" w:hAnsi="Times New Roman" w:cs="Times New Roman"/>
          <w:sz w:val="24"/>
          <w:szCs w:val="24"/>
        </w:rPr>
        <w:t xml:space="preserve">emory </w:t>
      </w:r>
      <w:r w:rsidR="002C1009">
        <w:rPr>
          <w:rFonts w:ascii="Times New Roman" w:hAnsi="Times New Roman" w:cs="Times New Roman"/>
          <w:sz w:val="24"/>
          <w:szCs w:val="24"/>
        </w:rPr>
        <w:t>H</w:t>
      </w:r>
      <w:r w:rsidR="00A47D20" w:rsidRPr="00A47D20">
        <w:rPr>
          <w:rFonts w:ascii="Times New Roman" w:hAnsi="Times New Roman" w:cs="Times New Roman"/>
          <w:sz w:val="24"/>
          <w:szCs w:val="24"/>
        </w:rPr>
        <w:t xml:space="preserve">ypothesis and the </w:t>
      </w:r>
      <w:r w:rsidR="002C1009">
        <w:rPr>
          <w:rFonts w:ascii="Times New Roman" w:hAnsi="Times New Roman" w:cs="Times New Roman"/>
          <w:sz w:val="24"/>
          <w:szCs w:val="24"/>
        </w:rPr>
        <w:t>P</w:t>
      </w:r>
      <w:r w:rsidR="00A47D20" w:rsidRPr="00A47D20">
        <w:rPr>
          <w:rFonts w:ascii="Times New Roman" w:hAnsi="Times New Roman" w:cs="Times New Roman"/>
          <w:sz w:val="24"/>
          <w:szCs w:val="24"/>
        </w:rPr>
        <w:t xml:space="preserve">rocyclicality of </w:t>
      </w:r>
      <w:r w:rsidR="002C1009">
        <w:rPr>
          <w:rFonts w:ascii="Times New Roman" w:hAnsi="Times New Roman" w:cs="Times New Roman"/>
          <w:sz w:val="24"/>
          <w:szCs w:val="24"/>
        </w:rPr>
        <w:t>B</w:t>
      </w:r>
      <w:r w:rsidR="00A47D20" w:rsidRPr="00A47D20">
        <w:rPr>
          <w:rFonts w:ascii="Times New Roman" w:hAnsi="Times New Roman" w:cs="Times New Roman"/>
          <w:sz w:val="24"/>
          <w:szCs w:val="24"/>
        </w:rPr>
        <w:t xml:space="preserve">ank </w:t>
      </w:r>
      <w:r w:rsidR="002C1009">
        <w:rPr>
          <w:rFonts w:ascii="Times New Roman" w:hAnsi="Times New Roman" w:cs="Times New Roman"/>
          <w:sz w:val="24"/>
          <w:szCs w:val="24"/>
        </w:rPr>
        <w:t>Lending B</w:t>
      </w:r>
      <w:r w:rsidR="00A47D20" w:rsidRPr="00A47D20">
        <w:rPr>
          <w:rFonts w:ascii="Times New Roman" w:hAnsi="Times New Roman" w:cs="Times New Roman"/>
          <w:sz w:val="24"/>
          <w:szCs w:val="24"/>
        </w:rPr>
        <w:t>ehavior.</w:t>
      </w:r>
      <w:r w:rsidR="00A61D43">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E60770">
        <w:rPr>
          <w:rFonts w:ascii="Times New Roman" w:hAnsi="Times New Roman" w:cs="Times New Roman"/>
          <w:i/>
          <w:sz w:val="24"/>
          <w:szCs w:val="24"/>
        </w:rPr>
        <w:t>Journal of Financial Intermediation</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13, 458</w:t>
      </w:r>
      <w:r w:rsidR="00DF6BFB">
        <w:rPr>
          <w:rFonts w:ascii="Times New Roman" w:hAnsi="Times New Roman" w:cs="Times New Roman"/>
          <w:sz w:val="24"/>
          <w:szCs w:val="24"/>
        </w:rPr>
        <w:t>-</w:t>
      </w:r>
      <w:r w:rsidR="00A47D20" w:rsidRPr="00A47D20">
        <w:rPr>
          <w:rFonts w:ascii="Times New Roman" w:hAnsi="Times New Roman" w:cs="Times New Roman"/>
          <w:sz w:val="24"/>
          <w:szCs w:val="24"/>
        </w:rPr>
        <w:t>495.</w:t>
      </w:r>
    </w:p>
    <w:p w14:paraId="59187E70" w14:textId="77777777" w:rsidR="00A47D20" w:rsidRPr="00A47D20" w:rsidRDefault="00AC3594"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C3594">
        <w:rPr>
          <w:rFonts w:ascii="Times New Roman" w:hAnsi="Times New Roman" w:cs="Times New Roman"/>
          <w:sz w:val="24"/>
          <w:szCs w:val="24"/>
        </w:rPr>
        <w:t>Bernanke, Ben S., and Alan S. Blinder</w:t>
      </w:r>
      <w:r w:rsidR="000202EB" w:rsidRPr="000202EB">
        <w:rPr>
          <w:rFonts w:ascii="Times New Roman" w:hAnsi="Times New Roman" w:cs="Times New Roman"/>
          <w:sz w:val="24"/>
          <w:szCs w:val="24"/>
        </w:rPr>
        <w:t xml:space="preserve">. </w:t>
      </w:r>
      <w:r w:rsidR="00A61D43">
        <w:rPr>
          <w:rFonts w:ascii="Times New Roman" w:hAnsi="Times New Roman" w:cs="Times New Roman"/>
          <w:sz w:val="24"/>
          <w:szCs w:val="24"/>
        </w:rPr>
        <w:t>(</w:t>
      </w:r>
      <w:r w:rsidR="000202EB" w:rsidRPr="000202EB">
        <w:rPr>
          <w:rFonts w:ascii="Times New Roman" w:hAnsi="Times New Roman" w:cs="Times New Roman"/>
          <w:sz w:val="24"/>
          <w:szCs w:val="24"/>
        </w:rPr>
        <w:t>1988</w:t>
      </w:r>
      <w:r w:rsidR="00A61D43">
        <w:rPr>
          <w:rFonts w:ascii="Times New Roman" w:hAnsi="Times New Roman" w:cs="Times New Roman"/>
          <w:sz w:val="24"/>
          <w:szCs w:val="24"/>
        </w:rPr>
        <w:t>)</w:t>
      </w:r>
      <w:r w:rsidR="000202EB" w:rsidRPr="000202EB">
        <w:rPr>
          <w:rFonts w:ascii="Times New Roman" w:hAnsi="Times New Roman" w:cs="Times New Roman"/>
          <w:sz w:val="24"/>
          <w:szCs w:val="24"/>
        </w:rPr>
        <w:t xml:space="preserve"> </w:t>
      </w:r>
      <w:r w:rsidR="00A61D43">
        <w:rPr>
          <w:rFonts w:ascii="Times New Roman" w:hAnsi="Times New Roman" w:cs="Times New Roman"/>
          <w:sz w:val="24"/>
          <w:szCs w:val="24"/>
        </w:rPr>
        <w:t>“</w:t>
      </w:r>
      <w:r w:rsidR="000202EB" w:rsidRPr="000202EB">
        <w:rPr>
          <w:rFonts w:ascii="Times New Roman" w:hAnsi="Times New Roman" w:cs="Times New Roman"/>
          <w:sz w:val="24"/>
          <w:szCs w:val="24"/>
        </w:rPr>
        <w:t xml:space="preserve">Credit, </w:t>
      </w:r>
      <w:r w:rsidR="006734A9">
        <w:rPr>
          <w:rFonts w:ascii="Times New Roman" w:hAnsi="Times New Roman" w:cs="Times New Roman"/>
          <w:sz w:val="24"/>
          <w:szCs w:val="24"/>
        </w:rPr>
        <w:t>Money, and A</w:t>
      </w:r>
      <w:r w:rsidR="000202EB" w:rsidRPr="000202EB">
        <w:rPr>
          <w:rFonts w:ascii="Times New Roman" w:hAnsi="Times New Roman" w:cs="Times New Roman"/>
          <w:sz w:val="24"/>
          <w:szCs w:val="24"/>
        </w:rPr>
        <w:t xml:space="preserve">ggregate </w:t>
      </w:r>
      <w:r w:rsidR="006734A9">
        <w:rPr>
          <w:rFonts w:ascii="Times New Roman" w:hAnsi="Times New Roman" w:cs="Times New Roman"/>
          <w:sz w:val="24"/>
          <w:szCs w:val="24"/>
        </w:rPr>
        <w:t>D</w:t>
      </w:r>
      <w:r w:rsidR="000202EB" w:rsidRPr="000202EB">
        <w:rPr>
          <w:rFonts w:ascii="Times New Roman" w:hAnsi="Times New Roman" w:cs="Times New Roman"/>
          <w:sz w:val="24"/>
          <w:szCs w:val="24"/>
        </w:rPr>
        <w:t>emand.</w:t>
      </w:r>
      <w:r w:rsidR="00A61D43">
        <w:rPr>
          <w:rFonts w:ascii="Times New Roman" w:hAnsi="Times New Roman" w:cs="Times New Roman"/>
          <w:sz w:val="24"/>
          <w:szCs w:val="24"/>
        </w:rPr>
        <w:t>”</w:t>
      </w:r>
      <w:r w:rsidR="000202EB">
        <w:rPr>
          <w:rFonts w:ascii="Times New Roman" w:hAnsi="Times New Roman" w:cs="Times New Roman"/>
          <w:sz w:val="24"/>
          <w:szCs w:val="24"/>
        </w:rPr>
        <w:t xml:space="preserve"> </w:t>
      </w:r>
      <w:r w:rsidR="004850C0" w:rsidRPr="00E60770">
        <w:rPr>
          <w:rFonts w:ascii="Times New Roman" w:hAnsi="Times New Roman" w:cs="Times New Roman"/>
          <w:i/>
          <w:sz w:val="24"/>
          <w:szCs w:val="24"/>
        </w:rPr>
        <w:t>American Economic Review</w:t>
      </w:r>
      <w:r w:rsidR="004850C0" w:rsidRPr="004850C0">
        <w:rPr>
          <w:rFonts w:ascii="Times New Roman" w:hAnsi="Times New Roman" w:cs="Times New Roman"/>
          <w:sz w:val="24"/>
          <w:szCs w:val="24"/>
        </w:rPr>
        <w:t>,</w:t>
      </w:r>
      <w:r w:rsidR="000202EB">
        <w:rPr>
          <w:rFonts w:ascii="Times New Roman" w:hAnsi="Times New Roman" w:cs="Times New Roman"/>
          <w:sz w:val="24"/>
          <w:szCs w:val="24"/>
        </w:rPr>
        <w:t xml:space="preserve"> 78, </w:t>
      </w:r>
      <w:r w:rsidR="000202EB" w:rsidRPr="000202EB">
        <w:rPr>
          <w:rFonts w:ascii="Times New Roman" w:hAnsi="Times New Roman" w:cs="Times New Roman"/>
          <w:sz w:val="24"/>
          <w:szCs w:val="24"/>
        </w:rPr>
        <w:t>435</w:t>
      </w:r>
      <w:r w:rsidR="00DF6BFB">
        <w:rPr>
          <w:rFonts w:ascii="Times New Roman" w:hAnsi="Times New Roman" w:cs="Times New Roman"/>
          <w:sz w:val="24"/>
          <w:szCs w:val="24"/>
        </w:rPr>
        <w:t>-</w:t>
      </w:r>
      <w:r w:rsidR="000202EB" w:rsidRPr="000202EB">
        <w:rPr>
          <w:rFonts w:ascii="Times New Roman" w:hAnsi="Times New Roman" w:cs="Times New Roman"/>
          <w:sz w:val="24"/>
          <w:szCs w:val="24"/>
        </w:rPr>
        <w:t>439</w:t>
      </w:r>
      <w:r w:rsidR="000202EB" w:rsidRPr="00A47D20">
        <w:rPr>
          <w:rFonts w:ascii="Times New Roman" w:hAnsi="Times New Roman" w:cs="Times New Roman"/>
          <w:sz w:val="24"/>
          <w:szCs w:val="24"/>
        </w:rPr>
        <w:t>.</w:t>
      </w:r>
    </w:p>
    <w:p w14:paraId="1BB77E55" w14:textId="77777777" w:rsidR="00A47D20" w:rsidRPr="00A47D20" w:rsidRDefault="00D1213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D12137">
        <w:rPr>
          <w:rFonts w:ascii="Times New Roman" w:hAnsi="Times New Roman" w:cs="Times New Roman"/>
          <w:sz w:val="24"/>
          <w:szCs w:val="24"/>
        </w:rPr>
        <w:t>Bernanke, Ben</w:t>
      </w:r>
      <w:r w:rsidR="00F2349F">
        <w:rPr>
          <w:rFonts w:ascii="Times New Roman" w:hAnsi="Times New Roman" w:cs="Times New Roman"/>
          <w:sz w:val="24"/>
          <w:szCs w:val="24"/>
        </w:rPr>
        <w:t xml:space="preserve"> S.</w:t>
      </w:r>
      <w:r w:rsidRPr="00D12137">
        <w:rPr>
          <w:rFonts w:ascii="Times New Roman" w:hAnsi="Times New Roman" w:cs="Times New Roman"/>
          <w:sz w:val="24"/>
          <w:szCs w:val="24"/>
        </w:rPr>
        <w:t>, and Mark Gertler</w:t>
      </w:r>
      <w:r w:rsidR="00DF6BFB" w:rsidRPr="00DF6BFB">
        <w:rPr>
          <w:rFonts w:ascii="Times New Roman" w:hAnsi="Times New Roman" w:cs="Times New Roman"/>
          <w:sz w:val="24"/>
          <w:szCs w:val="24"/>
        </w:rPr>
        <w:t xml:space="preserve">. </w:t>
      </w:r>
      <w:r w:rsidR="00A61D43">
        <w:rPr>
          <w:rFonts w:ascii="Times New Roman" w:hAnsi="Times New Roman" w:cs="Times New Roman"/>
          <w:sz w:val="24"/>
          <w:szCs w:val="24"/>
        </w:rPr>
        <w:t>(</w:t>
      </w:r>
      <w:r w:rsidR="00DF6BFB" w:rsidRPr="00DF6BFB">
        <w:rPr>
          <w:rFonts w:ascii="Times New Roman" w:hAnsi="Times New Roman" w:cs="Times New Roman"/>
          <w:sz w:val="24"/>
          <w:szCs w:val="24"/>
        </w:rPr>
        <w:t>1989</w:t>
      </w:r>
      <w:r w:rsidR="00A61D43">
        <w:rPr>
          <w:rFonts w:ascii="Times New Roman" w:hAnsi="Times New Roman" w:cs="Times New Roman"/>
          <w:sz w:val="24"/>
          <w:szCs w:val="24"/>
        </w:rPr>
        <w:t>)</w:t>
      </w:r>
      <w:r w:rsidR="00DF6BFB" w:rsidRPr="00DF6BFB">
        <w:rPr>
          <w:rFonts w:ascii="Times New Roman" w:hAnsi="Times New Roman" w:cs="Times New Roman"/>
          <w:sz w:val="24"/>
          <w:szCs w:val="24"/>
        </w:rPr>
        <w:t xml:space="preserve"> </w:t>
      </w:r>
      <w:r w:rsidR="00A61D43">
        <w:rPr>
          <w:rFonts w:ascii="Times New Roman" w:hAnsi="Times New Roman" w:cs="Times New Roman"/>
          <w:sz w:val="24"/>
          <w:szCs w:val="24"/>
        </w:rPr>
        <w:t>“</w:t>
      </w:r>
      <w:r w:rsidR="00DF6BFB" w:rsidRPr="00DF6BFB">
        <w:rPr>
          <w:rFonts w:ascii="Times New Roman" w:hAnsi="Times New Roman" w:cs="Times New Roman"/>
          <w:sz w:val="24"/>
          <w:szCs w:val="24"/>
        </w:rPr>
        <w:t xml:space="preserve">Agency </w:t>
      </w:r>
      <w:r w:rsidR="006734A9">
        <w:rPr>
          <w:rFonts w:ascii="Times New Roman" w:hAnsi="Times New Roman" w:cs="Times New Roman"/>
          <w:sz w:val="24"/>
          <w:szCs w:val="24"/>
        </w:rPr>
        <w:t>C</w:t>
      </w:r>
      <w:r w:rsidR="00DF6BFB" w:rsidRPr="00DF6BFB">
        <w:rPr>
          <w:rFonts w:ascii="Times New Roman" w:hAnsi="Times New Roman" w:cs="Times New Roman"/>
          <w:sz w:val="24"/>
          <w:szCs w:val="24"/>
        </w:rPr>
        <w:t xml:space="preserve">osts, </w:t>
      </w:r>
      <w:r w:rsidR="006734A9">
        <w:rPr>
          <w:rFonts w:ascii="Times New Roman" w:hAnsi="Times New Roman" w:cs="Times New Roman"/>
          <w:sz w:val="24"/>
          <w:szCs w:val="24"/>
        </w:rPr>
        <w:t>N</w:t>
      </w:r>
      <w:r w:rsidR="00DF6BFB" w:rsidRPr="00DF6BFB">
        <w:rPr>
          <w:rFonts w:ascii="Times New Roman" w:hAnsi="Times New Roman" w:cs="Times New Roman"/>
          <w:sz w:val="24"/>
          <w:szCs w:val="24"/>
        </w:rPr>
        <w:t xml:space="preserve">et </w:t>
      </w:r>
      <w:r w:rsidR="006734A9">
        <w:rPr>
          <w:rFonts w:ascii="Times New Roman" w:hAnsi="Times New Roman" w:cs="Times New Roman"/>
          <w:sz w:val="24"/>
          <w:szCs w:val="24"/>
        </w:rPr>
        <w:t>W</w:t>
      </w:r>
      <w:r w:rsidR="00DF6BFB" w:rsidRPr="00DF6BFB">
        <w:rPr>
          <w:rFonts w:ascii="Times New Roman" w:hAnsi="Times New Roman" w:cs="Times New Roman"/>
          <w:sz w:val="24"/>
          <w:szCs w:val="24"/>
        </w:rPr>
        <w:t xml:space="preserve">orth, and </w:t>
      </w:r>
      <w:r w:rsidR="006734A9">
        <w:rPr>
          <w:rFonts w:ascii="Times New Roman" w:hAnsi="Times New Roman" w:cs="Times New Roman"/>
          <w:sz w:val="24"/>
          <w:szCs w:val="24"/>
        </w:rPr>
        <w:t>B</w:t>
      </w:r>
      <w:r w:rsidR="00DF6BFB" w:rsidRPr="00DF6BFB">
        <w:rPr>
          <w:rFonts w:ascii="Times New Roman" w:hAnsi="Times New Roman" w:cs="Times New Roman"/>
          <w:sz w:val="24"/>
          <w:szCs w:val="24"/>
        </w:rPr>
        <w:t xml:space="preserve">usiness </w:t>
      </w:r>
      <w:r w:rsidR="006734A9">
        <w:rPr>
          <w:rFonts w:ascii="Times New Roman" w:hAnsi="Times New Roman" w:cs="Times New Roman"/>
          <w:sz w:val="24"/>
          <w:szCs w:val="24"/>
        </w:rPr>
        <w:t>F</w:t>
      </w:r>
      <w:r w:rsidR="00DF6BFB" w:rsidRPr="00DF6BFB">
        <w:rPr>
          <w:rFonts w:ascii="Times New Roman" w:hAnsi="Times New Roman" w:cs="Times New Roman"/>
          <w:sz w:val="24"/>
          <w:szCs w:val="24"/>
        </w:rPr>
        <w:t>luctuations.</w:t>
      </w:r>
      <w:r w:rsidR="00A61D43">
        <w:rPr>
          <w:rFonts w:ascii="Times New Roman" w:hAnsi="Times New Roman" w:cs="Times New Roman"/>
          <w:sz w:val="24"/>
          <w:szCs w:val="24"/>
        </w:rPr>
        <w:t>”</w:t>
      </w:r>
      <w:r w:rsidR="00DF6BFB" w:rsidRPr="00DF6BFB">
        <w:rPr>
          <w:rFonts w:ascii="Times New Roman" w:hAnsi="Times New Roman" w:cs="Times New Roman"/>
          <w:sz w:val="24"/>
          <w:szCs w:val="24"/>
        </w:rPr>
        <w:t xml:space="preserve"> </w:t>
      </w:r>
      <w:r w:rsidR="004850C0" w:rsidRPr="00E60770">
        <w:rPr>
          <w:rFonts w:ascii="Times New Roman" w:hAnsi="Times New Roman" w:cs="Times New Roman"/>
          <w:i/>
          <w:sz w:val="24"/>
          <w:szCs w:val="24"/>
        </w:rPr>
        <w:t>American Economic Review</w:t>
      </w:r>
      <w:r w:rsidR="004850C0" w:rsidRPr="004850C0">
        <w:rPr>
          <w:rFonts w:ascii="Times New Roman" w:hAnsi="Times New Roman" w:cs="Times New Roman"/>
          <w:sz w:val="24"/>
          <w:szCs w:val="24"/>
        </w:rPr>
        <w:t>,</w:t>
      </w:r>
      <w:r w:rsidR="00DF6BFB">
        <w:rPr>
          <w:rFonts w:ascii="Times New Roman" w:hAnsi="Times New Roman" w:cs="Times New Roman"/>
          <w:sz w:val="24"/>
          <w:szCs w:val="24"/>
        </w:rPr>
        <w:t xml:space="preserve"> 79</w:t>
      </w:r>
      <w:r w:rsidR="00DF6BFB" w:rsidRPr="00DF6BFB">
        <w:rPr>
          <w:rFonts w:ascii="Times New Roman" w:hAnsi="Times New Roman" w:cs="Times New Roman"/>
          <w:sz w:val="24"/>
          <w:szCs w:val="24"/>
        </w:rPr>
        <w:t>, 14-31.</w:t>
      </w:r>
    </w:p>
    <w:p w14:paraId="69764F14" w14:textId="77777777" w:rsidR="00A47D20" w:rsidRPr="00A47D20" w:rsidRDefault="00F2349F"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F2349F">
        <w:rPr>
          <w:rFonts w:ascii="Times New Roman" w:hAnsi="Times New Roman" w:cs="Times New Roman"/>
          <w:sz w:val="24"/>
          <w:szCs w:val="24"/>
        </w:rPr>
        <w:t>Bernanke, Ben S., and Mark Gertler</w:t>
      </w:r>
      <w:r w:rsidR="00DF6BFB" w:rsidRPr="00DF6BFB">
        <w:rPr>
          <w:rFonts w:ascii="Times New Roman" w:hAnsi="Times New Roman" w:cs="Times New Roman"/>
          <w:sz w:val="24"/>
          <w:szCs w:val="24"/>
        </w:rPr>
        <w:t xml:space="preserve">. </w:t>
      </w:r>
      <w:r w:rsidR="00A61D43">
        <w:rPr>
          <w:rFonts w:ascii="Times New Roman" w:hAnsi="Times New Roman" w:cs="Times New Roman"/>
          <w:sz w:val="24"/>
          <w:szCs w:val="24"/>
        </w:rPr>
        <w:t>(</w:t>
      </w:r>
      <w:r w:rsidR="00DF6BFB" w:rsidRPr="00DF6BFB">
        <w:rPr>
          <w:rFonts w:ascii="Times New Roman" w:hAnsi="Times New Roman" w:cs="Times New Roman"/>
          <w:sz w:val="24"/>
          <w:szCs w:val="24"/>
        </w:rPr>
        <w:t>1995</w:t>
      </w:r>
      <w:r w:rsidR="00A61D43">
        <w:rPr>
          <w:rFonts w:ascii="Times New Roman" w:hAnsi="Times New Roman" w:cs="Times New Roman"/>
          <w:sz w:val="24"/>
          <w:szCs w:val="24"/>
        </w:rPr>
        <w:t>)</w:t>
      </w:r>
      <w:r w:rsidR="00DF6BFB" w:rsidRPr="00DF6BFB">
        <w:rPr>
          <w:rFonts w:ascii="Times New Roman" w:hAnsi="Times New Roman" w:cs="Times New Roman"/>
          <w:sz w:val="24"/>
          <w:szCs w:val="24"/>
        </w:rPr>
        <w:t xml:space="preserve"> </w:t>
      </w:r>
      <w:r w:rsidR="00A61D43">
        <w:rPr>
          <w:rFonts w:ascii="Times New Roman" w:hAnsi="Times New Roman" w:cs="Times New Roman"/>
          <w:sz w:val="24"/>
          <w:szCs w:val="24"/>
        </w:rPr>
        <w:t>“</w:t>
      </w:r>
      <w:r w:rsidR="00DF6BFB" w:rsidRPr="00DF6BFB">
        <w:rPr>
          <w:rFonts w:ascii="Times New Roman" w:hAnsi="Times New Roman" w:cs="Times New Roman"/>
          <w:sz w:val="24"/>
          <w:szCs w:val="24"/>
        </w:rPr>
        <w:t xml:space="preserve">Inside the </w:t>
      </w:r>
      <w:r w:rsidR="006734A9">
        <w:rPr>
          <w:rFonts w:ascii="Times New Roman" w:hAnsi="Times New Roman" w:cs="Times New Roman"/>
          <w:sz w:val="24"/>
          <w:szCs w:val="24"/>
        </w:rPr>
        <w:t>Black B</w:t>
      </w:r>
      <w:r w:rsidR="00DF6BFB" w:rsidRPr="00DF6BFB">
        <w:rPr>
          <w:rFonts w:ascii="Times New Roman" w:hAnsi="Times New Roman" w:cs="Times New Roman"/>
          <w:sz w:val="24"/>
          <w:szCs w:val="24"/>
        </w:rPr>
        <w:t xml:space="preserve">ox: </w:t>
      </w:r>
      <w:r w:rsidR="006734A9">
        <w:rPr>
          <w:rFonts w:ascii="Times New Roman" w:hAnsi="Times New Roman" w:cs="Times New Roman"/>
          <w:sz w:val="24"/>
          <w:szCs w:val="24"/>
        </w:rPr>
        <w:t>T</w:t>
      </w:r>
      <w:r w:rsidR="00DF6BFB" w:rsidRPr="00DF6BFB">
        <w:rPr>
          <w:rFonts w:ascii="Times New Roman" w:hAnsi="Times New Roman" w:cs="Times New Roman"/>
          <w:sz w:val="24"/>
          <w:szCs w:val="24"/>
        </w:rPr>
        <w:t xml:space="preserve">he </w:t>
      </w:r>
      <w:r w:rsidR="006734A9">
        <w:rPr>
          <w:rFonts w:ascii="Times New Roman" w:hAnsi="Times New Roman" w:cs="Times New Roman"/>
          <w:sz w:val="24"/>
          <w:szCs w:val="24"/>
        </w:rPr>
        <w:t>C</w:t>
      </w:r>
      <w:r w:rsidR="00DF6BFB" w:rsidRPr="00DF6BFB">
        <w:rPr>
          <w:rFonts w:ascii="Times New Roman" w:hAnsi="Times New Roman" w:cs="Times New Roman"/>
          <w:sz w:val="24"/>
          <w:szCs w:val="24"/>
        </w:rPr>
        <w:t xml:space="preserve">redit </w:t>
      </w:r>
      <w:r w:rsidR="006734A9">
        <w:rPr>
          <w:rFonts w:ascii="Times New Roman" w:hAnsi="Times New Roman" w:cs="Times New Roman"/>
          <w:sz w:val="24"/>
          <w:szCs w:val="24"/>
        </w:rPr>
        <w:t>Channel of M</w:t>
      </w:r>
      <w:r w:rsidR="00DF6BFB" w:rsidRPr="00DF6BFB">
        <w:rPr>
          <w:rFonts w:ascii="Times New Roman" w:hAnsi="Times New Roman" w:cs="Times New Roman"/>
          <w:sz w:val="24"/>
          <w:szCs w:val="24"/>
        </w:rPr>
        <w:t xml:space="preserve">onetary </w:t>
      </w:r>
      <w:r w:rsidR="006734A9">
        <w:rPr>
          <w:rFonts w:ascii="Times New Roman" w:hAnsi="Times New Roman" w:cs="Times New Roman"/>
          <w:sz w:val="24"/>
          <w:szCs w:val="24"/>
        </w:rPr>
        <w:t>T</w:t>
      </w:r>
      <w:r w:rsidR="00DF6BFB">
        <w:rPr>
          <w:rFonts w:ascii="Times New Roman" w:hAnsi="Times New Roman" w:cs="Times New Roman"/>
          <w:sz w:val="24"/>
          <w:szCs w:val="24"/>
        </w:rPr>
        <w:t>ransmission</w:t>
      </w:r>
      <w:r w:rsidR="00DF6BFB" w:rsidRPr="00DF6BFB">
        <w:rPr>
          <w:rFonts w:ascii="Times New Roman" w:hAnsi="Times New Roman" w:cs="Times New Roman"/>
          <w:sz w:val="24"/>
          <w:szCs w:val="24"/>
        </w:rPr>
        <w:t>.</w:t>
      </w:r>
      <w:r w:rsidR="00A61D43">
        <w:rPr>
          <w:rFonts w:ascii="Times New Roman" w:hAnsi="Times New Roman" w:cs="Times New Roman"/>
          <w:sz w:val="24"/>
          <w:szCs w:val="24"/>
        </w:rPr>
        <w:t>”</w:t>
      </w:r>
      <w:r w:rsidR="00DF6BFB" w:rsidRPr="00DF6BFB">
        <w:rPr>
          <w:rFonts w:ascii="Times New Roman" w:hAnsi="Times New Roman" w:cs="Times New Roman"/>
          <w:sz w:val="24"/>
          <w:szCs w:val="24"/>
        </w:rPr>
        <w:t xml:space="preserve"> </w:t>
      </w:r>
      <w:r w:rsidR="00E60770" w:rsidRPr="00E60770">
        <w:rPr>
          <w:rFonts w:ascii="Times New Roman" w:hAnsi="Times New Roman" w:cs="Times New Roman"/>
          <w:i/>
          <w:sz w:val="24"/>
          <w:szCs w:val="24"/>
        </w:rPr>
        <w:t>Journal of Economic Perspectives</w:t>
      </w:r>
      <w:r w:rsidR="00E60770">
        <w:rPr>
          <w:rFonts w:ascii="Times New Roman" w:hAnsi="Times New Roman" w:cs="Times New Roman"/>
          <w:sz w:val="24"/>
          <w:szCs w:val="24"/>
        </w:rPr>
        <w:t>,</w:t>
      </w:r>
      <w:r w:rsidR="00DF6BFB" w:rsidRPr="00DF6BFB">
        <w:rPr>
          <w:rFonts w:ascii="Times New Roman" w:hAnsi="Times New Roman" w:cs="Times New Roman"/>
          <w:sz w:val="24"/>
          <w:szCs w:val="24"/>
        </w:rPr>
        <w:t xml:space="preserve"> 9</w:t>
      </w:r>
      <w:r w:rsidR="00DF6BFB">
        <w:rPr>
          <w:rFonts w:ascii="Times New Roman" w:hAnsi="Times New Roman" w:cs="Times New Roman"/>
          <w:sz w:val="24"/>
          <w:szCs w:val="24"/>
        </w:rPr>
        <w:t xml:space="preserve">, </w:t>
      </w:r>
      <w:r w:rsidR="00DF6BFB" w:rsidRPr="00DF6BFB">
        <w:rPr>
          <w:rFonts w:ascii="Times New Roman" w:hAnsi="Times New Roman" w:cs="Times New Roman"/>
          <w:sz w:val="24"/>
          <w:szCs w:val="24"/>
        </w:rPr>
        <w:t>27-48</w:t>
      </w:r>
      <w:r w:rsidR="00DF6BFB">
        <w:rPr>
          <w:rFonts w:ascii="Times New Roman" w:hAnsi="Times New Roman" w:cs="Times New Roman"/>
          <w:sz w:val="24"/>
          <w:szCs w:val="24"/>
        </w:rPr>
        <w:t>.</w:t>
      </w:r>
    </w:p>
    <w:p w14:paraId="656FE93D" w14:textId="22DC31E1" w:rsidR="00D95489" w:rsidRPr="00A47D20" w:rsidRDefault="00D95489"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 xml:space="preserve">Bijsterbosch, Martin, and </w:t>
      </w:r>
      <w:r w:rsidR="00741E40">
        <w:rPr>
          <w:rFonts w:ascii="Times New Roman" w:hAnsi="Times New Roman" w:cs="Times New Roman"/>
          <w:sz w:val="24"/>
          <w:szCs w:val="24"/>
        </w:rPr>
        <w:t xml:space="preserve">Matteo </w:t>
      </w:r>
      <w:r>
        <w:rPr>
          <w:rFonts w:ascii="Times New Roman" w:hAnsi="Times New Roman" w:cs="Times New Roman"/>
          <w:sz w:val="24"/>
          <w:szCs w:val="24"/>
        </w:rPr>
        <w:t xml:space="preserve">Falagiarda. (2015) “The Macroeconomic Impact of Financial Fragmentation in the Euro Area: Which Role for Credit Supply?” </w:t>
      </w:r>
      <w:r w:rsidRPr="00D95489">
        <w:rPr>
          <w:rFonts w:ascii="Times New Roman" w:hAnsi="Times New Roman" w:cs="Times New Roman"/>
          <w:i/>
          <w:sz w:val="24"/>
          <w:szCs w:val="24"/>
        </w:rPr>
        <w:t>Journal of International Money and Finance</w:t>
      </w:r>
      <w:r>
        <w:rPr>
          <w:rFonts w:ascii="Times New Roman" w:hAnsi="Times New Roman" w:cs="Times New Roman"/>
          <w:sz w:val="24"/>
          <w:szCs w:val="24"/>
        </w:rPr>
        <w:t>, 54, 93-115.</w:t>
      </w:r>
    </w:p>
    <w:p w14:paraId="1153C65E" w14:textId="77777777" w:rsidR="00A47D20" w:rsidRPr="00A47D20" w:rsidRDefault="009C02AF"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9C02AF">
        <w:rPr>
          <w:rFonts w:ascii="Times New Roman" w:hAnsi="Times New Roman" w:cs="Times New Roman"/>
          <w:sz w:val="24"/>
          <w:szCs w:val="24"/>
        </w:rPr>
        <w:t xml:space="preserve">Black, Lamont K., and Richard </w:t>
      </w:r>
      <w:r>
        <w:rPr>
          <w:rFonts w:ascii="Times New Roman" w:hAnsi="Times New Roman" w:cs="Times New Roman"/>
          <w:sz w:val="24"/>
          <w:szCs w:val="24"/>
        </w:rPr>
        <w:t xml:space="preserve">J. </w:t>
      </w:r>
      <w:r w:rsidRPr="009C02AF">
        <w:rPr>
          <w:rFonts w:ascii="Times New Roman" w:hAnsi="Times New Roman" w:cs="Times New Roman"/>
          <w:sz w:val="24"/>
          <w:szCs w:val="24"/>
        </w:rPr>
        <w:t>Rosen</w:t>
      </w:r>
      <w:r w:rsidR="00A47D20" w:rsidRPr="00A47D20">
        <w:rPr>
          <w:rFonts w:ascii="Times New Roman" w:hAnsi="Times New Roman" w:cs="Times New Roman"/>
          <w:sz w:val="24"/>
          <w:szCs w:val="24"/>
        </w:rPr>
        <w:t>.</w:t>
      </w:r>
      <w:r w:rsidR="00B313CD">
        <w:rPr>
          <w:rFonts w:ascii="Times New Roman" w:hAnsi="Times New Roman" w:cs="Times New Roman"/>
          <w:sz w:val="24"/>
          <w:szCs w:val="24"/>
        </w:rPr>
        <w:t xml:space="preserve"> </w:t>
      </w:r>
      <w:r w:rsidR="0020597D">
        <w:rPr>
          <w:rFonts w:ascii="Times New Roman" w:hAnsi="Times New Roman" w:cs="Times New Roman"/>
          <w:sz w:val="24"/>
          <w:szCs w:val="24"/>
        </w:rPr>
        <w:t>(</w:t>
      </w:r>
      <w:r w:rsidR="00B313CD">
        <w:rPr>
          <w:rFonts w:ascii="Times New Roman" w:hAnsi="Times New Roman" w:cs="Times New Roman"/>
          <w:sz w:val="24"/>
          <w:szCs w:val="24"/>
        </w:rPr>
        <w:t>2016</w:t>
      </w:r>
      <w:r w:rsidR="0020597D">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20597D">
        <w:rPr>
          <w:rFonts w:ascii="Times New Roman" w:hAnsi="Times New Roman" w:cs="Times New Roman"/>
          <w:sz w:val="24"/>
          <w:szCs w:val="24"/>
        </w:rPr>
        <w:t>“</w:t>
      </w:r>
      <w:r w:rsidR="00A47D20" w:rsidRPr="00A47D20">
        <w:rPr>
          <w:rFonts w:ascii="Times New Roman" w:hAnsi="Times New Roman" w:cs="Times New Roman"/>
          <w:sz w:val="24"/>
          <w:szCs w:val="24"/>
        </w:rPr>
        <w:t xml:space="preserve">Monetary </w:t>
      </w:r>
      <w:r w:rsidR="00AD55FE">
        <w:rPr>
          <w:rFonts w:ascii="Times New Roman" w:hAnsi="Times New Roman" w:cs="Times New Roman"/>
          <w:sz w:val="24"/>
          <w:szCs w:val="24"/>
        </w:rPr>
        <w:t>P</w:t>
      </w:r>
      <w:r w:rsidR="00A47D20" w:rsidRPr="00A47D20">
        <w:rPr>
          <w:rFonts w:ascii="Times New Roman" w:hAnsi="Times New Roman" w:cs="Times New Roman"/>
          <w:sz w:val="24"/>
          <w:szCs w:val="24"/>
        </w:rPr>
        <w:t xml:space="preserve">olicy, </w:t>
      </w:r>
      <w:r w:rsidR="00AD55FE">
        <w:rPr>
          <w:rFonts w:ascii="Times New Roman" w:hAnsi="Times New Roman" w:cs="Times New Roman"/>
          <w:sz w:val="24"/>
          <w:szCs w:val="24"/>
        </w:rPr>
        <w:t>L</w:t>
      </w:r>
      <w:r w:rsidR="00A47D20" w:rsidRPr="00A47D20">
        <w:rPr>
          <w:rFonts w:ascii="Times New Roman" w:hAnsi="Times New Roman" w:cs="Times New Roman"/>
          <w:sz w:val="24"/>
          <w:szCs w:val="24"/>
        </w:rPr>
        <w:t xml:space="preserve">oan </w:t>
      </w:r>
      <w:r w:rsidR="00AD55FE">
        <w:rPr>
          <w:rFonts w:ascii="Times New Roman" w:hAnsi="Times New Roman" w:cs="Times New Roman"/>
          <w:sz w:val="24"/>
          <w:szCs w:val="24"/>
        </w:rPr>
        <w:t>M</w:t>
      </w:r>
      <w:r w:rsidR="00A47D20" w:rsidRPr="00A47D20">
        <w:rPr>
          <w:rFonts w:ascii="Times New Roman" w:hAnsi="Times New Roman" w:cs="Times New Roman"/>
          <w:sz w:val="24"/>
          <w:szCs w:val="24"/>
        </w:rPr>
        <w:t xml:space="preserve">aturity, and </w:t>
      </w:r>
      <w:r w:rsidR="00AD55FE">
        <w:rPr>
          <w:rFonts w:ascii="Times New Roman" w:hAnsi="Times New Roman" w:cs="Times New Roman"/>
          <w:sz w:val="24"/>
          <w:szCs w:val="24"/>
        </w:rPr>
        <w:t>C</w:t>
      </w:r>
      <w:r w:rsidR="00A47D20" w:rsidRPr="00A47D20">
        <w:rPr>
          <w:rFonts w:ascii="Times New Roman" w:hAnsi="Times New Roman" w:cs="Times New Roman"/>
          <w:sz w:val="24"/>
          <w:szCs w:val="24"/>
        </w:rPr>
        <w:t xml:space="preserve">redit </w:t>
      </w:r>
      <w:r w:rsidR="00AD55FE">
        <w:rPr>
          <w:rFonts w:ascii="Times New Roman" w:hAnsi="Times New Roman" w:cs="Times New Roman"/>
          <w:sz w:val="24"/>
          <w:szCs w:val="24"/>
        </w:rPr>
        <w:t>A</w:t>
      </w:r>
      <w:r w:rsidR="00A47D20" w:rsidRPr="00A47D20">
        <w:rPr>
          <w:rFonts w:ascii="Times New Roman" w:hAnsi="Times New Roman" w:cs="Times New Roman"/>
          <w:sz w:val="24"/>
          <w:szCs w:val="24"/>
        </w:rPr>
        <w:t>vailability.</w:t>
      </w:r>
      <w:r w:rsidR="0020597D">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E60770" w:rsidRPr="00D33483">
        <w:rPr>
          <w:rFonts w:ascii="Times New Roman" w:hAnsi="Times New Roman" w:cs="Times New Roman"/>
          <w:i/>
          <w:sz w:val="24"/>
          <w:szCs w:val="24"/>
        </w:rPr>
        <w:t>International Journal of Central Banking</w:t>
      </w:r>
      <w:r w:rsidR="00E60770" w:rsidRPr="00E60770">
        <w:rPr>
          <w:rFonts w:ascii="Times New Roman" w:hAnsi="Times New Roman" w:cs="Times New Roman"/>
          <w:sz w:val="24"/>
          <w:szCs w:val="24"/>
        </w:rPr>
        <w:t>,</w:t>
      </w:r>
      <w:r w:rsidR="00A47D20" w:rsidRPr="00A47D20">
        <w:rPr>
          <w:rFonts w:ascii="Times New Roman" w:hAnsi="Times New Roman" w:cs="Times New Roman"/>
          <w:sz w:val="24"/>
          <w:szCs w:val="24"/>
        </w:rPr>
        <w:t xml:space="preserve"> 12, 199</w:t>
      </w:r>
      <w:r w:rsidR="00B313CD">
        <w:rPr>
          <w:rFonts w:ascii="Times New Roman" w:hAnsi="Times New Roman" w:cs="Times New Roman"/>
          <w:sz w:val="24"/>
          <w:szCs w:val="24"/>
        </w:rPr>
        <w:t>-</w:t>
      </w:r>
      <w:r w:rsidR="00A47D20" w:rsidRPr="00A47D20">
        <w:rPr>
          <w:rFonts w:ascii="Times New Roman" w:hAnsi="Times New Roman" w:cs="Times New Roman"/>
          <w:sz w:val="24"/>
          <w:szCs w:val="24"/>
        </w:rPr>
        <w:t>230.</w:t>
      </w:r>
    </w:p>
    <w:p w14:paraId="55EDCBA1" w14:textId="77777777" w:rsidR="00A47D20" w:rsidRPr="00A47D20" w:rsidRDefault="004A78A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4A78A7">
        <w:rPr>
          <w:rFonts w:ascii="Times New Roman" w:hAnsi="Times New Roman" w:cs="Times New Roman"/>
          <w:sz w:val="24"/>
          <w:szCs w:val="24"/>
        </w:rPr>
        <w:t>Bloom, Nicholas</w:t>
      </w:r>
      <w:r w:rsidR="00782D6C" w:rsidRPr="00782D6C">
        <w:rPr>
          <w:rFonts w:ascii="Times New Roman" w:hAnsi="Times New Roman" w:cs="Times New Roman"/>
          <w:sz w:val="24"/>
          <w:szCs w:val="24"/>
        </w:rPr>
        <w:t xml:space="preserve">. </w:t>
      </w:r>
      <w:r w:rsidR="0020597D">
        <w:rPr>
          <w:rFonts w:ascii="Times New Roman" w:hAnsi="Times New Roman" w:cs="Times New Roman"/>
          <w:sz w:val="24"/>
          <w:szCs w:val="24"/>
        </w:rPr>
        <w:t>(</w:t>
      </w:r>
      <w:r w:rsidR="00782D6C" w:rsidRPr="00782D6C">
        <w:rPr>
          <w:rFonts w:ascii="Times New Roman" w:hAnsi="Times New Roman" w:cs="Times New Roman"/>
          <w:sz w:val="24"/>
          <w:szCs w:val="24"/>
        </w:rPr>
        <w:t>2009</w:t>
      </w:r>
      <w:r w:rsidR="0020597D">
        <w:rPr>
          <w:rFonts w:ascii="Times New Roman" w:hAnsi="Times New Roman" w:cs="Times New Roman"/>
          <w:sz w:val="24"/>
          <w:szCs w:val="24"/>
        </w:rPr>
        <w:t>)</w:t>
      </w:r>
      <w:r w:rsidR="00782D6C" w:rsidRPr="00782D6C">
        <w:rPr>
          <w:rFonts w:ascii="Times New Roman" w:hAnsi="Times New Roman" w:cs="Times New Roman"/>
          <w:sz w:val="24"/>
          <w:szCs w:val="24"/>
        </w:rPr>
        <w:t xml:space="preserve"> </w:t>
      </w:r>
      <w:r w:rsidR="0020597D">
        <w:rPr>
          <w:rFonts w:ascii="Times New Roman" w:hAnsi="Times New Roman" w:cs="Times New Roman"/>
          <w:sz w:val="24"/>
          <w:szCs w:val="24"/>
        </w:rPr>
        <w:t>“</w:t>
      </w:r>
      <w:r w:rsidR="00782D6C" w:rsidRPr="00782D6C">
        <w:rPr>
          <w:rFonts w:ascii="Times New Roman" w:hAnsi="Times New Roman" w:cs="Times New Roman"/>
          <w:sz w:val="24"/>
          <w:szCs w:val="24"/>
        </w:rPr>
        <w:t xml:space="preserve">The </w:t>
      </w:r>
      <w:r w:rsidR="00AD55FE">
        <w:rPr>
          <w:rFonts w:ascii="Times New Roman" w:hAnsi="Times New Roman" w:cs="Times New Roman"/>
          <w:sz w:val="24"/>
          <w:szCs w:val="24"/>
        </w:rPr>
        <w:t>I</w:t>
      </w:r>
      <w:r w:rsidR="00782D6C" w:rsidRPr="00782D6C">
        <w:rPr>
          <w:rFonts w:ascii="Times New Roman" w:hAnsi="Times New Roman" w:cs="Times New Roman"/>
          <w:sz w:val="24"/>
          <w:szCs w:val="24"/>
        </w:rPr>
        <w:t xml:space="preserve">mpact of </w:t>
      </w:r>
      <w:r w:rsidR="00AD55FE">
        <w:rPr>
          <w:rFonts w:ascii="Times New Roman" w:hAnsi="Times New Roman" w:cs="Times New Roman"/>
          <w:sz w:val="24"/>
          <w:szCs w:val="24"/>
        </w:rPr>
        <w:t>U</w:t>
      </w:r>
      <w:r w:rsidR="00782D6C" w:rsidRPr="00782D6C">
        <w:rPr>
          <w:rFonts w:ascii="Times New Roman" w:hAnsi="Times New Roman" w:cs="Times New Roman"/>
          <w:sz w:val="24"/>
          <w:szCs w:val="24"/>
        </w:rPr>
        <w:t xml:space="preserve">ncertainty </w:t>
      </w:r>
      <w:r w:rsidR="00AD55FE">
        <w:rPr>
          <w:rFonts w:ascii="Times New Roman" w:hAnsi="Times New Roman" w:cs="Times New Roman"/>
          <w:sz w:val="24"/>
          <w:szCs w:val="24"/>
        </w:rPr>
        <w:t>S</w:t>
      </w:r>
      <w:r w:rsidR="00782D6C" w:rsidRPr="00782D6C">
        <w:rPr>
          <w:rFonts w:ascii="Times New Roman" w:hAnsi="Times New Roman" w:cs="Times New Roman"/>
          <w:sz w:val="24"/>
          <w:szCs w:val="24"/>
        </w:rPr>
        <w:t>hocks.</w:t>
      </w:r>
      <w:r w:rsidR="0020597D">
        <w:rPr>
          <w:rFonts w:ascii="Times New Roman" w:hAnsi="Times New Roman" w:cs="Times New Roman"/>
          <w:sz w:val="24"/>
          <w:szCs w:val="24"/>
        </w:rPr>
        <w:t>”</w:t>
      </w:r>
      <w:r w:rsidR="00782D6C" w:rsidRPr="00782D6C">
        <w:rPr>
          <w:rFonts w:ascii="Times New Roman" w:hAnsi="Times New Roman" w:cs="Times New Roman"/>
          <w:sz w:val="24"/>
          <w:szCs w:val="24"/>
        </w:rPr>
        <w:t xml:space="preserve"> </w:t>
      </w:r>
      <w:r w:rsidR="00782D6C" w:rsidRPr="00D33483">
        <w:rPr>
          <w:rFonts w:ascii="Times New Roman" w:hAnsi="Times New Roman" w:cs="Times New Roman"/>
          <w:i/>
          <w:sz w:val="24"/>
          <w:szCs w:val="24"/>
        </w:rPr>
        <w:t>E</w:t>
      </w:r>
      <w:r w:rsidR="00E36F06" w:rsidRPr="00D33483">
        <w:rPr>
          <w:rFonts w:ascii="Times New Roman" w:hAnsi="Times New Roman" w:cs="Times New Roman"/>
          <w:i/>
          <w:sz w:val="24"/>
          <w:szCs w:val="24"/>
        </w:rPr>
        <w:t>conometrica</w:t>
      </w:r>
      <w:r w:rsidR="00D33483">
        <w:rPr>
          <w:rFonts w:ascii="Times New Roman" w:hAnsi="Times New Roman" w:cs="Times New Roman"/>
          <w:sz w:val="24"/>
          <w:szCs w:val="24"/>
        </w:rPr>
        <w:t>,</w:t>
      </w:r>
      <w:r w:rsidR="00782D6C" w:rsidRPr="00782D6C">
        <w:rPr>
          <w:rFonts w:ascii="Times New Roman" w:hAnsi="Times New Roman" w:cs="Times New Roman"/>
          <w:sz w:val="24"/>
          <w:szCs w:val="24"/>
        </w:rPr>
        <w:t xml:space="preserve"> 77, 623-685.</w:t>
      </w:r>
    </w:p>
    <w:p w14:paraId="30728DCD" w14:textId="77777777" w:rsidR="006A7817" w:rsidRPr="00A47D20" w:rsidRDefault="006A781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B129B7">
        <w:rPr>
          <w:rFonts w:ascii="Times New Roman" w:hAnsi="Times New Roman" w:cs="Times New Roman"/>
          <w:sz w:val="24"/>
          <w:szCs w:val="24"/>
        </w:rPr>
        <w:t>Bollerslev, Tim, George Tauchen, and Hao Zhou</w:t>
      </w:r>
      <w:r w:rsidRPr="00A47D20">
        <w:rPr>
          <w:rFonts w:ascii="Times New Roman" w:hAnsi="Times New Roman" w:cs="Times New Roman"/>
          <w:sz w:val="24"/>
          <w:szCs w:val="24"/>
        </w:rPr>
        <w:t>.</w:t>
      </w:r>
      <w:r>
        <w:rPr>
          <w:rFonts w:ascii="Times New Roman" w:hAnsi="Times New Roman" w:cs="Times New Roman"/>
          <w:sz w:val="24"/>
          <w:szCs w:val="24"/>
        </w:rPr>
        <w:t xml:space="preserve"> (2009)</w:t>
      </w:r>
      <w:r w:rsidRPr="00A47D20">
        <w:rPr>
          <w:rFonts w:ascii="Times New Roman" w:hAnsi="Times New Roman" w:cs="Times New Roman"/>
          <w:sz w:val="24"/>
          <w:szCs w:val="24"/>
        </w:rPr>
        <w:t xml:space="preserve"> </w:t>
      </w:r>
      <w:r>
        <w:rPr>
          <w:rFonts w:ascii="Times New Roman" w:hAnsi="Times New Roman" w:cs="Times New Roman"/>
          <w:sz w:val="24"/>
          <w:szCs w:val="24"/>
        </w:rPr>
        <w:t>“</w:t>
      </w:r>
      <w:r w:rsidRPr="00A47D20">
        <w:rPr>
          <w:rFonts w:ascii="Times New Roman" w:hAnsi="Times New Roman" w:cs="Times New Roman"/>
          <w:sz w:val="24"/>
          <w:szCs w:val="24"/>
        </w:rPr>
        <w:t xml:space="preserve">Expected </w:t>
      </w:r>
      <w:r>
        <w:rPr>
          <w:rFonts w:ascii="Times New Roman" w:hAnsi="Times New Roman" w:cs="Times New Roman"/>
          <w:sz w:val="24"/>
          <w:szCs w:val="24"/>
        </w:rPr>
        <w:t>S</w:t>
      </w:r>
      <w:r w:rsidRPr="00A47D20">
        <w:rPr>
          <w:rFonts w:ascii="Times New Roman" w:hAnsi="Times New Roman" w:cs="Times New Roman"/>
          <w:sz w:val="24"/>
          <w:szCs w:val="24"/>
        </w:rPr>
        <w:t xml:space="preserve">tock </w:t>
      </w:r>
      <w:r>
        <w:rPr>
          <w:rFonts w:ascii="Times New Roman" w:hAnsi="Times New Roman" w:cs="Times New Roman"/>
          <w:sz w:val="24"/>
          <w:szCs w:val="24"/>
        </w:rPr>
        <w:t>R</w:t>
      </w:r>
      <w:r w:rsidRPr="00A47D20">
        <w:rPr>
          <w:rFonts w:ascii="Times New Roman" w:hAnsi="Times New Roman" w:cs="Times New Roman"/>
          <w:sz w:val="24"/>
          <w:szCs w:val="24"/>
        </w:rPr>
        <w:t xml:space="preserve">eturns and </w:t>
      </w:r>
      <w:r>
        <w:rPr>
          <w:rFonts w:ascii="Times New Roman" w:hAnsi="Times New Roman" w:cs="Times New Roman"/>
          <w:sz w:val="24"/>
          <w:szCs w:val="24"/>
        </w:rPr>
        <w:t>V</w:t>
      </w:r>
      <w:r w:rsidRPr="00A47D20">
        <w:rPr>
          <w:rFonts w:ascii="Times New Roman" w:hAnsi="Times New Roman" w:cs="Times New Roman"/>
          <w:sz w:val="24"/>
          <w:szCs w:val="24"/>
        </w:rPr>
        <w:t xml:space="preserve">ariance </w:t>
      </w:r>
      <w:r>
        <w:rPr>
          <w:rFonts w:ascii="Times New Roman" w:hAnsi="Times New Roman" w:cs="Times New Roman"/>
          <w:sz w:val="24"/>
          <w:szCs w:val="24"/>
        </w:rPr>
        <w:t>R</w:t>
      </w:r>
      <w:r w:rsidRPr="00A47D20">
        <w:rPr>
          <w:rFonts w:ascii="Times New Roman" w:hAnsi="Times New Roman" w:cs="Times New Roman"/>
          <w:sz w:val="24"/>
          <w:szCs w:val="24"/>
        </w:rPr>
        <w:t xml:space="preserve">isk </w:t>
      </w:r>
      <w:r>
        <w:rPr>
          <w:rFonts w:ascii="Times New Roman" w:hAnsi="Times New Roman" w:cs="Times New Roman"/>
          <w:sz w:val="24"/>
          <w:szCs w:val="24"/>
        </w:rPr>
        <w:t>P</w:t>
      </w:r>
      <w:r w:rsidRPr="00A47D20">
        <w:rPr>
          <w:rFonts w:ascii="Times New Roman" w:hAnsi="Times New Roman" w:cs="Times New Roman"/>
          <w:sz w:val="24"/>
          <w:szCs w:val="24"/>
        </w:rPr>
        <w:t>remia.</w:t>
      </w:r>
      <w:r>
        <w:rPr>
          <w:rFonts w:ascii="Times New Roman" w:hAnsi="Times New Roman" w:cs="Times New Roman"/>
          <w:sz w:val="24"/>
          <w:szCs w:val="24"/>
        </w:rPr>
        <w:t>”</w:t>
      </w:r>
      <w:r w:rsidRPr="00A47D20">
        <w:rPr>
          <w:rFonts w:ascii="Times New Roman" w:hAnsi="Times New Roman" w:cs="Times New Roman"/>
          <w:sz w:val="24"/>
          <w:szCs w:val="24"/>
        </w:rPr>
        <w:t xml:space="preserve"> </w:t>
      </w:r>
      <w:r w:rsidRPr="00D33483">
        <w:rPr>
          <w:rFonts w:ascii="Times New Roman" w:hAnsi="Times New Roman" w:cs="Times New Roman"/>
          <w:i/>
          <w:sz w:val="24"/>
          <w:szCs w:val="24"/>
        </w:rPr>
        <w:t>Review of Financial Studies</w:t>
      </w:r>
      <w:r w:rsidRPr="00D33483">
        <w:rPr>
          <w:rFonts w:ascii="Times New Roman" w:hAnsi="Times New Roman" w:cs="Times New Roman"/>
          <w:sz w:val="24"/>
          <w:szCs w:val="24"/>
        </w:rPr>
        <w:t>,</w:t>
      </w:r>
      <w:r w:rsidRPr="00A47D20">
        <w:rPr>
          <w:rFonts w:ascii="Times New Roman" w:hAnsi="Times New Roman" w:cs="Times New Roman"/>
          <w:sz w:val="24"/>
          <w:szCs w:val="24"/>
        </w:rPr>
        <w:t xml:space="preserve"> </w:t>
      </w:r>
      <w:r w:rsidRPr="005500E2">
        <w:rPr>
          <w:rFonts w:ascii="Times New Roman" w:hAnsi="Times New Roman" w:cs="Times New Roman"/>
          <w:sz w:val="24"/>
          <w:szCs w:val="24"/>
        </w:rPr>
        <w:t>22</w:t>
      </w:r>
      <w:r w:rsidRPr="00A47D20">
        <w:rPr>
          <w:rFonts w:ascii="Times New Roman" w:hAnsi="Times New Roman" w:cs="Times New Roman"/>
          <w:sz w:val="24"/>
          <w:szCs w:val="24"/>
        </w:rPr>
        <w:t>, 4463</w:t>
      </w:r>
      <w:r>
        <w:rPr>
          <w:rFonts w:ascii="Times New Roman" w:hAnsi="Times New Roman" w:cs="Times New Roman"/>
          <w:sz w:val="24"/>
          <w:szCs w:val="24"/>
        </w:rPr>
        <w:t>-</w:t>
      </w:r>
      <w:r w:rsidRPr="00A47D20">
        <w:rPr>
          <w:rFonts w:ascii="Times New Roman" w:hAnsi="Times New Roman" w:cs="Times New Roman"/>
          <w:sz w:val="24"/>
          <w:szCs w:val="24"/>
        </w:rPr>
        <w:t>4492.</w:t>
      </w:r>
    </w:p>
    <w:p w14:paraId="735B955D" w14:textId="77777777" w:rsidR="006A7817" w:rsidRPr="00A47D20" w:rsidRDefault="006A781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6A68D4">
        <w:rPr>
          <w:rFonts w:ascii="Times New Roman" w:hAnsi="Times New Roman" w:cs="Times New Roman"/>
          <w:sz w:val="24"/>
          <w:szCs w:val="24"/>
        </w:rPr>
        <w:t>Bollerslev, Tim, James Marrone, Lai Xu, and Hao Zhou</w:t>
      </w:r>
      <w:r w:rsidRPr="00A47D20">
        <w:rPr>
          <w:rFonts w:ascii="Times New Roman" w:hAnsi="Times New Roman" w:cs="Times New Roman"/>
          <w:sz w:val="24"/>
          <w:szCs w:val="24"/>
        </w:rPr>
        <w:t>.</w:t>
      </w:r>
      <w:r>
        <w:rPr>
          <w:rFonts w:ascii="Times New Roman" w:hAnsi="Times New Roman" w:cs="Times New Roman"/>
          <w:sz w:val="24"/>
          <w:szCs w:val="24"/>
        </w:rPr>
        <w:t xml:space="preserve"> (2014)</w:t>
      </w:r>
      <w:r w:rsidRPr="00A47D20">
        <w:rPr>
          <w:rFonts w:ascii="Times New Roman" w:hAnsi="Times New Roman" w:cs="Times New Roman"/>
          <w:sz w:val="24"/>
          <w:szCs w:val="24"/>
        </w:rPr>
        <w:t xml:space="preserve"> </w:t>
      </w:r>
      <w:r>
        <w:rPr>
          <w:rFonts w:ascii="Times New Roman" w:hAnsi="Times New Roman" w:cs="Times New Roman"/>
          <w:sz w:val="24"/>
          <w:szCs w:val="24"/>
        </w:rPr>
        <w:t>“</w:t>
      </w:r>
      <w:r w:rsidRPr="00A47D20">
        <w:rPr>
          <w:rFonts w:ascii="Times New Roman" w:hAnsi="Times New Roman" w:cs="Times New Roman"/>
          <w:sz w:val="24"/>
          <w:szCs w:val="24"/>
        </w:rPr>
        <w:t xml:space="preserve">Stock </w:t>
      </w:r>
      <w:r>
        <w:rPr>
          <w:rFonts w:ascii="Times New Roman" w:hAnsi="Times New Roman" w:cs="Times New Roman"/>
          <w:sz w:val="24"/>
          <w:szCs w:val="24"/>
        </w:rPr>
        <w:t>R</w:t>
      </w:r>
      <w:r w:rsidRPr="00A47D20">
        <w:rPr>
          <w:rFonts w:ascii="Times New Roman" w:hAnsi="Times New Roman" w:cs="Times New Roman"/>
          <w:sz w:val="24"/>
          <w:szCs w:val="24"/>
        </w:rPr>
        <w:t xml:space="preserve">eturn </w:t>
      </w:r>
      <w:r>
        <w:rPr>
          <w:rFonts w:ascii="Times New Roman" w:hAnsi="Times New Roman" w:cs="Times New Roman"/>
          <w:sz w:val="24"/>
          <w:szCs w:val="24"/>
        </w:rPr>
        <w:t>P</w:t>
      </w:r>
      <w:r w:rsidRPr="00A47D20">
        <w:rPr>
          <w:rFonts w:ascii="Times New Roman" w:hAnsi="Times New Roman" w:cs="Times New Roman"/>
          <w:sz w:val="24"/>
          <w:szCs w:val="24"/>
        </w:rPr>
        <w:t xml:space="preserve">redictability and </w:t>
      </w:r>
      <w:r>
        <w:rPr>
          <w:rFonts w:ascii="Times New Roman" w:hAnsi="Times New Roman" w:cs="Times New Roman"/>
          <w:sz w:val="24"/>
          <w:szCs w:val="24"/>
        </w:rPr>
        <w:t>V</w:t>
      </w:r>
      <w:r w:rsidRPr="00A47D20">
        <w:rPr>
          <w:rFonts w:ascii="Times New Roman" w:hAnsi="Times New Roman" w:cs="Times New Roman"/>
          <w:sz w:val="24"/>
          <w:szCs w:val="24"/>
        </w:rPr>
        <w:t xml:space="preserve">ariance </w:t>
      </w:r>
      <w:r>
        <w:rPr>
          <w:rFonts w:ascii="Times New Roman" w:hAnsi="Times New Roman" w:cs="Times New Roman"/>
          <w:sz w:val="24"/>
          <w:szCs w:val="24"/>
        </w:rPr>
        <w:t>R</w:t>
      </w:r>
      <w:r w:rsidRPr="00A47D20">
        <w:rPr>
          <w:rFonts w:ascii="Times New Roman" w:hAnsi="Times New Roman" w:cs="Times New Roman"/>
          <w:sz w:val="24"/>
          <w:szCs w:val="24"/>
        </w:rPr>
        <w:t xml:space="preserve">isk </w:t>
      </w:r>
      <w:r>
        <w:rPr>
          <w:rFonts w:ascii="Times New Roman" w:hAnsi="Times New Roman" w:cs="Times New Roman"/>
          <w:sz w:val="24"/>
          <w:szCs w:val="24"/>
        </w:rPr>
        <w:t>P</w:t>
      </w:r>
      <w:r w:rsidRPr="00A47D20">
        <w:rPr>
          <w:rFonts w:ascii="Times New Roman" w:hAnsi="Times New Roman" w:cs="Times New Roman"/>
          <w:sz w:val="24"/>
          <w:szCs w:val="24"/>
        </w:rPr>
        <w:t xml:space="preserve">remia: </w:t>
      </w:r>
      <w:r>
        <w:rPr>
          <w:rFonts w:ascii="Times New Roman" w:hAnsi="Times New Roman" w:cs="Times New Roman"/>
          <w:sz w:val="24"/>
          <w:szCs w:val="24"/>
        </w:rPr>
        <w:t>S</w:t>
      </w:r>
      <w:r w:rsidRPr="00A47D20">
        <w:rPr>
          <w:rFonts w:ascii="Times New Roman" w:hAnsi="Times New Roman" w:cs="Times New Roman"/>
          <w:sz w:val="24"/>
          <w:szCs w:val="24"/>
        </w:rPr>
        <w:t xml:space="preserve">tatistical </w:t>
      </w:r>
      <w:r>
        <w:rPr>
          <w:rFonts w:ascii="Times New Roman" w:hAnsi="Times New Roman" w:cs="Times New Roman"/>
          <w:sz w:val="24"/>
          <w:szCs w:val="24"/>
        </w:rPr>
        <w:t>I</w:t>
      </w:r>
      <w:r w:rsidRPr="00A47D20">
        <w:rPr>
          <w:rFonts w:ascii="Times New Roman" w:hAnsi="Times New Roman" w:cs="Times New Roman"/>
          <w:sz w:val="24"/>
          <w:szCs w:val="24"/>
        </w:rPr>
        <w:t xml:space="preserve">nference and </w:t>
      </w:r>
      <w:r>
        <w:rPr>
          <w:rFonts w:ascii="Times New Roman" w:hAnsi="Times New Roman" w:cs="Times New Roman"/>
          <w:sz w:val="24"/>
          <w:szCs w:val="24"/>
        </w:rPr>
        <w:t>I</w:t>
      </w:r>
      <w:r w:rsidRPr="00A47D20">
        <w:rPr>
          <w:rFonts w:ascii="Times New Roman" w:hAnsi="Times New Roman" w:cs="Times New Roman"/>
          <w:sz w:val="24"/>
          <w:szCs w:val="24"/>
        </w:rPr>
        <w:t xml:space="preserve">nternational </w:t>
      </w:r>
      <w:r>
        <w:rPr>
          <w:rFonts w:ascii="Times New Roman" w:hAnsi="Times New Roman" w:cs="Times New Roman"/>
          <w:sz w:val="24"/>
          <w:szCs w:val="24"/>
        </w:rPr>
        <w:t>E</w:t>
      </w:r>
      <w:r w:rsidRPr="00A47D20">
        <w:rPr>
          <w:rFonts w:ascii="Times New Roman" w:hAnsi="Times New Roman" w:cs="Times New Roman"/>
          <w:sz w:val="24"/>
          <w:szCs w:val="24"/>
        </w:rPr>
        <w:t>vidence.</w:t>
      </w:r>
      <w:r>
        <w:rPr>
          <w:rFonts w:ascii="Times New Roman" w:hAnsi="Times New Roman" w:cs="Times New Roman"/>
          <w:sz w:val="24"/>
          <w:szCs w:val="24"/>
        </w:rPr>
        <w:t>”</w:t>
      </w:r>
      <w:r w:rsidRPr="00A47D20">
        <w:rPr>
          <w:rFonts w:ascii="Times New Roman" w:hAnsi="Times New Roman" w:cs="Times New Roman"/>
          <w:sz w:val="24"/>
          <w:szCs w:val="24"/>
        </w:rPr>
        <w:t xml:space="preserve"> </w:t>
      </w:r>
      <w:r w:rsidRPr="00D33483">
        <w:rPr>
          <w:rFonts w:ascii="Times New Roman" w:hAnsi="Times New Roman" w:cs="Times New Roman"/>
          <w:i/>
          <w:sz w:val="24"/>
          <w:szCs w:val="24"/>
        </w:rPr>
        <w:t>Journal of Financial and Quantitative Analysis</w:t>
      </w:r>
      <w:r w:rsidRPr="00446656">
        <w:rPr>
          <w:rFonts w:ascii="Times New Roman" w:hAnsi="Times New Roman" w:cs="Times New Roman"/>
          <w:sz w:val="24"/>
          <w:szCs w:val="24"/>
        </w:rPr>
        <w:t>,</w:t>
      </w:r>
      <w:r w:rsidRPr="001E50EC">
        <w:rPr>
          <w:rFonts w:ascii="Times New Roman" w:hAnsi="Times New Roman" w:cs="Times New Roman"/>
          <w:sz w:val="24"/>
          <w:szCs w:val="24"/>
        </w:rPr>
        <w:t xml:space="preserve"> 49, 633-661.</w:t>
      </w:r>
    </w:p>
    <w:p w14:paraId="1EA9C445" w14:textId="77777777" w:rsidR="00A47D20" w:rsidRPr="00A47D20" w:rsidRDefault="004A78A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4A78A7">
        <w:rPr>
          <w:rFonts w:ascii="Times New Roman" w:hAnsi="Times New Roman" w:cs="Times New Roman"/>
          <w:sz w:val="24"/>
          <w:szCs w:val="24"/>
        </w:rPr>
        <w:t>Bollerslev, Tim, Michael Gibson, and Hao Zhou</w:t>
      </w:r>
      <w:r w:rsidR="00A47D20" w:rsidRPr="00A47D20">
        <w:rPr>
          <w:rFonts w:ascii="Times New Roman" w:hAnsi="Times New Roman" w:cs="Times New Roman"/>
          <w:sz w:val="24"/>
          <w:szCs w:val="24"/>
        </w:rPr>
        <w:t>.</w:t>
      </w:r>
      <w:r w:rsidR="00FB716C">
        <w:rPr>
          <w:rFonts w:ascii="Times New Roman" w:hAnsi="Times New Roman" w:cs="Times New Roman"/>
          <w:sz w:val="24"/>
          <w:szCs w:val="24"/>
        </w:rPr>
        <w:t xml:space="preserve"> </w:t>
      </w:r>
      <w:r w:rsidR="00D377C8">
        <w:rPr>
          <w:rFonts w:ascii="Times New Roman" w:hAnsi="Times New Roman" w:cs="Times New Roman"/>
          <w:sz w:val="24"/>
          <w:szCs w:val="24"/>
        </w:rPr>
        <w:t>(</w:t>
      </w:r>
      <w:r w:rsidR="00FB716C">
        <w:rPr>
          <w:rFonts w:ascii="Times New Roman" w:hAnsi="Times New Roman" w:cs="Times New Roman"/>
          <w:sz w:val="24"/>
          <w:szCs w:val="24"/>
        </w:rPr>
        <w:t>2011</w:t>
      </w:r>
      <w:r w:rsidR="00D377C8">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D377C8">
        <w:rPr>
          <w:rFonts w:ascii="Times New Roman" w:hAnsi="Times New Roman" w:cs="Times New Roman"/>
          <w:sz w:val="24"/>
          <w:szCs w:val="24"/>
        </w:rPr>
        <w:t>“</w:t>
      </w:r>
      <w:r w:rsidR="00A47D20" w:rsidRPr="00A47D20">
        <w:rPr>
          <w:rFonts w:ascii="Times New Roman" w:hAnsi="Times New Roman" w:cs="Times New Roman"/>
          <w:sz w:val="24"/>
          <w:szCs w:val="24"/>
        </w:rPr>
        <w:t xml:space="preserve">Dynamic </w:t>
      </w:r>
      <w:r w:rsidR="00AD55FE">
        <w:rPr>
          <w:rFonts w:ascii="Times New Roman" w:hAnsi="Times New Roman" w:cs="Times New Roman"/>
          <w:sz w:val="24"/>
          <w:szCs w:val="24"/>
        </w:rPr>
        <w:t>E</w:t>
      </w:r>
      <w:r w:rsidR="00A47D20" w:rsidRPr="00A47D20">
        <w:rPr>
          <w:rFonts w:ascii="Times New Roman" w:hAnsi="Times New Roman" w:cs="Times New Roman"/>
          <w:sz w:val="24"/>
          <w:szCs w:val="24"/>
        </w:rPr>
        <w:t xml:space="preserve">stimation of </w:t>
      </w:r>
      <w:r w:rsidR="00AD55FE">
        <w:rPr>
          <w:rFonts w:ascii="Times New Roman" w:hAnsi="Times New Roman" w:cs="Times New Roman"/>
          <w:sz w:val="24"/>
          <w:szCs w:val="24"/>
        </w:rPr>
        <w:t>V</w:t>
      </w:r>
      <w:r w:rsidR="00A47D20" w:rsidRPr="00A47D20">
        <w:rPr>
          <w:rFonts w:ascii="Times New Roman" w:hAnsi="Times New Roman" w:cs="Times New Roman"/>
          <w:sz w:val="24"/>
          <w:szCs w:val="24"/>
        </w:rPr>
        <w:t xml:space="preserve">olatility </w:t>
      </w:r>
      <w:r w:rsidR="00AD55FE">
        <w:rPr>
          <w:rFonts w:ascii="Times New Roman" w:hAnsi="Times New Roman" w:cs="Times New Roman"/>
          <w:sz w:val="24"/>
          <w:szCs w:val="24"/>
        </w:rPr>
        <w:t>R</w:t>
      </w:r>
      <w:r w:rsidR="00A47D20" w:rsidRPr="00A47D20">
        <w:rPr>
          <w:rFonts w:ascii="Times New Roman" w:hAnsi="Times New Roman" w:cs="Times New Roman"/>
          <w:sz w:val="24"/>
          <w:szCs w:val="24"/>
        </w:rPr>
        <w:t xml:space="preserve">isk </w:t>
      </w:r>
      <w:r w:rsidR="00AD55FE">
        <w:rPr>
          <w:rFonts w:ascii="Times New Roman" w:hAnsi="Times New Roman" w:cs="Times New Roman"/>
          <w:sz w:val="24"/>
          <w:szCs w:val="24"/>
        </w:rPr>
        <w:t>Premia and I</w:t>
      </w:r>
      <w:r w:rsidR="00A47D20" w:rsidRPr="00A47D20">
        <w:rPr>
          <w:rFonts w:ascii="Times New Roman" w:hAnsi="Times New Roman" w:cs="Times New Roman"/>
          <w:sz w:val="24"/>
          <w:szCs w:val="24"/>
        </w:rPr>
        <w:t xml:space="preserve">nvestor </w:t>
      </w:r>
      <w:r w:rsidR="00AD55FE">
        <w:rPr>
          <w:rFonts w:ascii="Times New Roman" w:hAnsi="Times New Roman" w:cs="Times New Roman"/>
          <w:sz w:val="24"/>
          <w:szCs w:val="24"/>
        </w:rPr>
        <w:t>Risk A</w:t>
      </w:r>
      <w:r w:rsidR="00A47D20" w:rsidRPr="00A47D20">
        <w:rPr>
          <w:rFonts w:ascii="Times New Roman" w:hAnsi="Times New Roman" w:cs="Times New Roman"/>
          <w:sz w:val="24"/>
          <w:szCs w:val="24"/>
        </w:rPr>
        <w:t xml:space="preserve">version from </w:t>
      </w:r>
      <w:r w:rsidR="00AD55FE">
        <w:rPr>
          <w:rFonts w:ascii="Times New Roman" w:hAnsi="Times New Roman" w:cs="Times New Roman"/>
          <w:sz w:val="24"/>
          <w:szCs w:val="24"/>
        </w:rPr>
        <w:t>O</w:t>
      </w:r>
      <w:r w:rsidR="00A47D20" w:rsidRPr="00A47D20">
        <w:rPr>
          <w:rFonts w:ascii="Times New Roman" w:hAnsi="Times New Roman" w:cs="Times New Roman"/>
          <w:sz w:val="24"/>
          <w:szCs w:val="24"/>
        </w:rPr>
        <w:t>ption-</w:t>
      </w:r>
      <w:r w:rsidR="00AD55FE">
        <w:rPr>
          <w:rFonts w:ascii="Times New Roman" w:hAnsi="Times New Roman" w:cs="Times New Roman"/>
          <w:sz w:val="24"/>
          <w:szCs w:val="24"/>
        </w:rPr>
        <w:t>I</w:t>
      </w:r>
      <w:r w:rsidR="00A47D20" w:rsidRPr="00A47D20">
        <w:rPr>
          <w:rFonts w:ascii="Times New Roman" w:hAnsi="Times New Roman" w:cs="Times New Roman"/>
          <w:sz w:val="24"/>
          <w:szCs w:val="24"/>
        </w:rPr>
        <w:t xml:space="preserve">mplied and </w:t>
      </w:r>
      <w:r w:rsidR="00AD55FE">
        <w:rPr>
          <w:rFonts w:ascii="Times New Roman" w:hAnsi="Times New Roman" w:cs="Times New Roman"/>
          <w:sz w:val="24"/>
          <w:szCs w:val="24"/>
        </w:rPr>
        <w:t>R</w:t>
      </w:r>
      <w:r w:rsidR="00A47D20" w:rsidRPr="00A47D20">
        <w:rPr>
          <w:rFonts w:ascii="Times New Roman" w:hAnsi="Times New Roman" w:cs="Times New Roman"/>
          <w:sz w:val="24"/>
          <w:szCs w:val="24"/>
        </w:rPr>
        <w:t xml:space="preserve">ealized </w:t>
      </w:r>
      <w:r w:rsidR="00AD55FE">
        <w:rPr>
          <w:rFonts w:ascii="Times New Roman" w:hAnsi="Times New Roman" w:cs="Times New Roman"/>
          <w:sz w:val="24"/>
          <w:szCs w:val="24"/>
        </w:rPr>
        <w:t>V</w:t>
      </w:r>
      <w:r w:rsidR="00A47D20" w:rsidRPr="00A47D20">
        <w:rPr>
          <w:rFonts w:ascii="Times New Roman" w:hAnsi="Times New Roman" w:cs="Times New Roman"/>
          <w:sz w:val="24"/>
          <w:szCs w:val="24"/>
        </w:rPr>
        <w:t>olatilities.</w:t>
      </w:r>
      <w:r w:rsidR="00D377C8">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D33483">
        <w:rPr>
          <w:rFonts w:ascii="Times New Roman" w:hAnsi="Times New Roman" w:cs="Times New Roman"/>
          <w:i/>
          <w:sz w:val="24"/>
          <w:szCs w:val="24"/>
        </w:rPr>
        <w:t>Journal of Econometrics</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160, 235</w:t>
      </w:r>
      <w:r w:rsidR="00FB716C">
        <w:rPr>
          <w:rFonts w:ascii="Times New Roman" w:hAnsi="Times New Roman" w:cs="Times New Roman"/>
          <w:sz w:val="24"/>
          <w:szCs w:val="24"/>
        </w:rPr>
        <w:t>-</w:t>
      </w:r>
      <w:r w:rsidR="00A47D20" w:rsidRPr="00A47D20">
        <w:rPr>
          <w:rFonts w:ascii="Times New Roman" w:hAnsi="Times New Roman" w:cs="Times New Roman"/>
          <w:sz w:val="24"/>
          <w:szCs w:val="24"/>
        </w:rPr>
        <w:t>245.</w:t>
      </w:r>
    </w:p>
    <w:p w14:paraId="1A0937EC" w14:textId="77777777" w:rsidR="00A47D20" w:rsidRPr="00A47D20" w:rsidRDefault="00B129B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B129B7">
        <w:rPr>
          <w:rFonts w:ascii="Times New Roman" w:hAnsi="Times New Roman" w:cs="Times New Roman"/>
          <w:sz w:val="24"/>
          <w:szCs w:val="24"/>
        </w:rPr>
        <w:lastRenderedPageBreak/>
        <w:t>Borio, Claudio, and Haibin Zhu</w:t>
      </w:r>
      <w:r w:rsidR="00DD2B28" w:rsidRPr="00DD2B28">
        <w:rPr>
          <w:rFonts w:ascii="Times New Roman" w:hAnsi="Times New Roman" w:cs="Times New Roman"/>
          <w:sz w:val="24"/>
          <w:szCs w:val="24"/>
        </w:rPr>
        <w:t xml:space="preserve">. </w:t>
      </w:r>
      <w:r w:rsidR="00D377C8">
        <w:rPr>
          <w:rFonts w:ascii="Times New Roman" w:hAnsi="Times New Roman" w:cs="Times New Roman"/>
          <w:sz w:val="24"/>
          <w:szCs w:val="24"/>
        </w:rPr>
        <w:t>(</w:t>
      </w:r>
      <w:r w:rsidR="00DD2B28" w:rsidRPr="00DD2B28">
        <w:rPr>
          <w:rFonts w:ascii="Times New Roman" w:hAnsi="Times New Roman" w:cs="Times New Roman"/>
          <w:sz w:val="24"/>
          <w:szCs w:val="24"/>
        </w:rPr>
        <w:t>2012</w:t>
      </w:r>
      <w:r w:rsidR="00D377C8">
        <w:rPr>
          <w:rFonts w:ascii="Times New Roman" w:hAnsi="Times New Roman" w:cs="Times New Roman"/>
          <w:sz w:val="24"/>
          <w:szCs w:val="24"/>
        </w:rPr>
        <w:t>)</w:t>
      </w:r>
      <w:r w:rsidR="00DD2B28" w:rsidRPr="00DD2B28">
        <w:rPr>
          <w:rFonts w:ascii="Times New Roman" w:hAnsi="Times New Roman" w:cs="Times New Roman"/>
          <w:sz w:val="24"/>
          <w:szCs w:val="24"/>
        </w:rPr>
        <w:t xml:space="preserve"> </w:t>
      </w:r>
      <w:r w:rsidR="00D377C8">
        <w:rPr>
          <w:rFonts w:ascii="Times New Roman" w:hAnsi="Times New Roman" w:cs="Times New Roman"/>
          <w:sz w:val="24"/>
          <w:szCs w:val="24"/>
        </w:rPr>
        <w:t>“</w:t>
      </w:r>
      <w:r w:rsidR="00DD2B28" w:rsidRPr="00DD2B28">
        <w:rPr>
          <w:rFonts w:ascii="Times New Roman" w:hAnsi="Times New Roman" w:cs="Times New Roman"/>
          <w:sz w:val="24"/>
          <w:szCs w:val="24"/>
        </w:rPr>
        <w:t xml:space="preserve">Capital </w:t>
      </w:r>
      <w:r w:rsidR="006B2A23">
        <w:rPr>
          <w:rFonts w:ascii="Times New Roman" w:hAnsi="Times New Roman" w:cs="Times New Roman"/>
          <w:sz w:val="24"/>
          <w:szCs w:val="24"/>
        </w:rPr>
        <w:t>R</w:t>
      </w:r>
      <w:r w:rsidR="00DD2B28" w:rsidRPr="00DD2B28">
        <w:rPr>
          <w:rFonts w:ascii="Times New Roman" w:hAnsi="Times New Roman" w:cs="Times New Roman"/>
          <w:sz w:val="24"/>
          <w:szCs w:val="24"/>
        </w:rPr>
        <w:t xml:space="preserve">egulation, </w:t>
      </w:r>
      <w:r w:rsidR="006B2A23">
        <w:rPr>
          <w:rFonts w:ascii="Times New Roman" w:hAnsi="Times New Roman" w:cs="Times New Roman"/>
          <w:sz w:val="24"/>
          <w:szCs w:val="24"/>
        </w:rPr>
        <w:t>R</w:t>
      </w:r>
      <w:r w:rsidR="00DD2B28" w:rsidRPr="00DD2B28">
        <w:rPr>
          <w:rFonts w:ascii="Times New Roman" w:hAnsi="Times New Roman" w:cs="Times New Roman"/>
          <w:sz w:val="24"/>
          <w:szCs w:val="24"/>
        </w:rPr>
        <w:t>isk-</w:t>
      </w:r>
      <w:r w:rsidR="006B2A23">
        <w:rPr>
          <w:rFonts w:ascii="Times New Roman" w:hAnsi="Times New Roman" w:cs="Times New Roman"/>
          <w:sz w:val="24"/>
          <w:szCs w:val="24"/>
        </w:rPr>
        <w:t>T</w:t>
      </w:r>
      <w:r w:rsidR="00DD2B28" w:rsidRPr="00DD2B28">
        <w:rPr>
          <w:rFonts w:ascii="Times New Roman" w:hAnsi="Times New Roman" w:cs="Times New Roman"/>
          <w:sz w:val="24"/>
          <w:szCs w:val="24"/>
        </w:rPr>
        <w:t xml:space="preserve">aking and </w:t>
      </w:r>
      <w:r w:rsidR="006B2A23">
        <w:rPr>
          <w:rFonts w:ascii="Times New Roman" w:hAnsi="Times New Roman" w:cs="Times New Roman"/>
          <w:sz w:val="24"/>
          <w:szCs w:val="24"/>
        </w:rPr>
        <w:t>M</w:t>
      </w:r>
      <w:r w:rsidR="00DD2B28" w:rsidRPr="00DD2B28">
        <w:rPr>
          <w:rFonts w:ascii="Times New Roman" w:hAnsi="Times New Roman" w:cs="Times New Roman"/>
          <w:sz w:val="24"/>
          <w:szCs w:val="24"/>
        </w:rPr>
        <w:t xml:space="preserve">onetary </w:t>
      </w:r>
      <w:r w:rsidR="006B2A23">
        <w:rPr>
          <w:rFonts w:ascii="Times New Roman" w:hAnsi="Times New Roman" w:cs="Times New Roman"/>
          <w:sz w:val="24"/>
          <w:szCs w:val="24"/>
        </w:rPr>
        <w:t>P</w:t>
      </w:r>
      <w:r w:rsidR="00DD2B28" w:rsidRPr="00DD2B28">
        <w:rPr>
          <w:rFonts w:ascii="Times New Roman" w:hAnsi="Times New Roman" w:cs="Times New Roman"/>
          <w:sz w:val="24"/>
          <w:szCs w:val="24"/>
        </w:rPr>
        <w:t xml:space="preserve">olicy: </w:t>
      </w:r>
      <w:r w:rsidR="006B2A23">
        <w:rPr>
          <w:rFonts w:ascii="Times New Roman" w:hAnsi="Times New Roman" w:cs="Times New Roman"/>
          <w:sz w:val="24"/>
          <w:szCs w:val="24"/>
        </w:rPr>
        <w:t>A</w:t>
      </w:r>
      <w:r w:rsidR="00DD2B28" w:rsidRPr="00DD2B28">
        <w:rPr>
          <w:rFonts w:ascii="Times New Roman" w:hAnsi="Times New Roman" w:cs="Times New Roman"/>
          <w:sz w:val="24"/>
          <w:szCs w:val="24"/>
        </w:rPr>
        <w:t xml:space="preserve"> </w:t>
      </w:r>
      <w:r w:rsidR="006B2A23">
        <w:rPr>
          <w:rFonts w:ascii="Times New Roman" w:hAnsi="Times New Roman" w:cs="Times New Roman"/>
          <w:sz w:val="24"/>
          <w:szCs w:val="24"/>
        </w:rPr>
        <w:t>M</w:t>
      </w:r>
      <w:r w:rsidR="00DD2B28" w:rsidRPr="00DD2B28">
        <w:rPr>
          <w:rFonts w:ascii="Times New Roman" w:hAnsi="Times New Roman" w:cs="Times New Roman"/>
          <w:sz w:val="24"/>
          <w:szCs w:val="24"/>
        </w:rPr>
        <w:t xml:space="preserve">issing </w:t>
      </w:r>
      <w:r w:rsidR="006B2A23">
        <w:rPr>
          <w:rFonts w:ascii="Times New Roman" w:hAnsi="Times New Roman" w:cs="Times New Roman"/>
          <w:sz w:val="24"/>
          <w:szCs w:val="24"/>
        </w:rPr>
        <w:t>L</w:t>
      </w:r>
      <w:r w:rsidR="00DD2B28" w:rsidRPr="00DD2B28">
        <w:rPr>
          <w:rFonts w:ascii="Times New Roman" w:hAnsi="Times New Roman" w:cs="Times New Roman"/>
          <w:sz w:val="24"/>
          <w:szCs w:val="24"/>
        </w:rPr>
        <w:t xml:space="preserve">ink in the </w:t>
      </w:r>
      <w:r w:rsidR="006B2A23">
        <w:rPr>
          <w:rFonts w:ascii="Times New Roman" w:hAnsi="Times New Roman" w:cs="Times New Roman"/>
          <w:sz w:val="24"/>
          <w:szCs w:val="24"/>
        </w:rPr>
        <w:t>T</w:t>
      </w:r>
      <w:r w:rsidR="00DD2B28" w:rsidRPr="00DD2B28">
        <w:rPr>
          <w:rFonts w:ascii="Times New Roman" w:hAnsi="Times New Roman" w:cs="Times New Roman"/>
          <w:sz w:val="24"/>
          <w:szCs w:val="24"/>
        </w:rPr>
        <w:t xml:space="preserve">ransmission </w:t>
      </w:r>
      <w:r w:rsidR="006B2A23">
        <w:rPr>
          <w:rFonts w:ascii="Times New Roman" w:hAnsi="Times New Roman" w:cs="Times New Roman"/>
          <w:sz w:val="24"/>
          <w:szCs w:val="24"/>
        </w:rPr>
        <w:t>M</w:t>
      </w:r>
      <w:r w:rsidR="00DD2B28" w:rsidRPr="00DD2B28">
        <w:rPr>
          <w:rFonts w:ascii="Times New Roman" w:hAnsi="Times New Roman" w:cs="Times New Roman"/>
          <w:sz w:val="24"/>
          <w:szCs w:val="24"/>
        </w:rPr>
        <w:t>echanism?</w:t>
      </w:r>
      <w:r w:rsidR="00D377C8">
        <w:rPr>
          <w:rFonts w:ascii="Times New Roman" w:hAnsi="Times New Roman" w:cs="Times New Roman"/>
          <w:sz w:val="24"/>
          <w:szCs w:val="24"/>
        </w:rPr>
        <w:t>”</w:t>
      </w:r>
      <w:r w:rsidR="00DD2B28" w:rsidRPr="00DD2B28">
        <w:rPr>
          <w:rFonts w:ascii="Times New Roman" w:hAnsi="Times New Roman" w:cs="Times New Roman"/>
          <w:sz w:val="24"/>
          <w:szCs w:val="24"/>
        </w:rPr>
        <w:t xml:space="preserve"> </w:t>
      </w:r>
      <w:r w:rsidR="00D33483" w:rsidRPr="00CE7DFE">
        <w:rPr>
          <w:rFonts w:ascii="Times New Roman" w:hAnsi="Times New Roman" w:cs="Times New Roman"/>
          <w:i/>
          <w:sz w:val="24"/>
          <w:szCs w:val="24"/>
        </w:rPr>
        <w:t>Journal of Financial Stability</w:t>
      </w:r>
      <w:r w:rsidR="00D33483" w:rsidRPr="00D33483">
        <w:rPr>
          <w:rFonts w:ascii="Times New Roman" w:hAnsi="Times New Roman" w:cs="Times New Roman"/>
          <w:sz w:val="24"/>
          <w:szCs w:val="24"/>
        </w:rPr>
        <w:t>,</w:t>
      </w:r>
      <w:r w:rsidR="00DD2B28" w:rsidRPr="00DD2B28">
        <w:rPr>
          <w:rFonts w:ascii="Times New Roman" w:hAnsi="Times New Roman" w:cs="Times New Roman"/>
          <w:sz w:val="24"/>
          <w:szCs w:val="24"/>
        </w:rPr>
        <w:t xml:space="preserve"> 8, 236-251.</w:t>
      </w:r>
    </w:p>
    <w:p w14:paraId="6EB31C04" w14:textId="46CC0325" w:rsidR="00A47D20" w:rsidRDefault="009E5842"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9E5842">
        <w:rPr>
          <w:rFonts w:ascii="Times New Roman" w:hAnsi="Times New Roman" w:cs="Times New Roman"/>
          <w:sz w:val="24"/>
          <w:szCs w:val="24"/>
        </w:rPr>
        <w:t>Bouwman, Christa H.S., and Ulrike Malmendier</w:t>
      </w:r>
      <w:r w:rsidR="00A47D20" w:rsidRPr="00A47D20">
        <w:rPr>
          <w:rFonts w:ascii="Times New Roman" w:hAnsi="Times New Roman" w:cs="Times New Roman"/>
          <w:sz w:val="24"/>
          <w:szCs w:val="24"/>
        </w:rPr>
        <w:t>.</w:t>
      </w:r>
      <w:r w:rsidR="00AF5338">
        <w:rPr>
          <w:rFonts w:ascii="Times New Roman" w:hAnsi="Times New Roman" w:cs="Times New Roman"/>
          <w:sz w:val="24"/>
          <w:szCs w:val="24"/>
        </w:rPr>
        <w:t xml:space="preserve"> </w:t>
      </w:r>
      <w:r w:rsidR="00D377C8">
        <w:rPr>
          <w:rFonts w:ascii="Times New Roman" w:hAnsi="Times New Roman" w:cs="Times New Roman"/>
          <w:sz w:val="24"/>
          <w:szCs w:val="24"/>
        </w:rPr>
        <w:t>(</w:t>
      </w:r>
      <w:r w:rsidR="00AF5338">
        <w:rPr>
          <w:rFonts w:ascii="Times New Roman" w:hAnsi="Times New Roman" w:cs="Times New Roman"/>
          <w:sz w:val="24"/>
          <w:szCs w:val="24"/>
        </w:rPr>
        <w:t>2015</w:t>
      </w:r>
      <w:r w:rsidR="00D377C8">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D377C8">
        <w:rPr>
          <w:rFonts w:ascii="Times New Roman" w:hAnsi="Times New Roman" w:cs="Times New Roman"/>
          <w:sz w:val="24"/>
          <w:szCs w:val="24"/>
        </w:rPr>
        <w:t>“</w:t>
      </w:r>
      <w:r w:rsidR="00A47D20" w:rsidRPr="00A47D20">
        <w:rPr>
          <w:rFonts w:ascii="Times New Roman" w:hAnsi="Times New Roman" w:cs="Times New Roman"/>
          <w:sz w:val="24"/>
          <w:szCs w:val="24"/>
        </w:rPr>
        <w:t xml:space="preserve">Does a </w:t>
      </w:r>
      <w:r w:rsidR="00E06510">
        <w:rPr>
          <w:rFonts w:ascii="Times New Roman" w:hAnsi="Times New Roman" w:cs="Times New Roman"/>
          <w:sz w:val="24"/>
          <w:szCs w:val="24"/>
        </w:rPr>
        <w:t>B</w:t>
      </w:r>
      <w:r w:rsidR="00A47D20" w:rsidRPr="00A47D20">
        <w:rPr>
          <w:rFonts w:ascii="Times New Roman" w:hAnsi="Times New Roman" w:cs="Times New Roman"/>
          <w:sz w:val="24"/>
          <w:szCs w:val="24"/>
        </w:rPr>
        <w:t xml:space="preserve">ank’s </w:t>
      </w:r>
      <w:r w:rsidR="00E06510">
        <w:rPr>
          <w:rFonts w:ascii="Times New Roman" w:hAnsi="Times New Roman" w:cs="Times New Roman"/>
          <w:sz w:val="24"/>
          <w:szCs w:val="24"/>
        </w:rPr>
        <w:t>H</w:t>
      </w:r>
      <w:r w:rsidR="00A47D20" w:rsidRPr="00A47D20">
        <w:rPr>
          <w:rFonts w:ascii="Times New Roman" w:hAnsi="Times New Roman" w:cs="Times New Roman"/>
          <w:sz w:val="24"/>
          <w:szCs w:val="24"/>
        </w:rPr>
        <w:t xml:space="preserve">istory </w:t>
      </w:r>
      <w:r w:rsidR="00E06510">
        <w:rPr>
          <w:rFonts w:ascii="Times New Roman" w:hAnsi="Times New Roman" w:cs="Times New Roman"/>
          <w:sz w:val="24"/>
          <w:szCs w:val="24"/>
        </w:rPr>
        <w:t>A</w:t>
      </w:r>
      <w:r w:rsidR="00A47D20" w:rsidRPr="00A47D20">
        <w:rPr>
          <w:rFonts w:ascii="Times New Roman" w:hAnsi="Times New Roman" w:cs="Times New Roman"/>
          <w:sz w:val="24"/>
          <w:szCs w:val="24"/>
        </w:rPr>
        <w:t xml:space="preserve">ffect </w:t>
      </w:r>
      <w:r w:rsidR="006868B0">
        <w:rPr>
          <w:rFonts w:ascii="Times New Roman" w:hAnsi="Times New Roman" w:cs="Times New Roman"/>
          <w:sz w:val="24"/>
          <w:szCs w:val="24"/>
        </w:rPr>
        <w:t>I</w:t>
      </w:r>
      <w:r w:rsidR="00A47D20" w:rsidRPr="00A47D20">
        <w:rPr>
          <w:rFonts w:ascii="Times New Roman" w:hAnsi="Times New Roman" w:cs="Times New Roman"/>
          <w:sz w:val="24"/>
          <w:szCs w:val="24"/>
        </w:rPr>
        <w:t xml:space="preserve">ts </w:t>
      </w:r>
      <w:r w:rsidR="00E06510">
        <w:rPr>
          <w:rFonts w:ascii="Times New Roman" w:hAnsi="Times New Roman" w:cs="Times New Roman"/>
          <w:sz w:val="24"/>
          <w:szCs w:val="24"/>
        </w:rPr>
        <w:t>R</w:t>
      </w:r>
      <w:r w:rsidR="00A47D20" w:rsidRPr="00A47D20">
        <w:rPr>
          <w:rFonts w:ascii="Times New Roman" w:hAnsi="Times New Roman" w:cs="Times New Roman"/>
          <w:sz w:val="24"/>
          <w:szCs w:val="24"/>
        </w:rPr>
        <w:t xml:space="preserve">isk </w:t>
      </w:r>
      <w:r w:rsidR="00E06510">
        <w:rPr>
          <w:rFonts w:ascii="Times New Roman" w:hAnsi="Times New Roman" w:cs="Times New Roman"/>
          <w:sz w:val="24"/>
          <w:szCs w:val="24"/>
        </w:rPr>
        <w:t>T</w:t>
      </w:r>
      <w:r w:rsidR="00A47D20" w:rsidRPr="00A47D20">
        <w:rPr>
          <w:rFonts w:ascii="Times New Roman" w:hAnsi="Times New Roman" w:cs="Times New Roman"/>
          <w:sz w:val="24"/>
          <w:szCs w:val="24"/>
        </w:rPr>
        <w:t>aking?</w:t>
      </w:r>
      <w:r w:rsidR="00FB7EEA">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CE7DFE">
        <w:rPr>
          <w:rFonts w:ascii="Times New Roman" w:hAnsi="Times New Roman" w:cs="Times New Roman"/>
          <w:i/>
          <w:sz w:val="24"/>
          <w:szCs w:val="24"/>
        </w:rPr>
        <w:t>American Economic Review</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105, 321</w:t>
      </w:r>
      <w:r w:rsidR="00AF5338">
        <w:rPr>
          <w:rFonts w:ascii="Times New Roman" w:hAnsi="Times New Roman" w:cs="Times New Roman"/>
          <w:sz w:val="24"/>
          <w:szCs w:val="24"/>
        </w:rPr>
        <w:t>-</w:t>
      </w:r>
      <w:r w:rsidR="00A47D20" w:rsidRPr="00A47D20">
        <w:rPr>
          <w:rFonts w:ascii="Times New Roman" w:hAnsi="Times New Roman" w:cs="Times New Roman"/>
          <w:sz w:val="24"/>
          <w:szCs w:val="24"/>
        </w:rPr>
        <w:t>325.</w:t>
      </w:r>
    </w:p>
    <w:p w14:paraId="1BA175D7" w14:textId="5C805742" w:rsidR="006A35E7" w:rsidRPr="00A47D20" w:rsidRDefault="006A35E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 xml:space="preserve">Breitenlechner, Max, Johann Scharler, and Friedrich Sindermann. (2016) “Banks’ External Financing Costs and the Bank Lending Channel: Results from a SVAR Analysis.” </w:t>
      </w:r>
      <w:r w:rsidRPr="006A35E7">
        <w:rPr>
          <w:rFonts w:ascii="Times New Roman" w:hAnsi="Times New Roman" w:cs="Times New Roman"/>
          <w:i/>
          <w:sz w:val="24"/>
          <w:szCs w:val="24"/>
        </w:rPr>
        <w:t>Journal of Financial Stability</w:t>
      </w:r>
      <w:r>
        <w:rPr>
          <w:rFonts w:ascii="Times New Roman" w:hAnsi="Times New Roman" w:cs="Times New Roman"/>
          <w:sz w:val="24"/>
          <w:szCs w:val="24"/>
        </w:rPr>
        <w:t>, 26, 228-246.</w:t>
      </w:r>
    </w:p>
    <w:p w14:paraId="6846CA00" w14:textId="77777777" w:rsidR="00A47D20" w:rsidRPr="00A47D20" w:rsidRDefault="00FF768D"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FF768D">
        <w:rPr>
          <w:rFonts w:ascii="Times New Roman" w:hAnsi="Times New Roman" w:cs="Times New Roman"/>
          <w:sz w:val="24"/>
          <w:szCs w:val="24"/>
        </w:rPr>
        <w:t>Buch, Claudia M., Sandra Eickmeier, and Esteban Prieto</w:t>
      </w:r>
      <w:r w:rsidR="00A47D20" w:rsidRPr="00A47D20">
        <w:rPr>
          <w:rFonts w:ascii="Times New Roman" w:hAnsi="Times New Roman" w:cs="Times New Roman"/>
          <w:sz w:val="24"/>
          <w:szCs w:val="24"/>
        </w:rPr>
        <w:t>.</w:t>
      </w:r>
      <w:r w:rsidR="00AF5338">
        <w:rPr>
          <w:rFonts w:ascii="Times New Roman" w:hAnsi="Times New Roman" w:cs="Times New Roman"/>
          <w:sz w:val="24"/>
          <w:szCs w:val="24"/>
        </w:rPr>
        <w:t xml:space="preserve"> </w:t>
      </w:r>
      <w:r w:rsidR="00FB7EEA">
        <w:rPr>
          <w:rFonts w:ascii="Times New Roman" w:hAnsi="Times New Roman" w:cs="Times New Roman"/>
          <w:sz w:val="24"/>
          <w:szCs w:val="24"/>
        </w:rPr>
        <w:t>(</w:t>
      </w:r>
      <w:r w:rsidR="00AF5338">
        <w:rPr>
          <w:rFonts w:ascii="Times New Roman" w:hAnsi="Times New Roman" w:cs="Times New Roman"/>
          <w:sz w:val="24"/>
          <w:szCs w:val="24"/>
        </w:rPr>
        <w:t>2014</w:t>
      </w:r>
      <w:r w:rsidR="00FB7EEA">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FB7EEA">
        <w:rPr>
          <w:rFonts w:ascii="Times New Roman" w:hAnsi="Times New Roman" w:cs="Times New Roman"/>
          <w:sz w:val="24"/>
          <w:szCs w:val="24"/>
        </w:rPr>
        <w:t>“</w:t>
      </w:r>
      <w:r w:rsidR="00A47D20" w:rsidRPr="00A47D20">
        <w:rPr>
          <w:rFonts w:ascii="Times New Roman" w:hAnsi="Times New Roman" w:cs="Times New Roman"/>
          <w:sz w:val="24"/>
          <w:szCs w:val="24"/>
        </w:rPr>
        <w:t xml:space="preserve">In </w:t>
      </w:r>
      <w:r w:rsidR="005F0934">
        <w:rPr>
          <w:rFonts w:ascii="Times New Roman" w:hAnsi="Times New Roman" w:cs="Times New Roman"/>
          <w:sz w:val="24"/>
          <w:szCs w:val="24"/>
        </w:rPr>
        <w:t>S</w:t>
      </w:r>
      <w:r w:rsidR="00A47D20" w:rsidRPr="00A47D20">
        <w:rPr>
          <w:rFonts w:ascii="Times New Roman" w:hAnsi="Times New Roman" w:cs="Times New Roman"/>
          <w:sz w:val="24"/>
          <w:szCs w:val="24"/>
        </w:rPr>
        <w:t xml:space="preserve">earch for </w:t>
      </w:r>
      <w:r w:rsidR="005F0934">
        <w:rPr>
          <w:rFonts w:ascii="Times New Roman" w:hAnsi="Times New Roman" w:cs="Times New Roman"/>
          <w:sz w:val="24"/>
          <w:szCs w:val="24"/>
        </w:rPr>
        <w:t>Y</w:t>
      </w:r>
      <w:r w:rsidR="00A47D20" w:rsidRPr="00A47D20">
        <w:rPr>
          <w:rFonts w:ascii="Times New Roman" w:hAnsi="Times New Roman" w:cs="Times New Roman"/>
          <w:sz w:val="24"/>
          <w:szCs w:val="24"/>
        </w:rPr>
        <w:t>ield? Survey-</w:t>
      </w:r>
      <w:r w:rsidR="005F0934">
        <w:rPr>
          <w:rFonts w:ascii="Times New Roman" w:hAnsi="Times New Roman" w:cs="Times New Roman"/>
          <w:sz w:val="24"/>
          <w:szCs w:val="24"/>
        </w:rPr>
        <w:t>B</w:t>
      </w:r>
      <w:r w:rsidR="00A47D20" w:rsidRPr="00A47D20">
        <w:rPr>
          <w:rFonts w:ascii="Times New Roman" w:hAnsi="Times New Roman" w:cs="Times New Roman"/>
          <w:sz w:val="24"/>
          <w:szCs w:val="24"/>
        </w:rPr>
        <w:t xml:space="preserve">ased </w:t>
      </w:r>
      <w:r w:rsidR="005F0934">
        <w:rPr>
          <w:rFonts w:ascii="Times New Roman" w:hAnsi="Times New Roman" w:cs="Times New Roman"/>
          <w:sz w:val="24"/>
          <w:szCs w:val="24"/>
        </w:rPr>
        <w:t>E</w:t>
      </w:r>
      <w:r w:rsidR="00A47D20" w:rsidRPr="00A47D20">
        <w:rPr>
          <w:rFonts w:ascii="Times New Roman" w:hAnsi="Times New Roman" w:cs="Times New Roman"/>
          <w:sz w:val="24"/>
          <w:szCs w:val="24"/>
        </w:rPr>
        <w:t xml:space="preserve">vidence on </w:t>
      </w:r>
      <w:r w:rsidR="005F0934">
        <w:rPr>
          <w:rFonts w:ascii="Times New Roman" w:hAnsi="Times New Roman" w:cs="Times New Roman"/>
          <w:sz w:val="24"/>
          <w:szCs w:val="24"/>
        </w:rPr>
        <w:t>B</w:t>
      </w:r>
      <w:r w:rsidR="00A47D20" w:rsidRPr="00A47D20">
        <w:rPr>
          <w:rFonts w:ascii="Times New Roman" w:hAnsi="Times New Roman" w:cs="Times New Roman"/>
          <w:sz w:val="24"/>
          <w:szCs w:val="24"/>
        </w:rPr>
        <w:t xml:space="preserve">ank </w:t>
      </w:r>
      <w:r w:rsidR="005F0934">
        <w:rPr>
          <w:rFonts w:ascii="Times New Roman" w:hAnsi="Times New Roman" w:cs="Times New Roman"/>
          <w:sz w:val="24"/>
          <w:szCs w:val="24"/>
        </w:rPr>
        <w:t>R</w:t>
      </w:r>
      <w:r w:rsidR="00A47D20" w:rsidRPr="00A47D20">
        <w:rPr>
          <w:rFonts w:ascii="Times New Roman" w:hAnsi="Times New Roman" w:cs="Times New Roman"/>
          <w:sz w:val="24"/>
          <w:szCs w:val="24"/>
        </w:rPr>
        <w:t xml:space="preserve">isk </w:t>
      </w:r>
      <w:r w:rsidR="005F0934">
        <w:rPr>
          <w:rFonts w:ascii="Times New Roman" w:hAnsi="Times New Roman" w:cs="Times New Roman"/>
          <w:sz w:val="24"/>
          <w:szCs w:val="24"/>
        </w:rPr>
        <w:t>T</w:t>
      </w:r>
      <w:r w:rsidR="00A47D20" w:rsidRPr="00A47D20">
        <w:rPr>
          <w:rFonts w:ascii="Times New Roman" w:hAnsi="Times New Roman" w:cs="Times New Roman"/>
          <w:sz w:val="24"/>
          <w:szCs w:val="24"/>
        </w:rPr>
        <w:t>aking.</w:t>
      </w:r>
      <w:r w:rsidR="00FB7EEA">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D33483" w:rsidRPr="00CE7DFE">
        <w:rPr>
          <w:rFonts w:ascii="Times New Roman" w:hAnsi="Times New Roman" w:cs="Times New Roman"/>
          <w:i/>
          <w:sz w:val="24"/>
          <w:szCs w:val="24"/>
        </w:rPr>
        <w:t>Journal of Economic Dynamics and Control</w:t>
      </w:r>
      <w:r w:rsidR="00D33483" w:rsidRPr="00D33483">
        <w:rPr>
          <w:rFonts w:ascii="Times New Roman" w:hAnsi="Times New Roman" w:cs="Times New Roman"/>
          <w:sz w:val="24"/>
          <w:szCs w:val="24"/>
        </w:rPr>
        <w:t>,</w:t>
      </w:r>
      <w:r w:rsidR="00A47D20" w:rsidRPr="00A47D20">
        <w:rPr>
          <w:rFonts w:ascii="Times New Roman" w:hAnsi="Times New Roman" w:cs="Times New Roman"/>
          <w:sz w:val="24"/>
          <w:szCs w:val="24"/>
        </w:rPr>
        <w:t xml:space="preserve"> 43, 12</w:t>
      </w:r>
      <w:r w:rsidR="00AF5338">
        <w:rPr>
          <w:rFonts w:ascii="Times New Roman" w:hAnsi="Times New Roman" w:cs="Times New Roman"/>
          <w:sz w:val="24"/>
          <w:szCs w:val="24"/>
        </w:rPr>
        <w:t>-</w:t>
      </w:r>
      <w:r w:rsidR="00A47D20" w:rsidRPr="00A47D20">
        <w:rPr>
          <w:rFonts w:ascii="Times New Roman" w:hAnsi="Times New Roman" w:cs="Times New Roman"/>
          <w:sz w:val="24"/>
          <w:szCs w:val="24"/>
        </w:rPr>
        <w:t>30.</w:t>
      </w:r>
    </w:p>
    <w:p w14:paraId="2102ED89" w14:textId="7E902F3F" w:rsidR="00D95489" w:rsidRPr="00A47D20" w:rsidRDefault="00D95489"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 xml:space="preserve">Canova, Fabio, and </w:t>
      </w:r>
      <w:r w:rsidR="0094317E" w:rsidRPr="0094317E">
        <w:rPr>
          <w:rFonts w:ascii="Times New Roman" w:hAnsi="Times New Roman" w:cs="Times New Roman"/>
          <w:sz w:val="24"/>
          <w:szCs w:val="24"/>
        </w:rPr>
        <w:t>Gianni De Nicolo</w:t>
      </w:r>
      <w:r w:rsidR="00F01D4C">
        <w:rPr>
          <w:rFonts w:ascii="Times New Roman" w:hAnsi="Times New Roman" w:cs="Times New Roman"/>
          <w:sz w:val="24"/>
          <w:szCs w:val="24"/>
        </w:rPr>
        <w:t xml:space="preserve">. (2002) “Monetary Disturbances Matter for Business Fluctuations in the G-7.” </w:t>
      </w:r>
      <w:r w:rsidR="00F01D4C" w:rsidRPr="00F01D4C">
        <w:rPr>
          <w:rFonts w:ascii="Times New Roman" w:hAnsi="Times New Roman" w:cs="Times New Roman"/>
          <w:i/>
          <w:sz w:val="24"/>
          <w:szCs w:val="24"/>
        </w:rPr>
        <w:t>Journal of Monetary Economics</w:t>
      </w:r>
      <w:r w:rsidR="00F01D4C">
        <w:rPr>
          <w:rFonts w:ascii="Times New Roman" w:hAnsi="Times New Roman" w:cs="Times New Roman"/>
          <w:sz w:val="24"/>
          <w:szCs w:val="24"/>
        </w:rPr>
        <w:t>, 49, 1131-1159.</w:t>
      </w:r>
    </w:p>
    <w:p w14:paraId="1CCA55BF" w14:textId="77777777" w:rsidR="006A7817" w:rsidRDefault="006A781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541814">
        <w:rPr>
          <w:rFonts w:ascii="Times New Roman" w:hAnsi="Times New Roman" w:cs="Times New Roman"/>
          <w:sz w:val="24"/>
          <w:szCs w:val="24"/>
        </w:rPr>
        <w:t>Cao, Charles, Fan Yu, and Zhaodong Zhong</w:t>
      </w:r>
      <w:r w:rsidRPr="00A47D20">
        <w:rPr>
          <w:rFonts w:ascii="Times New Roman" w:hAnsi="Times New Roman" w:cs="Times New Roman"/>
          <w:sz w:val="24"/>
          <w:szCs w:val="24"/>
        </w:rPr>
        <w:t>.</w:t>
      </w:r>
      <w:r>
        <w:rPr>
          <w:rFonts w:ascii="Times New Roman" w:hAnsi="Times New Roman" w:cs="Times New Roman"/>
          <w:sz w:val="24"/>
          <w:szCs w:val="24"/>
        </w:rPr>
        <w:t xml:space="preserve"> (2010)</w:t>
      </w:r>
      <w:r w:rsidRPr="00A47D20">
        <w:rPr>
          <w:rFonts w:ascii="Times New Roman" w:hAnsi="Times New Roman" w:cs="Times New Roman"/>
          <w:sz w:val="24"/>
          <w:szCs w:val="24"/>
        </w:rPr>
        <w:t xml:space="preserve"> </w:t>
      </w:r>
      <w:r>
        <w:rPr>
          <w:rFonts w:ascii="Times New Roman" w:hAnsi="Times New Roman" w:cs="Times New Roman"/>
          <w:sz w:val="24"/>
          <w:szCs w:val="24"/>
        </w:rPr>
        <w:t>“</w:t>
      </w:r>
      <w:r w:rsidRPr="00A47D20">
        <w:rPr>
          <w:rFonts w:ascii="Times New Roman" w:hAnsi="Times New Roman" w:cs="Times New Roman"/>
          <w:sz w:val="24"/>
          <w:szCs w:val="24"/>
        </w:rPr>
        <w:t xml:space="preserve">The </w:t>
      </w:r>
      <w:r>
        <w:rPr>
          <w:rFonts w:ascii="Times New Roman" w:hAnsi="Times New Roman" w:cs="Times New Roman"/>
          <w:sz w:val="24"/>
          <w:szCs w:val="24"/>
        </w:rPr>
        <w:t>I</w:t>
      </w:r>
      <w:r w:rsidRPr="00A47D20">
        <w:rPr>
          <w:rFonts w:ascii="Times New Roman" w:hAnsi="Times New Roman" w:cs="Times New Roman"/>
          <w:sz w:val="24"/>
          <w:szCs w:val="24"/>
        </w:rPr>
        <w:t xml:space="preserve">nformation </w:t>
      </w:r>
      <w:r>
        <w:rPr>
          <w:rFonts w:ascii="Times New Roman" w:hAnsi="Times New Roman" w:cs="Times New Roman"/>
          <w:sz w:val="24"/>
          <w:szCs w:val="24"/>
        </w:rPr>
        <w:t>C</w:t>
      </w:r>
      <w:r w:rsidRPr="00A47D20">
        <w:rPr>
          <w:rFonts w:ascii="Times New Roman" w:hAnsi="Times New Roman" w:cs="Times New Roman"/>
          <w:sz w:val="24"/>
          <w:szCs w:val="24"/>
        </w:rPr>
        <w:t xml:space="preserve">ontent of </w:t>
      </w:r>
      <w:r>
        <w:rPr>
          <w:rFonts w:ascii="Times New Roman" w:hAnsi="Times New Roman" w:cs="Times New Roman"/>
          <w:sz w:val="24"/>
          <w:szCs w:val="24"/>
        </w:rPr>
        <w:t>O</w:t>
      </w:r>
      <w:r w:rsidRPr="00A47D20">
        <w:rPr>
          <w:rFonts w:ascii="Times New Roman" w:hAnsi="Times New Roman" w:cs="Times New Roman"/>
          <w:sz w:val="24"/>
          <w:szCs w:val="24"/>
        </w:rPr>
        <w:t>ption-</w:t>
      </w:r>
      <w:r>
        <w:rPr>
          <w:rFonts w:ascii="Times New Roman" w:hAnsi="Times New Roman" w:cs="Times New Roman"/>
          <w:sz w:val="24"/>
          <w:szCs w:val="24"/>
        </w:rPr>
        <w:t>I</w:t>
      </w:r>
      <w:r w:rsidRPr="00A47D20">
        <w:rPr>
          <w:rFonts w:ascii="Times New Roman" w:hAnsi="Times New Roman" w:cs="Times New Roman"/>
          <w:sz w:val="24"/>
          <w:szCs w:val="24"/>
        </w:rPr>
        <w:t xml:space="preserve">mplied </w:t>
      </w:r>
      <w:r>
        <w:rPr>
          <w:rFonts w:ascii="Times New Roman" w:hAnsi="Times New Roman" w:cs="Times New Roman"/>
          <w:sz w:val="24"/>
          <w:szCs w:val="24"/>
        </w:rPr>
        <w:t>V</w:t>
      </w:r>
      <w:r w:rsidRPr="00A47D20">
        <w:rPr>
          <w:rFonts w:ascii="Times New Roman" w:hAnsi="Times New Roman" w:cs="Times New Roman"/>
          <w:sz w:val="24"/>
          <w:szCs w:val="24"/>
        </w:rPr>
        <w:t xml:space="preserve">olatility for </w:t>
      </w:r>
      <w:r>
        <w:rPr>
          <w:rFonts w:ascii="Times New Roman" w:hAnsi="Times New Roman" w:cs="Times New Roman"/>
          <w:sz w:val="24"/>
          <w:szCs w:val="24"/>
        </w:rPr>
        <w:t>C</w:t>
      </w:r>
      <w:r w:rsidRPr="00A47D20">
        <w:rPr>
          <w:rFonts w:ascii="Times New Roman" w:hAnsi="Times New Roman" w:cs="Times New Roman"/>
          <w:sz w:val="24"/>
          <w:szCs w:val="24"/>
        </w:rPr>
        <w:t xml:space="preserve">redit </w:t>
      </w:r>
      <w:r>
        <w:rPr>
          <w:rFonts w:ascii="Times New Roman" w:hAnsi="Times New Roman" w:cs="Times New Roman"/>
          <w:sz w:val="24"/>
          <w:szCs w:val="24"/>
        </w:rPr>
        <w:t>D</w:t>
      </w:r>
      <w:r w:rsidRPr="00A47D20">
        <w:rPr>
          <w:rFonts w:ascii="Times New Roman" w:hAnsi="Times New Roman" w:cs="Times New Roman"/>
          <w:sz w:val="24"/>
          <w:szCs w:val="24"/>
        </w:rPr>
        <w:t xml:space="preserve">efault </w:t>
      </w:r>
      <w:r>
        <w:rPr>
          <w:rFonts w:ascii="Times New Roman" w:hAnsi="Times New Roman" w:cs="Times New Roman"/>
          <w:sz w:val="24"/>
          <w:szCs w:val="24"/>
        </w:rPr>
        <w:t>S</w:t>
      </w:r>
      <w:r w:rsidRPr="00A47D20">
        <w:rPr>
          <w:rFonts w:ascii="Times New Roman" w:hAnsi="Times New Roman" w:cs="Times New Roman"/>
          <w:sz w:val="24"/>
          <w:szCs w:val="24"/>
        </w:rPr>
        <w:t xml:space="preserve">wap </w:t>
      </w:r>
      <w:r>
        <w:rPr>
          <w:rFonts w:ascii="Times New Roman" w:hAnsi="Times New Roman" w:cs="Times New Roman"/>
          <w:sz w:val="24"/>
          <w:szCs w:val="24"/>
        </w:rPr>
        <w:t>V</w:t>
      </w:r>
      <w:r w:rsidRPr="00A47D20">
        <w:rPr>
          <w:rFonts w:ascii="Times New Roman" w:hAnsi="Times New Roman" w:cs="Times New Roman"/>
          <w:sz w:val="24"/>
          <w:szCs w:val="24"/>
        </w:rPr>
        <w:t>aluation.</w:t>
      </w:r>
      <w:r>
        <w:rPr>
          <w:rFonts w:ascii="Times New Roman" w:hAnsi="Times New Roman" w:cs="Times New Roman"/>
          <w:sz w:val="24"/>
          <w:szCs w:val="24"/>
        </w:rPr>
        <w:t>”</w:t>
      </w:r>
      <w:r w:rsidRPr="00A47D20">
        <w:rPr>
          <w:rFonts w:ascii="Times New Roman" w:hAnsi="Times New Roman" w:cs="Times New Roman"/>
          <w:sz w:val="24"/>
          <w:szCs w:val="24"/>
        </w:rPr>
        <w:t xml:space="preserve"> </w:t>
      </w:r>
      <w:r w:rsidRPr="00CE7DFE">
        <w:rPr>
          <w:rFonts w:ascii="Times New Roman" w:hAnsi="Times New Roman" w:cs="Times New Roman"/>
          <w:i/>
          <w:sz w:val="24"/>
          <w:szCs w:val="24"/>
        </w:rPr>
        <w:t>Journal of Financial Markets</w:t>
      </w:r>
      <w:r w:rsidRPr="00D33483">
        <w:rPr>
          <w:rFonts w:ascii="Times New Roman" w:hAnsi="Times New Roman" w:cs="Times New Roman"/>
          <w:sz w:val="24"/>
          <w:szCs w:val="24"/>
        </w:rPr>
        <w:t>,</w:t>
      </w:r>
      <w:r w:rsidRPr="00A47D20">
        <w:rPr>
          <w:rFonts w:ascii="Times New Roman" w:hAnsi="Times New Roman" w:cs="Times New Roman"/>
          <w:sz w:val="24"/>
          <w:szCs w:val="24"/>
        </w:rPr>
        <w:t xml:space="preserve"> 13, 321</w:t>
      </w:r>
      <w:r>
        <w:rPr>
          <w:rFonts w:ascii="Times New Roman" w:hAnsi="Times New Roman" w:cs="Times New Roman"/>
          <w:sz w:val="24"/>
          <w:szCs w:val="24"/>
        </w:rPr>
        <w:t>-</w:t>
      </w:r>
      <w:r w:rsidRPr="00A47D20">
        <w:rPr>
          <w:rFonts w:ascii="Times New Roman" w:hAnsi="Times New Roman" w:cs="Times New Roman"/>
          <w:sz w:val="24"/>
          <w:szCs w:val="24"/>
        </w:rPr>
        <w:t>343.</w:t>
      </w:r>
    </w:p>
    <w:p w14:paraId="4E04517A" w14:textId="194831FE" w:rsidR="00A47D20" w:rsidRPr="00A47D20" w:rsidRDefault="00AF5338"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F5338">
        <w:rPr>
          <w:rFonts w:ascii="Times New Roman" w:hAnsi="Times New Roman" w:cs="Times New Roman"/>
          <w:sz w:val="24"/>
          <w:szCs w:val="24"/>
        </w:rPr>
        <w:t>Cunningham, T</w:t>
      </w:r>
      <w:r w:rsidR="008F2639">
        <w:rPr>
          <w:rFonts w:ascii="Times New Roman" w:hAnsi="Times New Roman" w:cs="Times New Roman"/>
          <w:sz w:val="24"/>
          <w:szCs w:val="24"/>
        </w:rPr>
        <w:t>om</w:t>
      </w:r>
      <w:r w:rsidRPr="00AF5338">
        <w:rPr>
          <w:rFonts w:ascii="Times New Roman" w:hAnsi="Times New Roman" w:cs="Times New Roman"/>
          <w:sz w:val="24"/>
          <w:szCs w:val="24"/>
        </w:rPr>
        <w:t xml:space="preserve">. </w:t>
      </w:r>
      <w:r w:rsidR="00145235">
        <w:rPr>
          <w:rFonts w:ascii="Times New Roman" w:hAnsi="Times New Roman" w:cs="Times New Roman"/>
          <w:sz w:val="24"/>
          <w:szCs w:val="24"/>
        </w:rPr>
        <w:t>(</w:t>
      </w:r>
      <w:r w:rsidRPr="00AF5338">
        <w:rPr>
          <w:rFonts w:ascii="Times New Roman" w:hAnsi="Times New Roman" w:cs="Times New Roman"/>
          <w:sz w:val="24"/>
          <w:szCs w:val="24"/>
        </w:rPr>
        <w:t>2006</w:t>
      </w:r>
      <w:r w:rsidR="00145235">
        <w:rPr>
          <w:rFonts w:ascii="Times New Roman" w:hAnsi="Times New Roman" w:cs="Times New Roman"/>
          <w:sz w:val="24"/>
          <w:szCs w:val="24"/>
        </w:rPr>
        <w:t>)</w:t>
      </w:r>
      <w:r w:rsidRPr="00AF5338">
        <w:rPr>
          <w:rFonts w:ascii="Times New Roman" w:hAnsi="Times New Roman" w:cs="Times New Roman"/>
          <w:sz w:val="24"/>
          <w:szCs w:val="24"/>
        </w:rPr>
        <w:t xml:space="preserve"> </w:t>
      </w:r>
      <w:r w:rsidR="00145235">
        <w:rPr>
          <w:rFonts w:ascii="Times New Roman" w:hAnsi="Times New Roman" w:cs="Times New Roman"/>
          <w:sz w:val="24"/>
          <w:szCs w:val="24"/>
        </w:rPr>
        <w:t>“</w:t>
      </w:r>
      <w:r w:rsidRPr="00AF5338">
        <w:rPr>
          <w:rFonts w:ascii="Times New Roman" w:hAnsi="Times New Roman" w:cs="Times New Roman"/>
          <w:sz w:val="24"/>
          <w:szCs w:val="24"/>
        </w:rPr>
        <w:t xml:space="preserve">The </w:t>
      </w:r>
      <w:r w:rsidR="006300B9">
        <w:rPr>
          <w:rFonts w:ascii="Times New Roman" w:hAnsi="Times New Roman" w:cs="Times New Roman"/>
          <w:sz w:val="24"/>
          <w:szCs w:val="24"/>
        </w:rPr>
        <w:t>Predictive P</w:t>
      </w:r>
      <w:r w:rsidRPr="00AF5338">
        <w:rPr>
          <w:rFonts w:ascii="Times New Roman" w:hAnsi="Times New Roman" w:cs="Times New Roman"/>
          <w:sz w:val="24"/>
          <w:szCs w:val="24"/>
        </w:rPr>
        <w:t xml:space="preserve">ower of the </w:t>
      </w:r>
      <w:r w:rsidR="006300B9">
        <w:rPr>
          <w:rFonts w:ascii="Times New Roman" w:hAnsi="Times New Roman" w:cs="Times New Roman"/>
          <w:sz w:val="24"/>
          <w:szCs w:val="24"/>
        </w:rPr>
        <w:t>S</w:t>
      </w:r>
      <w:r w:rsidRPr="00AF5338">
        <w:rPr>
          <w:rFonts w:ascii="Times New Roman" w:hAnsi="Times New Roman" w:cs="Times New Roman"/>
          <w:sz w:val="24"/>
          <w:szCs w:val="24"/>
        </w:rPr>
        <w:t xml:space="preserve">enior </w:t>
      </w:r>
      <w:r w:rsidR="006300B9">
        <w:rPr>
          <w:rFonts w:ascii="Times New Roman" w:hAnsi="Times New Roman" w:cs="Times New Roman"/>
          <w:sz w:val="24"/>
          <w:szCs w:val="24"/>
        </w:rPr>
        <w:t>L</w:t>
      </w:r>
      <w:r w:rsidRPr="00AF5338">
        <w:rPr>
          <w:rFonts w:ascii="Times New Roman" w:hAnsi="Times New Roman" w:cs="Times New Roman"/>
          <w:sz w:val="24"/>
          <w:szCs w:val="24"/>
        </w:rPr>
        <w:t xml:space="preserve">oan </w:t>
      </w:r>
      <w:r w:rsidR="006300B9">
        <w:rPr>
          <w:rFonts w:ascii="Times New Roman" w:hAnsi="Times New Roman" w:cs="Times New Roman"/>
          <w:sz w:val="24"/>
          <w:szCs w:val="24"/>
        </w:rPr>
        <w:t>O</w:t>
      </w:r>
      <w:r w:rsidRPr="00AF5338">
        <w:rPr>
          <w:rFonts w:ascii="Times New Roman" w:hAnsi="Times New Roman" w:cs="Times New Roman"/>
          <w:sz w:val="24"/>
          <w:szCs w:val="24"/>
        </w:rPr>
        <w:t xml:space="preserve">fficer </w:t>
      </w:r>
      <w:r w:rsidR="006300B9">
        <w:rPr>
          <w:rFonts w:ascii="Times New Roman" w:hAnsi="Times New Roman" w:cs="Times New Roman"/>
          <w:sz w:val="24"/>
          <w:szCs w:val="24"/>
        </w:rPr>
        <w:t>S</w:t>
      </w:r>
      <w:r w:rsidRPr="00AF5338">
        <w:rPr>
          <w:rFonts w:ascii="Times New Roman" w:hAnsi="Times New Roman" w:cs="Times New Roman"/>
          <w:sz w:val="24"/>
          <w:szCs w:val="24"/>
        </w:rPr>
        <w:t xml:space="preserve">urvey: </w:t>
      </w:r>
      <w:r w:rsidR="006300B9">
        <w:rPr>
          <w:rFonts w:ascii="Times New Roman" w:hAnsi="Times New Roman" w:cs="Times New Roman"/>
          <w:sz w:val="24"/>
          <w:szCs w:val="24"/>
        </w:rPr>
        <w:t>D</w:t>
      </w:r>
      <w:r w:rsidRPr="00AF5338">
        <w:rPr>
          <w:rFonts w:ascii="Times New Roman" w:hAnsi="Times New Roman" w:cs="Times New Roman"/>
          <w:sz w:val="24"/>
          <w:szCs w:val="24"/>
        </w:rPr>
        <w:t xml:space="preserve">o </w:t>
      </w:r>
      <w:r w:rsidR="006300B9">
        <w:rPr>
          <w:rFonts w:ascii="Times New Roman" w:hAnsi="Times New Roman" w:cs="Times New Roman"/>
          <w:sz w:val="24"/>
          <w:szCs w:val="24"/>
        </w:rPr>
        <w:t>L</w:t>
      </w:r>
      <w:r w:rsidRPr="00AF5338">
        <w:rPr>
          <w:rFonts w:ascii="Times New Roman" w:hAnsi="Times New Roman" w:cs="Times New Roman"/>
          <w:sz w:val="24"/>
          <w:szCs w:val="24"/>
        </w:rPr>
        <w:t xml:space="preserve">ending </w:t>
      </w:r>
      <w:r w:rsidR="006300B9">
        <w:rPr>
          <w:rFonts w:ascii="Times New Roman" w:hAnsi="Times New Roman" w:cs="Times New Roman"/>
          <w:sz w:val="24"/>
          <w:szCs w:val="24"/>
        </w:rPr>
        <w:t>O</w:t>
      </w:r>
      <w:r w:rsidRPr="00AF5338">
        <w:rPr>
          <w:rFonts w:ascii="Times New Roman" w:hAnsi="Times New Roman" w:cs="Times New Roman"/>
          <w:sz w:val="24"/>
          <w:szCs w:val="24"/>
        </w:rPr>
        <w:t xml:space="preserve">fficers </w:t>
      </w:r>
      <w:r w:rsidR="006300B9">
        <w:rPr>
          <w:rFonts w:ascii="Times New Roman" w:hAnsi="Times New Roman" w:cs="Times New Roman"/>
          <w:sz w:val="24"/>
          <w:szCs w:val="24"/>
        </w:rPr>
        <w:t>K</w:t>
      </w:r>
      <w:r w:rsidRPr="00AF5338">
        <w:rPr>
          <w:rFonts w:ascii="Times New Roman" w:hAnsi="Times New Roman" w:cs="Times New Roman"/>
          <w:sz w:val="24"/>
          <w:szCs w:val="24"/>
        </w:rPr>
        <w:t xml:space="preserve">now </w:t>
      </w:r>
      <w:r w:rsidR="006300B9">
        <w:rPr>
          <w:rFonts w:ascii="Times New Roman" w:hAnsi="Times New Roman" w:cs="Times New Roman"/>
          <w:sz w:val="24"/>
          <w:szCs w:val="24"/>
        </w:rPr>
        <w:t>A</w:t>
      </w:r>
      <w:r w:rsidRPr="00AF5338">
        <w:rPr>
          <w:rFonts w:ascii="Times New Roman" w:hAnsi="Times New Roman" w:cs="Times New Roman"/>
          <w:sz w:val="24"/>
          <w:szCs w:val="24"/>
        </w:rPr>
        <w:t xml:space="preserve">nything </w:t>
      </w:r>
      <w:r w:rsidR="006300B9">
        <w:rPr>
          <w:rFonts w:ascii="Times New Roman" w:hAnsi="Times New Roman" w:cs="Times New Roman"/>
          <w:sz w:val="24"/>
          <w:szCs w:val="24"/>
        </w:rPr>
        <w:t>S</w:t>
      </w:r>
      <w:r w:rsidRPr="00AF5338">
        <w:rPr>
          <w:rFonts w:ascii="Times New Roman" w:hAnsi="Times New Roman" w:cs="Times New Roman"/>
          <w:sz w:val="24"/>
          <w:szCs w:val="24"/>
        </w:rPr>
        <w:t>pecial?</w:t>
      </w:r>
      <w:r w:rsidR="00145235">
        <w:rPr>
          <w:rFonts w:ascii="Times New Roman" w:hAnsi="Times New Roman" w:cs="Times New Roman"/>
          <w:sz w:val="24"/>
          <w:szCs w:val="24"/>
        </w:rPr>
        <w:t>”</w:t>
      </w:r>
      <w:r w:rsidR="00CB0BC3">
        <w:rPr>
          <w:rFonts w:ascii="Times New Roman" w:hAnsi="Times New Roman" w:cs="Times New Roman"/>
          <w:sz w:val="24"/>
          <w:szCs w:val="24"/>
        </w:rPr>
        <w:t xml:space="preserve"> </w:t>
      </w:r>
      <w:r w:rsidR="00803711" w:rsidRPr="00803711">
        <w:rPr>
          <w:rFonts w:ascii="Times New Roman" w:hAnsi="Times New Roman" w:cs="Times New Roman"/>
          <w:sz w:val="24"/>
          <w:szCs w:val="24"/>
        </w:rPr>
        <w:t xml:space="preserve">Federal Reserve Bank of Atlanta Working Paper </w:t>
      </w:r>
      <w:r w:rsidR="00803711">
        <w:rPr>
          <w:rFonts w:ascii="Times New Roman" w:hAnsi="Times New Roman" w:cs="Times New Roman"/>
          <w:sz w:val="24"/>
          <w:szCs w:val="24"/>
        </w:rPr>
        <w:t xml:space="preserve">No. </w:t>
      </w:r>
      <w:r w:rsidR="00803711" w:rsidRPr="00803711">
        <w:rPr>
          <w:rFonts w:ascii="Times New Roman" w:hAnsi="Times New Roman" w:cs="Times New Roman"/>
          <w:sz w:val="24"/>
          <w:szCs w:val="24"/>
        </w:rPr>
        <w:t>2006-24</w:t>
      </w:r>
      <w:r w:rsidR="00CB0BC3">
        <w:rPr>
          <w:rFonts w:ascii="Times New Roman" w:hAnsi="Times New Roman" w:cs="Times New Roman"/>
          <w:sz w:val="24"/>
          <w:szCs w:val="24"/>
        </w:rPr>
        <w:t>.</w:t>
      </w:r>
    </w:p>
    <w:p w14:paraId="16B6A185" w14:textId="77777777" w:rsidR="00A47D20" w:rsidRPr="00A47D20" w:rsidRDefault="000D321F"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D321F">
        <w:rPr>
          <w:rFonts w:ascii="Times New Roman" w:hAnsi="Times New Roman" w:cs="Times New Roman"/>
          <w:sz w:val="24"/>
          <w:szCs w:val="24"/>
        </w:rPr>
        <w:t xml:space="preserve">Dell’Ariccia, Giovanni, Luc Laeven, </w:t>
      </w:r>
      <w:r w:rsidR="00EB51F4">
        <w:rPr>
          <w:rFonts w:ascii="Times New Roman" w:hAnsi="Times New Roman" w:cs="Times New Roman"/>
          <w:sz w:val="24"/>
          <w:szCs w:val="24"/>
        </w:rPr>
        <w:t xml:space="preserve">and </w:t>
      </w:r>
      <w:r w:rsidRPr="000D321F">
        <w:rPr>
          <w:rFonts w:ascii="Times New Roman" w:hAnsi="Times New Roman" w:cs="Times New Roman"/>
          <w:sz w:val="24"/>
          <w:szCs w:val="24"/>
        </w:rPr>
        <w:t>Gustavo A. Suarez</w:t>
      </w:r>
      <w:r w:rsidR="0062176A" w:rsidRPr="0062176A">
        <w:rPr>
          <w:rFonts w:ascii="Times New Roman" w:hAnsi="Times New Roman" w:cs="Times New Roman"/>
          <w:sz w:val="24"/>
          <w:szCs w:val="24"/>
        </w:rPr>
        <w:t xml:space="preserve">. </w:t>
      </w:r>
      <w:r w:rsidR="00145235">
        <w:rPr>
          <w:rFonts w:ascii="Times New Roman" w:hAnsi="Times New Roman" w:cs="Times New Roman"/>
          <w:sz w:val="24"/>
          <w:szCs w:val="24"/>
        </w:rPr>
        <w:t>(</w:t>
      </w:r>
      <w:r w:rsidR="0062176A">
        <w:rPr>
          <w:rFonts w:ascii="Times New Roman" w:hAnsi="Times New Roman" w:cs="Times New Roman"/>
          <w:sz w:val="24"/>
          <w:szCs w:val="24"/>
        </w:rPr>
        <w:t>2017</w:t>
      </w:r>
      <w:r w:rsidR="00145235">
        <w:rPr>
          <w:rFonts w:ascii="Times New Roman" w:hAnsi="Times New Roman" w:cs="Times New Roman"/>
          <w:sz w:val="24"/>
          <w:szCs w:val="24"/>
        </w:rPr>
        <w:t>)</w:t>
      </w:r>
      <w:r w:rsidR="0062176A" w:rsidRPr="0062176A">
        <w:rPr>
          <w:rFonts w:ascii="Times New Roman" w:hAnsi="Times New Roman" w:cs="Times New Roman"/>
          <w:sz w:val="24"/>
          <w:szCs w:val="24"/>
        </w:rPr>
        <w:t xml:space="preserve"> </w:t>
      </w:r>
      <w:r w:rsidR="00145235">
        <w:rPr>
          <w:rFonts w:ascii="Times New Roman" w:hAnsi="Times New Roman" w:cs="Times New Roman"/>
          <w:sz w:val="24"/>
          <w:szCs w:val="24"/>
        </w:rPr>
        <w:t>“</w:t>
      </w:r>
      <w:r w:rsidR="0062176A" w:rsidRPr="0062176A">
        <w:rPr>
          <w:rFonts w:ascii="Times New Roman" w:hAnsi="Times New Roman" w:cs="Times New Roman"/>
          <w:sz w:val="24"/>
          <w:szCs w:val="24"/>
        </w:rPr>
        <w:t>Bank Leverage and Monetary Policy's Risk</w:t>
      </w:r>
      <w:r w:rsidR="0062176A" w:rsidRPr="0062176A">
        <w:rPr>
          <w:rFonts w:ascii="新細明體" w:hAnsi="新細明體" w:cs="新細明體" w:hint="eastAsia"/>
          <w:sz w:val="24"/>
          <w:szCs w:val="24"/>
        </w:rPr>
        <w:t>‐</w:t>
      </w:r>
      <w:r w:rsidR="0062176A" w:rsidRPr="0062176A">
        <w:rPr>
          <w:rFonts w:ascii="Times New Roman" w:hAnsi="Times New Roman" w:cs="Times New Roman"/>
          <w:sz w:val="24"/>
          <w:szCs w:val="24"/>
        </w:rPr>
        <w:t>Taking Channel: Evidence from the United States.</w:t>
      </w:r>
      <w:r w:rsidR="00145235">
        <w:rPr>
          <w:rFonts w:ascii="Times New Roman" w:hAnsi="Times New Roman" w:cs="Times New Roman"/>
          <w:sz w:val="24"/>
          <w:szCs w:val="24"/>
        </w:rPr>
        <w:t>”</w:t>
      </w:r>
      <w:r w:rsidR="0062176A" w:rsidRPr="0062176A">
        <w:rPr>
          <w:rFonts w:ascii="Times New Roman" w:hAnsi="Times New Roman" w:cs="Times New Roman"/>
          <w:sz w:val="24"/>
          <w:szCs w:val="24"/>
        </w:rPr>
        <w:t xml:space="preserve"> </w:t>
      </w:r>
      <w:r w:rsidR="00C67CB7" w:rsidRPr="00CE7DFE">
        <w:rPr>
          <w:rFonts w:ascii="Times New Roman" w:hAnsi="Times New Roman" w:cs="Times New Roman"/>
          <w:i/>
          <w:sz w:val="24"/>
          <w:szCs w:val="24"/>
        </w:rPr>
        <w:t>Journal of Finance</w:t>
      </w:r>
      <w:r w:rsidR="00C67CB7">
        <w:rPr>
          <w:rFonts w:ascii="Times New Roman" w:hAnsi="Times New Roman" w:cs="Times New Roman"/>
          <w:sz w:val="24"/>
          <w:szCs w:val="24"/>
        </w:rPr>
        <w:t>,</w:t>
      </w:r>
      <w:r w:rsidR="0062176A">
        <w:rPr>
          <w:rFonts w:ascii="Times New Roman" w:hAnsi="Times New Roman" w:cs="Times New Roman"/>
          <w:sz w:val="24"/>
          <w:szCs w:val="24"/>
        </w:rPr>
        <w:t xml:space="preserve"> 72, </w:t>
      </w:r>
      <w:r w:rsidR="0062176A" w:rsidRPr="0062176A">
        <w:rPr>
          <w:rFonts w:ascii="Times New Roman" w:hAnsi="Times New Roman" w:cs="Times New Roman"/>
          <w:sz w:val="24"/>
          <w:szCs w:val="24"/>
        </w:rPr>
        <w:t>613</w:t>
      </w:r>
      <w:r w:rsidR="0062176A">
        <w:rPr>
          <w:rFonts w:ascii="Times New Roman" w:hAnsi="Times New Roman" w:cs="Times New Roman"/>
          <w:sz w:val="24"/>
          <w:szCs w:val="24"/>
        </w:rPr>
        <w:t>-</w:t>
      </w:r>
      <w:r w:rsidR="0062176A" w:rsidRPr="0062176A">
        <w:rPr>
          <w:rFonts w:ascii="Times New Roman" w:hAnsi="Times New Roman" w:cs="Times New Roman"/>
          <w:sz w:val="24"/>
          <w:szCs w:val="24"/>
        </w:rPr>
        <w:t>654.</w:t>
      </w:r>
    </w:p>
    <w:p w14:paraId="775F29E1" w14:textId="77777777" w:rsidR="00A47D20" w:rsidRPr="00A47D20" w:rsidRDefault="002C216E"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2C216E">
        <w:rPr>
          <w:rFonts w:ascii="Times New Roman" w:hAnsi="Times New Roman" w:cs="Times New Roman"/>
          <w:sz w:val="24"/>
          <w:szCs w:val="24"/>
        </w:rPr>
        <w:t>Diamond, Douglas W., and Raghuram G. Rajan</w:t>
      </w:r>
      <w:r w:rsidR="0062176A" w:rsidRPr="0062176A">
        <w:rPr>
          <w:rFonts w:ascii="Times New Roman" w:hAnsi="Times New Roman" w:cs="Times New Roman"/>
          <w:sz w:val="24"/>
          <w:szCs w:val="24"/>
        </w:rPr>
        <w:t xml:space="preserve">. </w:t>
      </w:r>
      <w:r w:rsidR="00145235">
        <w:rPr>
          <w:rFonts w:ascii="Times New Roman" w:hAnsi="Times New Roman" w:cs="Times New Roman"/>
          <w:sz w:val="24"/>
          <w:szCs w:val="24"/>
        </w:rPr>
        <w:t>(</w:t>
      </w:r>
      <w:r w:rsidR="0062176A">
        <w:rPr>
          <w:rFonts w:ascii="Times New Roman" w:hAnsi="Times New Roman" w:cs="Times New Roman"/>
          <w:sz w:val="24"/>
          <w:szCs w:val="24"/>
        </w:rPr>
        <w:t>2</w:t>
      </w:r>
      <w:r w:rsidR="0062176A" w:rsidRPr="0062176A">
        <w:rPr>
          <w:rFonts w:ascii="Times New Roman" w:hAnsi="Times New Roman" w:cs="Times New Roman"/>
          <w:sz w:val="24"/>
          <w:szCs w:val="24"/>
        </w:rPr>
        <w:t>005</w:t>
      </w:r>
      <w:r w:rsidR="00145235">
        <w:rPr>
          <w:rFonts w:ascii="Times New Roman" w:hAnsi="Times New Roman" w:cs="Times New Roman"/>
          <w:sz w:val="24"/>
          <w:szCs w:val="24"/>
        </w:rPr>
        <w:t>)</w:t>
      </w:r>
      <w:r w:rsidR="0062176A" w:rsidRPr="0062176A">
        <w:rPr>
          <w:rFonts w:ascii="Times New Roman" w:hAnsi="Times New Roman" w:cs="Times New Roman"/>
          <w:sz w:val="24"/>
          <w:szCs w:val="24"/>
        </w:rPr>
        <w:t xml:space="preserve"> </w:t>
      </w:r>
      <w:r w:rsidR="00145235">
        <w:rPr>
          <w:rFonts w:ascii="Times New Roman" w:hAnsi="Times New Roman" w:cs="Times New Roman"/>
          <w:sz w:val="24"/>
          <w:szCs w:val="24"/>
        </w:rPr>
        <w:t>“</w:t>
      </w:r>
      <w:r w:rsidR="0062176A" w:rsidRPr="0062176A">
        <w:rPr>
          <w:rFonts w:ascii="Times New Roman" w:hAnsi="Times New Roman" w:cs="Times New Roman"/>
          <w:sz w:val="24"/>
          <w:szCs w:val="24"/>
        </w:rPr>
        <w:t xml:space="preserve">Liquidity </w:t>
      </w:r>
      <w:r w:rsidR="00682E1F">
        <w:rPr>
          <w:rFonts w:ascii="Times New Roman" w:hAnsi="Times New Roman" w:cs="Times New Roman"/>
          <w:sz w:val="24"/>
          <w:szCs w:val="24"/>
        </w:rPr>
        <w:t>S</w:t>
      </w:r>
      <w:r w:rsidR="0062176A" w:rsidRPr="0062176A">
        <w:rPr>
          <w:rFonts w:ascii="Times New Roman" w:hAnsi="Times New Roman" w:cs="Times New Roman"/>
          <w:sz w:val="24"/>
          <w:szCs w:val="24"/>
        </w:rPr>
        <w:t xml:space="preserve">hortages and </w:t>
      </w:r>
      <w:r w:rsidR="00682E1F">
        <w:rPr>
          <w:rFonts w:ascii="Times New Roman" w:hAnsi="Times New Roman" w:cs="Times New Roman"/>
          <w:sz w:val="24"/>
          <w:szCs w:val="24"/>
        </w:rPr>
        <w:t>B</w:t>
      </w:r>
      <w:r w:rsidR="0062176A" w:rsidRPr="0062176A">
        <w:rPr>
          <w:rFonts w:ascii="Times New Roman" w:hAnsi="Times New Roman" w:cs="Times New Roman"/>
          <w:sz w:val="24"/>
          <w:szCs w:val="24"/>
        </w:rPr>
        <w:t xml:space="preserve">anking </w:t>
      </w:r>
      <w:r w:rsidR="00682E1F">
        <w:rPr>
          <w:rFonts w:ascii="Times New Roman" w:hAnsi="Times New Roman" w:cs="Times New Roman"/>
          <w:sz w:val="24"/>
          <w:szCs w:val="24"/>
        </w:rPr>
        <w:t>C</w:t>
      </w:r>
      <w:r w:rsidR="0062176A" w:rsidRPr="0062176A">
        <w:rPr>
          <w:rFonts w:ascii="Times New Roman" w:hAnsi="Times New Roman" w:cs="Times New Roman"/>
          <w:sz w:val="24"/>
          <w:szCs w:val="24"/>
        </w:rPr>
        <w:t>rises.</w:t>
      </w:r>
      <w:r w:rsidR="00145235">
        <w:rPr>
          <w:rFonts w:ascii="Times New Roman" w:hAnsi="Times New Roman" w:cs="Times New Roman"/>
          <w:sz w:val="24"/>
          <w:szCs w:val="24"/>
        </w:rPr>
        <w:t>”</w:t>
      </w:r>
      <w:r w:rsidR="0062176A" w:rsidRPr="0062176A">
        <w:rPr>
          <w:rFonts w:ascii="Times New Roman" w:hAnsi="Times New Roman" w:cs="Times New Roman"/>
          <w:sz w:val="24"/>
          <w:szCs w:val="24"/>
        </w:rPr>
        <w:t xml:space="preserve"> </w:t>
      </w:r>
      <w:r w:rsidR="00C67CB7" w:rsidRPr="00CE7DFE">
        <w:rPr>
          <w:rFonts w:ascii="Times New Roman" w:hAnsi="Times New Roman" w:cs="Times New Roman"/>
          <w:i/>
          <w:sz w:val="24"/>
          <w:szCs w:val="24"/>
        </w:rPr>
        <w:t>Journal of Finance</w:t>
      </w:r>
      <w:r w:rsidR="00C67CB7">
        <w:rPr>
          <w:rFonts w:ascii="Times New Roman" w:hAnsi="Times New Roman" w:cs="Times New Roman"/>
          <w:sz w:val="24"/>
          <w:szCs w:val="24"/>
        </w:rPr>
        <w:t>,</w:t>
      </w:r>
      <w:r w:rsidR="0062176A" w:rsidRPr="0062176A">
        <w:rPr>
          <w:rFonts w:ascii="Times New Roman" w:hAnsi="Times New Roman" w:cs="Times New Roman"/>
          <w:sz w:val="24"/>
          <w:szCs w:val="24"/>
        </w:rPr>
        <w:t xml:space="preserve"> 60, 615-647.</w:t>
      </w:r>
    </w:p>
    <w:p w14:paraId="18D69048" w14:textId="77777777" w:rsidR="00014963" w:rsidRPr="00A47D20" w:rsidRDefault="00014963"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47D20">
        <w:rPr>
          <w:rFonts w:ascii="Times New Roman" w:hAnsi="Times New Roman" w:cs="Times New Roman"/>
          <w:sz w:val="24"/>
          <w:szCs w:val="24"/>
        </w:rPr>
        <w:lastRenderedPageBreak/>
        <w:t xml:space="preserve">Drechsler, </w:t>
      </w:r>
      <w:r w:rsidRPr="00014963">
        <w:rPr>
          <w:rFonts w:ascii="Times New Roman" w:hAnsi="Times New Roman" w:cs="Times New Roman"/>
          <w:sz w:val="24"/>
          <w:szCs w:val="24"/>
        </w:rPr>
        <w:t>Itamar</w:t>
      </w:r>
      <w:r w:rsidRPr="00A47D20">
        <w:rPr>
          <w:rFonts w:ascii="Times New Roman" w:hAnsi="Times New Roman" w:cs="Times New Roman"/>
          <w:sz w:val="24"/>
          <w:szCs w:val="24"/>
        </w:rPr>
        <w:t>.</w:t>
      </w:r>
      <w:r>
        <w:rPr>
          <w:rFonts w:ascii="Times New Roman" w:hAnsi="Times New Roman" w:cs="Times New Roman"/>
          <w:sz w:val="24"/>
          <w:szCs w:val="24"/>
        </w:rPr>
        <w:t xml:space="preserve"> (2013)</w:t>
      </w:r>
      <w:r w:rsidRPr="00A47D20">
        <w:rPr>
          <w:rFonts w:ascii="Times New Roman" w:hAnsi="Times New Roman" w:cs="Times New Roman"/>
          <w:sz w:val="24"/>
          <w:szCs w:val="24"/>
        </w:rPr>
        <w:t xml:space="preserve"> </w:t>
      </w:r>
      <w:r>
        <w:rPr>
          <w:rFonts w:ascii="Times New Roman" w:hAnsi="Times New Roman" w:cs="Times New Roman"/>
          <w:sz w:val="24"/>
          <w:szCs w:val="24"/>
        </w:rPr>
        <w:t>“</w:t>
      </w:r>
      <w:r w:rsidRPr="00A47D20">
        <w:rPr>
          <w:rFonts w:ascii="Times New Roman" w:hAnsi="Times New Roman" w:cs="Times New Roman"/>
          <w:sz w:val="24"/>
          <w:szCs w:val="24"/>
        </w:rPr>
        <w:t xml:space="preserve">Uncertainty, </w:t>
      </w:r>
      <w:r>
        <w:rPr>
          <w:rFonts w:ascii="Times New Roman" w:hAnsi="Times New Roman" w:cs="Times New Roman"/>
          <w:sz w:val="24"/>
          <w:szCs w:val="24"/>
        </w:rPr>
        <w:t>T</w:t>
      </w:r>
      <w:r w:rsidRPr="00A47D20">
        <w:rPr>
          <w:rFonts w:ascii="Times New Roman" w:hAnsi="Times New Roman" w:cs="Times New Roman"/>
          <w:sz w:val="24"/>
          <w:szCs w:val="24"/>
        </w:rPr>
        <w:t>ime-</w:t>
      </w:r>
      <w:r>
        <w:rPr>
          <w:rFonts w:ascii="Times New Roman" w:hAnsi="Times New Roman" w:cs="Times New Roman"/>
          <w:sz w:val="24"/>
          <w:szCs w:val="24"/>
        </w:rPr>
        <w:t>V</w:t>
      </w:r>
      <w:r w:rsidRPr="00A47D20">
        <w:rPr>
          <w:rFonts w:ascii="Times New Roman" w:hAnsi="Times New Roman" w:cs="Times New Roman"/>
          <w:sz w:val="24"/>
          <w:szCs w:val="24"/>
        </w:rPr>
        <w:t xml:space="preserve">arying </w:t>
      </w:r>
      <w:r>
        <w:rPr>
          <w:rFonts w:ascii="Times New Roman" w:hAnsi="Times New Roman" w:cs="Times New Roman"/>
          <w:sz w:val="24"/>
          <w:szCs w:val="24"/>
        </w:rPr>
        <w:t>F</w:t>
      </w:r>
      <w:r w:rsidRPr="00A47D20">
        <w:rPr>
          <w:rFonts w:ascii="Times New Roman" w:hAnsi="Times New Roman" w:cs="Times New Roman"/>
          <w:sz w:val="24"/>
          <w:szCs w:val="24"/>
        </w:rPr>
        <w:t xml:space="preserve">ear, and </w:t>
      </w:r>
      <w:r>
        <w:rPr>
          <w:rFonts w:ascii="Times New Roman" w:hAnsi="Times New Roman" w:cs="Times New Roman"/>
          <w:sz w:val="24"/>
          <w:szCs w:val="24"/>
        </w:rPr>
        <w:t>A</w:t>
      </w:r>
      <w:r w:rsidRPr="00A47D20">
        <w:rPr>
          <w:rFonts w:ascii="Times New Roman" w:hAnsi="Times New Roman" w:cs="Times New Roman"/>
          <w:sz w:val="24"/>
          <w:szCs w:val="24"/>
        </w:rPr>
        <w:t xml:space="preserve">sset </w:t>
      </w:r>
      <w:r>
        <w:rPr>
          <w:rFonts w:ascii="Times New Roman" w:hAnsi="Times New Roman" w:cs="Times New Roman"/>
          <w:sz w:val="24"/>
          <w:szCs w:val="24"/>
        </w:rPr>
        <w:t>P</w:t>
      </w:r>
      <w:r w:rsidRPr="00A47D20">
        <w:rPr>
          <w:rFonts w:ascii="Times New Roman" w:hAnsi="Times New Roman" w:cs="Times New Roman"/>
          <w:sz w:val="24"/>
          <w:szCs w:val="24"/>
        </w:rPr>
        <w:t>rices.</w:t>
      </w:r>
      <w:r>
        <w:rPr>
          <w:rFonts w:ascii="Times New Roman" w:hAnsi="Times New Roman" w:cs="Times New Roman"/>
          <w:sz w:val="24"/>
          <w:szCs w:val="24"/>
        </w:rPr>
        <w:t>”</w:t>
      </w:r>
      <w:r w:rsidRPr="00A47D20">
        <w:rPr>
          <w:rFonts w:ascii="Times New Roman" w:hAnsi="Times New Roman" w:cs="Times New Roman"/>
          <w:sz w:val="24"/>
          <w:szCs w:val="24"/>
        </w:rPr>
        <w:t xml:space="preserve"> </w:t>
      </w:r>
      <w:r w:rsidRPr="00CE7DFE">
        <w:rPr>
          <w:rFonts w:ascii="Times New Roman" w:hAnsi="Times New Roman" w:cs="Times New Roman"/>
          <w:i/>
          <w:sz w:val="24"/>
          <w:szCs w:val="24"/>
        </w:rPr>
        <w:t>Journal of Finance</w:t>
      </w:r>
      <w:r>
        <w:rPr>
          <w:rFonts w:ascii="Times New Roman" w:hAnsi="Times New Roman" w:cs="Times New Roman"/>
          <w:sz w:val="24"/>
          <w:szCs w:val="24"/>
        </w:rPr>
        <w:t>,</w:t>
      </w:r>
      <w:r w:rsidRPr="00A47D20">
        <w:rPr>
          <w:rFonts w:ascii="Times New Roman" w:hAnsi="Times New Roman" w:cs="Times New Roman"/>
          <w:sz w:val="24"/>
          <w:szCs w:val="24"/>
        </w:rPr>
        <w:t xml:space="preserve"> 68, 1843</w:t>
      </w:r>
      <w:r>
        <w:rPr>
          <w:rFonts w:ascii="Times New Roman" w:hAnsi="Times New Roman" w:cs="Times New Roman"/>
          <w:sz w:val="24"/>
          <w:szCs w:val="24"/>
        </w:rPr>
        <w:t>-</w:t>
      </w:r>
      <w:r w:rsidRPr="00A47D20">
        <w:rPr>
          <w:rFonts w:ascii="Times New Roman" w:hAnsi="Times New Roman" w:cs="Times New Roman"/>
          <w:sz w:val="24"/>
          <w:szCs w:val="24"/>
        </w:rPr>
        <w:t>1889.</w:t>
      </w:r>
    </w:p>
    <w:p w14:paraId="7A69D13A" w14:textId="77777777" w:rsidR="00A47D20" w:rsidRPr="00A47D20" w:rsidRDefault="00014963"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14963">
        <w:rPr>
          <w:rFonts w:ascii="Times New Roman" w:hAnsi="Times New Roman" w:cs="Times New Roman"/>
          <w:sz w:val="24"/>
          <w:szCs w:val="24"/>
        </w:rPr>
        <w:t>Drechsler, Itamar, and Amir Yaron</w:t>
      </w:r>
      <w:r w:rsidR="00A47D20" w:rsidRPr="00A47D20">
        <w:rPr>
          <w:rFonts w:ascii="Times New Roman" w:hAnsi="Times New Roman" w:cs="Times New Roman"/>
          <w:sz w:val="24"/>
          <w:szCs w:val="24"/>
        </w:rPr>
        <w:t>.</w:t>
      </w:r>
      <w:r w:rsidR="00703A44">
        <w:rPr>
          <w:rFonts w:ascii="Times New Roman" w:hAnsi="Times New Roman" w:cs="Times New Roman"/>
          <w:sz w:val="24"/>
          <w:szCs w:val="24"/>
        </w:rPr>
        <w:t xml:space="preserve"> </w:t>
      </w:r>
      <w:r w:rsidR="00145235">
        <w:rPr>
          <w:rFonts w:ascii="Times New Roman" w:hAnsi="Times New Roman" w:cs="Times New Roman"/>
          <w:sz w:val="24"/>
          <w:szCs w:val="24"/>
        </w:rPr>
        <w:t>(</w:t>
      </w:r>
      <w:r w:rsidR="00703A44">
        <w:rPr>
          <w:rFonts w:ascii="Times New Roman" w:hAnsi="Times New Roman" w:cs="Times New Roman"/>
          <w:sz w:val="24"/>
          <w:szCs w:val="24"/>
        </w:rPr>
        <w:t>2011</w:t>
      </w:r>
      <w:r w:rsidR="00145235">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145235">
        <w:rPr>
          <w:rFonts w:ascii="Times New Roman" w:hAnsi="Times New Roman" w:cs="Times New Roman"/>
          <w:sz w:val="24"/>
          <w:szCs w:val="24"/>
        </w:rPr>
        <w:t>“</w:t>
      </w:r>
      <w:r w:rsidR="00A47D20" w:rsidRPr="00A47D20">
        <w:rPr>
          <w:rFonts w:ascii="Times New Roman" w:hAnsi="Times New Roman" w:cs="Times New Roman"/>
          <w:sz w:val="24"/>
          <w:szCs w:val="24"/>
        </w:rPr>
        <w:t xml:space="preserve">What’s </w:t>
      </w:r>
      <w:r w:rsidR="00105CFB">
        <w:rPr>
          <w:rFonts w:ascii="Times New Roman" w:hAnsi="Times New Roman" w:cs="Times New Roman"/>
          <w:sz w:val="24"/>
          <w:szCs w:val="24"/>
        </w:rPr>
        <w:t>V</w:t>
      </w:r>
      <w:r w:rsidR="00A47D20" w:rsidRPr="00A47D20">
        <w:rPr>
          <w:rFonts w:ascii="Times New Roman" w:hAnsi="Times New Roman" w:cs="Times New Roman"/>
          <w:sz w:val="24"/>
          <w:szCs w:val="24"/>
        </w:rPr>
        <w:t xml:space="preserve">ol </w:t>
      </w:r>
      <w:r w:rsidR="00105CFB">
        <w:rPr>
          <w:rFonts w:ascii="Times New Roman" w:hAnsi="Times New Roman" w:cs="Times New Roman"/>
          <w:sz w:val="24"/>
          <w:szCs w:val="24"/>
        </w:rPr>
        <w:t>G</w:t>
      </w:r>
      <w:r w:rsidR="00A47D20" w:rsidRPr="00A47D20">
        <w:rPr>
          <w:rFonts w:ascii="Times New Roman" w:hAnsi="Times New Roman" w:cs="Times New Roman"/>
          <w:sz w:val="24"/>
          <w:szCs w:val="24"/>
        </w:rPr>
        <w:t xml:space="preserve">ot to </w:t>
      </w:r>
      <w:r w:rsidR="00105CFB">
        <w:rPr>
          <w:rFonts w:ascii="Times New Roman" w:hAnsi="Times New Roman" w:cs="Times New Roman"/>
          <w:sz w:val="24"/>
          <w:szCs w:val="24"/>
        </w:rPr>
        <w:t>D</w:t>
      </w:r>
      <w:r w:rsidR="00A47D20" w:rsidRPr="00A47D20">
        <w:rPr>
          <w:rFonts w:ascii="Times New Roman" w:hAnsi="Times New Roman" w:cs="Times New Roman"/>
          <w:sz w:val="24"/>
          <w:szCs w:val="24"/>
        </w:rPr>
        <w:t xml:space="preserve">o with </w:t>
      </w:r>
      <w:r w:rsidR="00105CFB">
        <w:rPr>
          <w:rFonts w:ascii="Times New Roman" w:hAnsi="Times New Roman" w:cs="Times New Roman"/>
          <w:sz w:val="24"/>
          <w:szCs w:val="24"/>
        </w:rPr>
        <w:t>I</w:t>
      </w:r>
      <w:r w:rsidR="00A47D20" w:rsidRPr="00A47D20">
        <w:rPr>
          <w:rFonts w:ascii="Times New Roman" w:hAnsi="Times New Roman" w:cs="Times New Roman"/>
          <w:sz w:val="24"/>
          <w:szCs w:val="24"/>
        </w:rPr>
        <w:t>t.</w:t>
      </w:r>
      <w:r w:rsidR="00145235">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D33483" w:rsidRPr="00CE7DFE">
        <w:rPr>
          <w:rFonts w:ascii="Times New Roman" w:hAnsi="Times New Roman" w:cs="Times New Roman"/>
          <w:i/>
          <w:sz w:val="24"/>
          <w:szCs w:val="24"/>
        </w:rPr>
        <w:t>Review of Financial Studies</w:t>
      </w:r>
      <w:r w:rsidR="00D33483" w:rsidRPr="00D33483">
        <w:rPr>
          <w:rFonts w:ascii="Times New Roman" w:hAnsi="Times New Roman" w:cs="Times New Roman"/>
          <w:sz w:val="24"/>
          <w:szCs w:val="24"/>
        </w:rPr>
        <w:t>,</w:t>
      </w:r>
      <w:r w:rsidR="00A47D20" w:rsidRPr="00A47D20">
        <w:rPr>
          <w:rFonts w:ascii="Times New Roman" w:hAnsi="Times New Roman" w:cs="Times New Roman"/>
          <w:sz w:val="24"/>
          <w:szCs w:val="24"/>
        </w:rPr>
        <w:t xml:space="preserve"> 24, 1</w:t>
      </w:r>
      <w:r w:rsidR="00703A44">
        <w:rPr>
          <w:rFonts w:ascii="Times New Roman" w:hAnsi="Times New Roman" w:cs="Times New Roman"/>
          <w:sz w:val="24"/>
          <w:szCs w:val="24"/>
        </w:rPr>
        <w:t>-</w:t>
      </w:r>
      <w:r w:rsidR="00A47D20" w:rsidRPr="00A47D20">
        <w:rPr>
          <w:rFonts w:ascii="Times New Roman" w:hAnsi="Times New Roman" w:cs="Times New Roman"/>
          <w:sz w:val="24"/>
          <w:szCs w:val="24"/>
        </w:rPr>
        <w:t>45.</w:t>
      </w:r>
    </w:p>
    <w:p w14:paraId="52C975F8" w14:textId="5966451F" w:rsidR="00A47D20" w:rsidRDefault="00014963"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14963">
        <w:rPr>
          <w:rFonts w:ascii="Times New Roman" w:hAnsi="Times New Roman" w:cs="Times New Roman"/>
          <w:sz w:val="24"/>
          <w:szCs w:val="24"/>
        </w:rPr>
        <w:t>Ericsson, Jan, and Babak Lotfaliei</w:t>
      </w:r>
      <w:r w:rsidR="00D01DFB" w:rsidRPr="00D01DFB">
        <w:rPr>
          <w:rFonts w:ascii="Times New Roman" w:hAnsi="Times New Roman" w:cs="Times New Roman"/>
          <w:sz w:val="24"/>
          <w:szCs w:val="24"/>
        </w:rPr>
        <w:t xml:space="preserve">. </w:t>
      </w:r>
      <w:r w:rsidR="00145235">
        <w:rPr>
          <w:rFonts w:ascii="Times New Roman" w:hAnsi="Times New Roman" w:cs="Times New Roman"/>
          <w:sz w:val="24"/>
          <w:szCs w:val="24"/>
        </w:rPr>
        <w:t>(</w:t>
      </w:r>
      <w:r w:rsidR="00D01DFB" w:rsidRPr="00D01DFB">
        <w:rPr>
          <w:rFonts w:ascii="Times New Roman" w:hAnsi="Times New Roman" w:cs="Times New Roman"/>
          <w:sz w:val="24"/>
          <w:szCs w:val="24"/>
        </w:rPr>
        <w:t>201</w:t>
      </w:r>
      <w:r w:rsidR="00470B9F">
        <w:rPr>
          <w:rFonts w:ascii="Times New Roman" w:hAnsi="Times New Roman" w:cs="Times New Roman"/>
          <w:sz w:val="24"/>
          <w:szCs w:val="24"/>
        </w:rPr>
        <w:t>7</w:t>
      </w:r>
      <w:r w:rsidR="00145235">
        <w:rPr>
          <w:rFonts w:ascii="Times New Roman" w:hAnsi="Times New Roman" w:cs="Times New Roman"/>
          <w:sz w:val="24"/>
          <w:szCs w:val="24"/>
        </w:rPr>
        <w:t>)</w:t>
      </w:r>
      <w:r w:rsidR="00D01DFB" w:rsidRPr="00D01DFB">
        <w:rPr>
          <w:rFonts w:ascii="Times New Roman" w:hAnsi="Times New Roman" w:cs="Times New Roman"/>
          <w:sz w:val="24"/>
          <w:szCs w:val="24"/>
        </w:rPr>
        <w:t xml:space="preserve"> </w:t>
      </w:r>
      <w:r w:rsidR="00145235">
        <w:rPr>
          <w:rFonts w:ascii="Times New Roman" w:hAnsi="Times New Roman" w:cs="Times New Roman"/>
          <w:sz w:val="24"/>
          <w:szCs w:val="24"/>
        </w:rPr>
        <w:t>“</w:t>
      </w:r>
      <w:r w:rsidR="00470B9F">
        <w:rPr>
          <w:rFonts w:ascii="Times New Roman" w:hAnsi="Times New Roman" w:cs="Times New Roman"/>
          <w:sz w:val="24"/>
          <w:szCs w:val="24"/>
        </w:rPr>
        <w:t xml:space="preserve">The </w:t>
      </w:r>
      <w:r w:rsidR="00D01DFB" w:rsidRPr="00D01DFB">
        <w:rPr>
          <w:rFonts w:ascii="Times New Roman" w:hAnsi="Times New Roman" w:cs="Times New Roman"/>
          <w:sz w:val="24"/>
          <w:szCs w:val="24"/>
        </w:rPr>
        <w:t>Variance Risk Premium and Investment Uncertainty.</w:t>
      </w:r>
      <w:r w:rsidR="00145235">
        <w:rPr>
          <w:rFonts w:ascii="Times New Roman" w:hAnsi="Times New Roman" w:cs="Times New Roman"/>
          <w:sz w:val="24"/>
          <w:szCs w:val="24"/>
        </w:rPr>
        <w:t>”</w:t>
      </w:r>
      <w:r w:rsidR="00D01DFB">
        <w:rPr>
          <w:rFonts w:ascii="Times New Roman" w:hAnsi="Times New Roman" w:cs="Times New Roman"/>
          <w:sz w:val="24"/>
          <w:szCs w:val="24"/>
        </w:rPr>
        <w:t xml:space="preserve"> </w:t>
      </w:r>
      <w:r w:rsidR="00E2661E" w:rsidRPr="00E2661E">
        <w:rPr>
          <w:rFonts w:ascii="Times New Roman" w:hAnsi="Times New Roman" w:cs="Times New Roman"/>
          <w:sz w:val="24"/>
          <w:szCs w:val="24"/>
        </w:rPr>
        <w:t xml:space="preserve">McGill University </w:t>
      </w:r>
      <w:r w:rsidR="00D01DFB">
        <w:rPr>
          <w:rFonts w:ascii="Times New Roman" w:hAnsi="Times New Roman" w:cs="Times New Roman"/>
          <w:sz w:val="24"/>
          <w:szCs w:val="24"/>
        </w:rPr>
        <w:t>Working Paper.</w:t>
      </w:r>
    </w:p>
    <w:p w14:paraId="0E5B53C4" w14:textId="2FDA1623" w:rsidR="00ED4A05" w:rsidRDefault="00ED4A05"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 xml:space="preserve">Fama, Eugene F., and Kenneth R. French. (1989) “Business Conditions and Expected Returns on Stocks and Bonds.” </w:t>
      </w:r>
      <w:r w:rsidRPr="00BC02C7">
        <w:rPr>
          <w:rFonts w:ascii="Times New Roman" w:hAnsi="Times New Roman" w:cs="Times New Roman"/>
          <w:i/>
          <w:sz w:val="24"/>
          <w:szCs w:val="24"/>
        </w:rPr>
        <w:t>Journal of Financial Economics</w:t>
      </w:r>
      <w:r>
        <w:rPr>
          <w:rFonts w:ascii="Times New Roman" w:hAnsi="Times New Roman" w:cs="Times New Roman"/>
          <w:sz w:val="24"/>
          <w:szCs w:val="24"/>
        </w:rPr>
        <w:t>, 25, 23-49.</w:t>
      </w:r>
    </w:p>
    <w:p w14:paraId="5C901BF3" w14:textId="5E47D325" w:rsidR="003C1592" w:rsidRDefault="003C1592"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Fry, Renee</w:t>
      </w:r>
      <w:r w:rsidR="00703C30">
        <w:rPr>
          <w:rFonts w:ascii="Times New Roman" w:hAnsi="Times New Roman" w:cs="Times New Roman"/>
          <w:sz w:val="24"/>
          <w:szCs w:val="24"/>
        </w:rPr>
        <w:t xml:space="preserve">, and Adrian Pagan. (2011) “Sign Restrictions in Structural Vector Autoregressions: A Critical Review.” </w:t>
      </w:r>
      <w:r w:rsidR="00703C30" w:rsidRPr="00BC02C7">
        <w:rPr>
          <w:rFonts w:ascii="Times New Roman" w:hAnsi="Times New Roman" w:cs="Times New Roman"/>
          <w:i/>
          <w:sz w:val="24"/>
          <w:szCs w:val="24"/>
        </w:rPr>
        <w:t>Journal of Economic Literature</w:t>
      </w:r>
      <w:r w:rsidR="00703C30">
        <w:rPr>
          <w:rFonts w:ascii="Times New Roman" w:hAnsi="Times New Roman" w:cs="Times New Roman"/>
          <w:sz w:val="24"/>
          <w:szCs w:val="24"/>
        </w:rPr>
        <w:t>, 49, 938-960.</w:t>
      </w:r>
    </w:p>
    <w:p w14:paraId="15BF993E" w14:textId="4E541B91" w:rsidR="00D95489" w:rsidRPr="00A47D20" w:rsidRDefault="00D95489"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Gambetti, Luca</w:t>
      </w:r>
      <w:r w:rsidR="00703C30">
        <w:rPr>
          <w:rFonts w:ascii="Times New Roman" w:hAnsi="Times New Roman" w:cs="Times New Roman"/>
          <w:sz w:val="24"/>
          <w:szCs w:val="24"/>
        </w:rPr>
        <w:t>,</w:t>
      </w:r>
      <w:r>
        <w:rPr>
          <w:rFonts w:ascii="Times New Roman" w:hAnsi="Times New Roman" w:cs="Times New Roman"/>
          <w:sz w:val="24"/>
          <w:szCs w:val="24"/>
        </w:rPr>
        <w:t xml:space="preserve"> and Alberto</w:t>
      </w:r>
      <w:r w:rsidR="0010013E">
        <w:rPr>
          <w:rFonts w:ascii="Times New Roman" w:hAnsi="Times New Roman" w:cs="Times New Roman"/>
          <w:sz w:val="24"/>
          <w:szCs w:val="24"/>
        </w:rPr>
        <w:t xml:space="preserve"> Musso</w:t>
      </w:r>
      <w:r>
        <w:rPr>
          <w:rFonts w:ascii="Times New Roman" w:hAnsi="Times New Roman" w:cs="Times New Roman"/>
          <w:sz w:val="24"/>
          <w:szCs w:val="24"/>
        </w:rPr>
        <w:t xml:space="preserve">. (2017) “Loan Supply Shocks and the Business Cycle.” </w:t>
      </w:r>
      <w:r w:rsidRPr="00D95489">
        <w:rPr>
          <w:rFonts w:ascii="Times New Roman" w:hAnsi="Times New Roman" w:cs="Times New Roman"/>
          <w:i/>
          <w:sz w:val="24"/>
          <w:szCs w:val="24"/>
        </w:rPr>
        <w:t>Journal of Applied Econometrics</w:t>
      </w:r>
      <w:r>
        <w:rPr>
          <w:rFonts w:ascii="Times New Roman" w:hAnsi="Times New Roman" w:cs="Times New Roman"/>
          <w:sz w:val="24"/>
          <w:szCs w:val="24"/>
        </w:rPr>
        <w:t>, 32, 764-782.</w:t>
      </w:r>
    </w:p>
    <w:p w14:paraId="258B7338" w14:textId="77777777" w:rsidR="00A47D20" w:rsidRDefault="00A47D20"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47D20">
        <w:rPr>
          <w:rFonts w:ascii="Times New Roman" w:hAnsi="Times New Roman" w:cs="Times New Roman"/>
          <w:sz w:val="24"/>
          <w:szCs w:val="24"/>
        </w:rPr>
        <w:t xml:space="preserve">Hirtle, </w:t>
      </w:r>
      <w:r w:rsidR="00F90E27" w:rsidRPr="00F90E27">
        <w:rPr>
          <w:rFonts w:ascii="Times New Roman" w:hAnsi="Times New Roman" w:cs="Times New Roman"/>
          <w:sz w:val="24"/>
          <w:szCs w:val="24"/>
        </w:rPr>
        <w:t>Beverly</w:t>
      </w:r>
      <w:r w:rsidRPr="00A47D20">
        <w:rPr>
          <w:rFonts w:ascii="Times New Roman" w:hAnsi="Times New Roman" w:cs="Times New Roman"/>
          <w:sz w:val="24"/>
          <w:szCs w:val="24"/>
        </w:rPr>
        <w:t>.</w:t>
      </w:r>
      <w:r w:rsidR="00057A26">
        <w:rPr>
          <w:rFonts w:ascii="Times New Roman" w:hAnsi="Times New Roman" w:cs="Times New Roman"/>
          <w:sz w:val="24"/>
          <w:szCs w:val="24"/>
        </w:rPr>
        <w:t xml:space="preserve"> </w:t>
      </w:r>
      <w:r w:rsidR="005D7F57">
        <w:rPr>
          <w:rFonts w:ascii="Times New Roman" w:hAnsi="Times New Roman" w:cs="Times New Roman"/>
          <w:sz w:val="24"/>
          <w:szCs w:val="24"/>
        </w:rPr>
        <w:t>(</w:t>
      </w:r>
      <w:r w:rsidR="00057A26">
        <w:rPr>
          <w:rFonts w:ascii="Times New Roman" w:hAnsi="Times New Roman" w:cs="Times New Roman"/>
          <w:sz w:val="24"/>
          <w:szCs w:val="24"/>
        </w:rPr>
        <w:t>2009</w:t>
      </w:r>
      <w:r w:rsidR="005D7F57">
        <w:rPr>
          <w:rFonts w:ascii="Times New Roman" w:hAnsi="Times New Roman" w:cs="Times New Roman"/>
          <w:sz w:val="24"/>
          <w:szCs w:val="24"/>
        </w:rPr>
        <w:t>)</w:t>
      </w:r>
      <w:r w:rsidRPr="00A47D20">
        <w:rPr>
          <w:rFonts w:ascii="Times New Roman" w:hAnsi="Times New Roman" w:cs="Times New Roman"/>
          <w:sz w:val="24"/>
          <w:szCs w:val="24"/>
        </w:rPr>
        <w:t xml:space="preserve"> </w:t>
      </w:r>
      <w:r w:rsidR="005D7F57">
        <w:rPr>
          <w:rFonts w:ascii="Times New Roman" w:hAnsi="Times New Roman" w:cs="Times New Roman"/>
          <w:sz w:val="24"/>
          <w:szCs w:val="24"/>
        </w:rPr>
        <w:t>“</w:t>
      </w:r>
      <w:r w:rsidRPr="00A47D20">
        <w:rPr>
          <w:rFonts w:ascii="Times New Roman" w:hAnsi="Times New Roman" w:cs="Times New Roman"/>
          <w:sz w:val="24"/>
          <w:szCs w:val="24"/>
        </w:rPr>
        <w:t xml:space="preserve">Credit </w:t>
      </w:r>
      <w:r w:rsidR="00F50D3D">
        <w:rPr>
          <w:rFonts w:ascii="Times New Roman" w:hAnsi="Times New Roman" w:cs="Times New Roman"/>
          <w:sz w:val="24"/>
          <w:szCs w:val="24"/>
        </w:rPr>
        <w:t>D</w:t>
      </w:r>
      <w:r w:rsidRPr="00A47D20">
        <w:rPr>
          <w:rFonts w:ascii="Times New Roman" w:hAnsi="Times New Roman" w:cs="Times New Roman"/>
          <w:sz w:val="24"/>
          <w:szCs w:val="24"/>
        </w:rPr>
        <w:t xml:space="preserve">erivatives and </w:t>
      </w:r>
      <w:r w:rsidR="00F50D3D">
        <w:rPr>
          <w:rFonts w:ascii="Times New Roman" w:hAnsi="Times New Roman" w:cs="Times New Roman"/>
          <w:sz w:val="24"/>
          <w:szCs w:val="24"/>
        </w:rPr>
        <w:t>B</w:t>
      </w:r>
      <w:r w:rsidRPr="00A47D20">
        <w:rPr>
          <w:rFonts w:ascii="Times New Roman" w:hAnsi="Times New Roman" w:cs="Times New Roman"/>
          <w:sz w:val="24"/>
          <w:szCs w:val="24"/>
        </w:rPr>
        <w:t xml:space="preserve">ank </w:t>
      </w:r>
      <w:r w:rsidR="00F50D3D">
        <w:rPr>
          <w:rFonts w:ascii="Times New Roman" w:hAnsi="Times New Roman" w:cs="Times New Roman"/>
          <w:sz w:val="24"/>
          <w:szCs w:val="24"/>
        </w:rPr>
        <w:t>C</w:t>
      </w:r>
      <w:r w:rsidRPr="00A47D20">
        <w:rPr>
          <w:rFonts w:ascii="Times New Roman" w:hAnsi="Times New Roman" w:cs="Times New Roman"/>
          <w:sz w:val="24"/>
          <w:szCs w:val="24"/>
        </w:rPr>
        <w:t xml:space="preserve">redit </w:t>
      </w:r>
      <w:r w:rsidR="00F50D3D">
        <w:rPr>
          <w:rFonts w:ascii="Times New Roman" w:hAnsi="Times New Roman" w:cs="Times New Roman"/>
          <w:sz w:val="24"/>
          <w:szCs w:val="24"/>
        </w:rPr>
        <w:t>S</w:t>
      </w:r>
      <w:r w:rsidRPr="00A47D20">
        <w:rPr>
          <w:rFonts w:ascii="Times New Roman" w:hAnsi="Times New Roman" w:cs="Times New Roman"/>
          <w:sz w:val="24"/>
          <w:szCs w:val="24"/>
        </w:rPr>
        <w:t>upply.</w:t>
      </w:r>
      <w:r w:rsidR="005D7F57">
        <w:rPr>
          <w:rFonts w:ascii="Times New Roman" w:hAnsi="Times New Roman" w:cs="Times New Roman"/>
          <w:sz w:val="24"/>
          <w:szCs w:val="24"/>
        </w:rPr>
        <w:t>”</w:t>
      </w:r>
      <w:r w:rsidRPr="00A47D20">
        <w:rPr>
          <w:rFonts w:ascii="Times New Roman" w:hAnsi="Times New Roman" w:cs="Times New Roman"/>
          <w:sz w:val="24"/>
          <w:szCs w:val="24"/>
        </w:rPr>
        <w:t xml:space="preserve"> </w:t>
      </w:r>
      <w:r w:rsidR="004850C0" w:rsidRPr="00F04570">
        <w:rPr>
          <w:rFonts w:ascii="Times New Roman" w:hAnsi="Times New Roman" w:cs="Times New Roman"/>
          <w:i/>
          <w:sz w:val="24"/>
          <w:szCs w:val="24"/>
        </w:rPr>
        <w:t>Journal of Financial Intermediation</w:t>
      </w:r>
      <w:r w:rsidR="004850C0" w:rsidRPr="004850C0">
        <w:rPr>
          <w:rFonts w:ascii="Times New Roman" w:hAnsi="Times New Roman" w:cs="Times New Roman"/>
          <w:sz w:val="24"/>
          <w:szCs w:val="24"/>
        </w:rPr>
        <w:t>,</w:t>
      </w:r>
      <w:r w:rsidRPr="00A47D20">
        <w:rPr>
          <w:rFonts w:ascii="Times New Roman" w:hAnsi="Times New Roman" w:cs="Times New Roman"/>
          <w:sz w:val="24"/>
          <w:szCs w:val="24"/>
        </w:rPr>
        <w:t xml:space="preserve"> 18, 125</w:t>
      </w:r>
      <w:r w:rsidR="00057A26">
        <w:rPr>
          <w:rFonts w:ascii="Times New Roman" w:hAnsi="Times New Roman" w:cs="Times New Roman"/>
          <w:sz w:val="24"/>
          <w:szCs w:val="24"/>
        </w:rPr>
        <w:t>-</w:t>
      </w:r>
      <w:r w:rsidRPr="00A47D20">
        <w:rPr>
          <w:rFonts w:ascii="Times New Roman" w:hAnsi="Times New Roman" w:cs="Times New Roman"/>
          <w:sz w:val="24"/>
          <w:szCs w:val="24"/>
        </w:rPr>
        <w:t>150.</w:t>
      </w:r>
    </w:p>
    <w:p w14:paraId="71CFFBD0" w14:textId="4C83C5B4" w:rsidR="00D95489" w:rsidRPr="00A47D20" w:rsidRDefault="00D95489"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 xml:space="preserve">Hristov, Nikolay, </w:t>
      </w:r>
      <w:r w:rsidR="005D7993">
        <w:rPr>
          <w:rFonts w:ascii="Times New Roman" w:hAnsi="Times New Roman" w:cs="Times New Roman"/>
          <w:sz w:val="24"/>
          <w:szCs w:val="24"/>
        </w:rPr>
        <w:t xml:space="preserve">Oliver </w:t>
      </w:r>
      <w:r>
        <w:rPr>
          <w:rFonts w:ascii="Times New Roman" w:hAnsi="Times New Roman" w:cs="Times New Roman"/>
          <w:sz w:val="24"/>
          <w:szCs w:val="24"/>
        </w:rPr>
        <w:t xml:space="preserve">Hulsewing, and </w:t>
      </w:r>
      <w:r w:rsidR="005D7993">
        <w:rPr>
          <w:rFonts w:ascii="Times New Roman" w:hAnsi="Times New Roman" w:cs="Times New Roman"/>
          <w:sz w:val="24"/>
          <w:szCs w:val="24"/>
        </w:rPr>
        <w:t xml:space="preserve">Timo </w:t>
      </w:r>
      <w:r>
        <w:rPr>
          <w:rFonts w:ascii="Times New Roman" w:hAnsi="Times New Roman" w:cs="Times New Roman"/>
          <w:sz w:val="24"/>
          <w:szCs w:val="24"/>
        </w:rPr>
        <w:t xml:space="preserve">Wollmershauser. (2012) “Loan Supply Shocks during the Financial Crisis: Evidence for the Euro Area.” </w:t>
      </w:r>
      <w:r w:rsidRPr="00D95489">
        <w:rPr>
          <w:rFonts w:ascii="Times New Roman" w:hAnsi="Times New Roman" w:cs="Times New Roman"/>
          <w:i/>
          <w:sz w:val="24"/>
          <w:szCs w:val="24"/>
        </w:rPr>
        <w:t>Journal of International Money and Finance</w:t>
      </w:r>
      <w:r>
        <w:rPr>
          <w:rFonts w:ascii="Times New Roman" w:hAnsi="Times New Roman" w:cs="Times New Roman"/>
          <w:sz w:val="24"/>
          <w:szCs w:val="24"/>
        </w:rPr>
        <w:t xml:space="preserve">, 31, 569-592. </w:t>
      </w:r>
    </w:p>
    <w:p w14:paraId="52FC5DE9" w14:textId="61D2972E" w:rsidR="00A47D20" w:rsidRDefault="003739DC"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3739DC">
        <w:rPr>
          <w:rFonts w:ascii="Times New Roman" w:hAnsi="Times New Roman" w:cs="Times New Roman"/>
          <w:sz w:val="24"/>
          <w:szCs w:val="24"/>
        </w:rPr>
        <w:t>Ivashina, Victoria, and David Scharfstein</w:t>
      </w:r>
      <w:r w:rsidR="00A47D20" w:rsidRPr="00A47D20">
        <w:rPr>
          <w:rFonts w:ascii="Times New Roman" w:hAnsi="Times New Roman" w:cs="Times New Roman"/>
          <w:sz w:val="24"/>
          <w:szCs w:val="24"/>
        </w:rPr>
        <w:t>.</w:t>
      </w:r>
      <w:r w:rsidR="006917DA">
        <w:rPr>
          <w:rFonts w:ascii="Times New Roman" w:hAnsi="Times New Roman" w:cs="Times New Roman"/>
          <w:sz w:val="24"/>
          <w:szCs w:val="24"/>
        </w:rPr>
        <w:t xml:space="preserve"> </w:t>
      </w:r>
      <w:r w:rsidR="005D7F57">
        <w:rPr>
          <w:rFonts w:ascii="Times New Roman" w:hAnsi="Times New Roman" w:cs="Times New Roman"/>
          <w:sz w:val="24"/>
          <w:szCs w:val="24"/>
        </w:rPr>
        <w:t>(</w:t>
      </w:r>
      <w:r w:rsidR="006917DA">
        <w:rPr>
          <w:rFonts w:ascii="Times New Roman" w:hAnsi="Times New Roman" w:cs="Times New Roman"/>
          <w:sz w:val="24"/>
          <w:szCs w:val="24"/>
        </w:rPr>
        <w:t>2010</w:t>
      </w:r>
      <w:r w:rsidR="005D7F57">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5D7F57">
        <w:rPr>
          <w:rFonts w:ascii="Times New Roman" w:hAnsi="Times New Roman" w:cs="Times New Roman"/>
          <w:sz w:val="24"/>
          <w:szCs w:val="24"/>
        </w:rPr>
        <w:t>“</w:t>
      </w:r>
      <w:r w:rsidR="00A47D20" w:rsidRPr="00A47D20">
        <w:rPr>
          <w:rFonts w:ascii="Times New Roman" w:hAnsi="Times New Roman" w:cs="Times New Roman"/>
          <w:sz w:val="24"/>
          <w:szCs w:val="24"/>
        </w:rPr>
        <w:t xml:space="preserve">Loan </w:t>
      </w:r>
      <w:r w:rsidR="00F50D3D">
        <w:rPr>
          <w:rFonts w:ascii="Times New Roman" w:hAnsi="Times New Roman" w:cs="Times New Roman"/>
          <w:sz w:val="24"/>
          <w:szCs w:val="24"/>
        </w:rPr>
        <w:t>S</w:t>
      </w:r>
      <w:r w:rsidR="00A47D20" w:rsidRPr="00A47D20">
        <w:rPr>
          <w:rFonts w:ascii="Times New Roman" w:hAnsi="Times New Roman" w:cs="Times New Roman"/>
          <w:sz w:val="24"/>
          <w:szCs w:val="24"/>
        </w:rPr>
        <w:t xml:space="preserve">yndication and </w:t>
      </w:r>
      <w:r w:rsidR="00F50D3D">
        <w:rPr>
          <w:rFonts w:ascii="Times New Roman" w:hAnsi="Times New Roman" w:cs="Times New Roman"/>
          <w:sz w:val="24"/>
          <w:szCs w:val="24"/>
        </w:rPr>
        <w:t>C</w:t>
      </w:r>
      <w:r w:rsidR="00A47D20" w:rsidRPr="00A47D20">
        <w:rPr>
          <w:rFonts w:ascii="Times New Roman" w:hAnsi="Times New Roman" w:cs="Times New Roman"/>
          <w:sz w:val="24"/>
          <w:szCs w:val="24"/>
        </w:rPr>
        <w:t xml:space="preserve">redit </w:t>
      </w:r>
      <w:r w:rsidR="00F50D3D">
        <w:rPr>
          <w:rFonts w:ascii="Times New Roman" w:hAnsi="Times New Roman" w:cs="Times New Roman"/>
          <w:sz w:val="24"/>
          <w:szCs w:val="24"/>
        </w:rPr>
        <w:t>C</w:t>
      </w:r>
      <w:r w:rsidR="00A47D20" w:rsidRPr="00A47D20">
        <w:rPr>
          <w:rFonts w:ascii="Times New Roman" w:hAnsi="Times New Roman" w:cs="Times New Roman"/>
          <w:sz w:val="24"/>
          <w:szCs w:val="24"/>
        </w:rPr>
        <w:t>ycles.</w:t>
      </w:r>
      <w:r w:rsidR="005D7F57">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F04570">
        <w:rPr>
          <w:rFonts w:ascii="Times New Roman" w:hAnsi="Times New Roman" w:cs="Times New Roman"/>
          <w:i/>
          <w:sz w:val="24"/>
          <w:szCs w:val="24"/>
        </w:rPr>
        <w:t>American Economic Review</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100, 57</w:t>
      </w:r>
      <w:r w:rsidR="00F126A3">
        <w:rPr>
          <w:rFonts w:ascii="Times New Roman" w:hAnsi="Times New Roman" w:cs="Times New Roman"/>
          <w:sz w:val="24"/>
          <w:szCs w:val="24"/>
        </w:rPr>
        <w:t>-</w:t>
      </w:r>
      <w:r w:rsidR="00A47D20" w:rsidRPr="00A47D20">
        <w:rPr>
          <w:rFonts w:ascii="Times New Roman" w:hAnsi="Times New Roman" w:cs="Times New Roman"/>
          <w:sz w:val="24"/>
          <w:szCs w:val="24"/>
        </w:rPr>
        <w:t>61.</w:t>
      </w:r>
    </w:p>
    <w:p w14:paraId="70C6C40A" w14:textId="77777777" w:rsidR="00A47D20" w:rsidRPr="00A47D20" w:rsidRDefault="002816DD"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2816DD">
        <w:rPr>
          <w:rFonts w:ascii="Times New Roman" w:hAnsi="Times New Roman" w:cs="Times New Roman"/>
          <w:sz w:val="24"/>
          <w:szCs w:val="24"/>
        </w:rPr>
        <w:t>Jurado, Kyle, Sydney C. Ludvigson, and Serena Ng</w:t>
      </w:r>
      <w:r w:rsidR="00480D91" w:rsidRPr="00480D91">
        <w:rPr>
          <w:rFonts w:ascii="Times New Roman" w:hAnsi="Times New Roman" w:cs="Times New Roman"/>
          <w:sz w:val="24"/>
          <w:szCs w:val="24"/>
        </w:rPr>
        <w:t xml:space="preserve">. </w:t>
      </w:r>
      <w:r w:rsidR="0084351F">
        <w:rPr>
          <w:rFonts w:ascii="Times New Roman" w:hAnsi="Times New Roman" w:cs="Times New Roman"/>
          <w:sz w:val="24"/>
          <w:szCs w:val="24"/>
        </w:rPr>
        <w:t>(</w:t>
      </w:r>
      <w:r w:rsidR="00480D91" w:rsidRPr="00480D91">
        <w:rPr>
          <w:rFonts w:ascii="Times New Roman" w:hAnsi="Times New Roman" w:cs="Times New Roman"/>
          <w:sz w:val="24"/>
          <w:szCs w:val="24"/>
        </w:rPr>
        <w:t>2015</w:t>
      </w:r>
      <w:r w:rsidR="0084351F">
        <w:rPr>
          <w:rFonts w:ascii="Times New Roman" w:hAnsi="Times New Roman" w:cs="Times New Roman"/>
          <w:sz w:val="24"/>
          <w:szCs w:val="24"/>
        </w:rPr>
        <w:t>)</w:t>
      </w:r>
      <w:r w:rsidR="00480D91" w:rsidRPr="00480D91">
        <w:rPr>
          <w:rFonts w:ascii="Times New Roman" w:hAnsi="Times New Roman" w:cs="Times New Roman"/>
          <w:sz w:val="24"/>
          <w:szCs w:val="24"/>
        </w:rPr>
        <w:t xml:space="preserve"> </w:t>
      </w:r>
      <w:r w:rsidR="0084351F">
        <w:rPr>
          <w:rFonts w:ascii="Times New Roman" w:hAnsi="Times New Roman" w:cs="Times New Roman"/>
          <w:sz w:val="24"/>
          <w:szCs w:val="24"/>
        </w:rPr>
        <w:t>“</w:t>
      </w:r>
      <w:r w:rsidR="00480D91" w:rsidRPr="00480D91">
        <w:rPr>
          <w:rFonts w:ascii="Times New Roman" w:hAnsi="Times New Roman" w:cs="Times New Roman"/>
          <w:sz w:val="24"/>
          <w:szCs w:val="24"/>
        </w:rPr>
        <w:t xml:space="preserve">Measuring </w:t>
      </w:r>
      <w:r w:rsidR="00F50D3D">
        <w:rPr>
          <w:rFonts w:ascii="Times New Roman" w:hAnsi="Times New Roman" w:cs="Times New Roman"/>
          <w:sz w:val="24"/>
          <w:szCs w:val="24"/>
        </w:rPr>
        <w:t>U</w:t>
      </w:r>
      <w:r w:rsidR="00480D91" w:rsidRPr="00480D91">
        <w:rPr>
          <w:rFonts w:ascii="Times New Roman" w:hAnsi="Times New Roman" w:cs="Times New Roman"/>
          <w:sz w:val="24"/>
          <w:szCs w:val="24"/>
        </w:rPr>
        <w:t>ncertainty.</w:t>
      </w:r>
      <w:r w:rsidR="0084351F">
        <w:rPr>
          <w:rFonts w:ascii="Times New Roman" w:hAnsi="Times New Roman" w:cs="Times New Roman"/>
          <w:sz w:val="24"/>
          <w:szCs w:val="24"/>
        </w:rPr>
        <w:t>”</w:t>
      </w:r>
      <w:r w:rsidR="00480D91" w:rsidRPr="00480D91">
        <w:rPr>
          <w:rFonts w:ascii="Times New Roman" w:hAnsi="Times New Roman" w:cs="Times New Roman"/>
          <w:sz w:val="24"/>
          <w:szCs w:val="24"/>
        </w:rPr>
        <w:t xml:space="preserve"> </w:t>
      </w:r>
      <w:r w:rsidR="004850C0" w:rsidRPr="00F04570">
        <w:rPr>
          <w:rFonts w:ascii="Times New Roman" w:hAnsi="Times New Roman" w:cs="Times New Roman"/>
          <w:i/>
          <w:sz w:val="24"/>
          <w:szCs w:val="24"/>
        </w:rPr>
        <w:t>American Economic Review</w:t>
      </w:r>
      <w:r w:rsidR="004850C0" w:rsidRPr="004850C0">
        <w:rPr>
          <w:rFonts w:ascii="Times New Roman" w:hAnsi="Times New Roman" w:cs="Times New Roman"/>
          <w:sz w:val="24"/>
          <w:szCs w:val="24"/>
        </w:rPr>
        <w:t>,</w:t>
      </w:r>
      <w:r w:rsidR="00480D91" w:rsidRPr="00480D91">
        <w:rPr>
          <w:rFonts w:ascii="Times New Roman" w:hAnsi="Times New Roman" w:cs="Times New Roman"/>
          <w:sz w:val="24"/>
          <w:szCs w:val="24"/>
        </w:rPr>
        <w:t xml:space="preserve"> 105, 1177-1216.</w:t>
      </w:r>
    </w:p>
    <w:p w14:paraId="145BB3D7" w14:textId="069BA411" w:rsidR="00A47D20" w:rsidRPr="00A47D20" w:rsidRDefault="00824D6D"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824D6D">
        <w:rPr>
          <w:rFonts w:ascii="Times New Roman" w:hAnsi="Times New Roman" w:cs="Times New Roman"/>
          <w:sz w:val="24"/>
          <w:szCs w:val="24"/>
        </w:rPr>
        <w:t>Kashyap, Anil K., Jeremy C. Stein, and David W. Wilcox</w:t>
      </w:r>
      <w:r w:rsidR="00A47D20" w:rsidRPr="00A47D20">
        <w:rPr>
          <w:rFonts w:ascii="Times New Roman" w:hAnsi="Times New Roman" w:cs="Times New Roman"/>
          <w:sz w:val="24"/>
          <w:szCs w:val="24"/>
        </w:rPr>
        <w:t>.</w:t>
      </w:r>
      <w:r w:rsidR="00977B72">
        <w:rPr>
          <w:rFonts w:ascii="Times New Roman" w:hAnsi="Times New Roman" w:cs="Times New Roman"/>
          <w:sz w:val="24"/>
          <w:szCs w:val="24"/>
        </w:rPr>
        <w:t xml:space="preserve"> </w:t>
      </w:r>
      <w:r w:rsidR="0084351F">
        <w:rPr>
          <w:rFonts w:ascii="Times New Roman" w:hAnsi="Times New Roman" w:cs="Times New Roman"/>
          <w:sz w:val="24"/>
          <w:szCs w:val="24"/>
        </w:rPr>
        <w:t>(</w:t>
      </w:r>
      <w:r w:rsidR="00977B72">
        <w:rPr>
          <w:rFonts w:ascii="Times New Roman" w:hAnsi="Times New Roman" w:cs="Times New Roman"/>
          <w:sz w:val="24"/>
          <w:szCs w:val="24"/>
        </w:rPr>
        <w:t>1993</w:t>
      </w:r>
      <w:r w:rsidR="0084351F">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84351F">
        <w:rPr>
          <w:rFonts w:ascii="Times New Roman" w:hAnsi="Times New Roman" w:cs="Times New Roman"/>
          <w:sz w:val="24"/>
          <w:szCs w:val="24"/>
        </w:rPr>
        <w:t>“</w:t>
      </w:r>
      <w:r w:rsidR="00977B72" w:rsidRPr="00977B72">
        <w:rPr>
          <w:rFonts w:ascii="Times New Roman" w:hAnsi="Times New Roman" w:cs="Times New Roman"/>
          <w:sz w:val="24"/>
          <w:szCs w:val="24"/>
        </w:rPr>
        <w:t xml:space="preserve">Monetary </w:t>
      </w:r>
      <w:r w:rsidR="00F50D3D">
        <w:rPr>
          <w:rFonts w:ascii="Times New Roman" w:hAnsi="Times New Roman" w:cs="Times New Roman"/>
          <w:sz w:val="24"/>
          <w:szCs w:val="24"/>
        </w:rPr>
        <w:t>P</w:t>
      </w:r>
      <w:r w:rsidR="00977B72" w:rsidRPr="00977B72">
        <w:rPr>
          <w:rFonts w:ascii="Times New Roman" w:hAnsi="Times New Roman" w:cs="Times New Roman"/>
          <w:sz w:val="24"/>
          <w:szCs w:val="24"/>
        </w:rPr>
        <w:t xml:space="preserve">olicy and </w:t>
      </w:r>
      <w:r w:rsidR="00F50D3D">
        <w:rPr>
          <w:rFonts w:ascii="Times New Roman" w:hAnsi="Times New Roman" w:cs="Times New Roman"/>
          <w:sz w:val="24"/>
          <w:szCs w:val="24"/>
        </w:rPr>
        <w:t>C</w:t>
      </w:r>
      <w:r w:rsidR="00977B72" w:rsidRPr="00977B72">
        <w:rPr>
          <w:rFonts w:ascii="Times New Roman" w:hAnsi="Times New Roman" w:cs="Times New Roman"/>
          <w:sz w:val="24"/>
          <w:szCs w:val="24"/>
        </w:rPr>
        <w:t xml:space="preserve">redit </w:t>
      </w:r>
      <w:r w:rsidR="00F50D3D">
        <w:rPr>
          <w:rFonts w:ascii="Times New Roman" w:hAnsi="Times New Roman" w:cs="Times New Roman"/>
          <w:sz w:val="24"/>
          <w:szCs w:val="24"/>
        </w:rPr>
        <w:t>C</w:t>
      </w:r>
      <w:r w:rsidR="00977B72" w:rsidRPr="00977B72">
        <w:rPr>
          <w:rFonts w:ascii="Times New Roman" w:hAnsi="Times New Roman" w:cs="Times New Roman"/>
          <w:sz w:val="24"/>
          <w:szCs w:val="24"/>
        </w:rPr>
        <w:t xml:space="preserve">onditions: </w:t>
      </w:r>
      <w:r w:rsidR="00F50D3D">
        <w:rPr>
          <w:rFonts w:ascii="Times New Roman" w:hAnsi="Times New Roman" w:cs="Times New Roman"/>
          <w:sz w:val="24"/>
          <w:szCs w:val="24"/>
        </w:rPr>
        <w:t>E</w:t>
      </w:r>
      <w:r w:rsidR="00977B72" w:rsidRPr="00977B72">
        <w:rPr>
          <w:rFonts w:ascii="Times New Roman" w:hAnsi="Times New Roman" w:cs="Times New Roman"/>
          <w:sz w:val="24"/>
          <w:szCs w:val="24"/>
        </w:rPr>
        <w:t xml:space="preserve">vidence from the </w:t>
      </w:r>
      <w:r w:rsidR="00F50D3D">
        <w:rPr>
          <w:rFonts w:ascii="Times New Roman" w:hAnsi="Times New Roman" w:cs="Times New Roman"/>
          <w:sz w:val="24"/>
          <w:szCs w:val="24"/>
        </w:rPr>
        <w:t>C</w:t>
      </w:r>
      <w:r w:rsidR="00977B72" w:rsidRPr="00977B72">
        <w:rPr>
          <w:rFonts w:ascii="Times New Roman" w:hAnsi="Times New Roman" w:cs="Times New Roman"/>
          <w:sz w:val="24"/>
          <w:szCs w:val="24"/>
        </w:rPr>
        <w:t xml:space="preserve">omposition of </w:t>
      </w:r>
      <w:r w:rsidR="00F50D3D">
        <w:rPr>
          <w:rFonts w:ascii="Times New Roman" w:hAnsi="Times New Roman" w:cs="Times New Roman"/>
          <w:sz w:val="24"/>
          <w:szCs w:val="24"/>
        </w:rPr>
        <w:t>E</w:t>
      </w:r>
      <w:r w:rsidR="00977B72" w:rsidRPr="00977B72">
        <w:rPr>
          <w:rFonts w:ascii="Times New Roman" w:hAnsi="Times New Roman" w:cs="Times New Roman"/>
          <w:sz w:val="24"/>
          <w:szCs w:val="24"/>
        </w:rPr>
        <w:t xml:space="preserve">xternal </w:t>
      </w:r>
      <w:r w:rsidR="00F50D3D">
        <w:rPr>
          <w:rFonts w:ascii="Times New Roman" w:hAnsi="Times New Roman" w:cs="Times New Roman"/>
          <w:sz w:val="24"/>
          <w:szCs w:val="24"/>
        </w:rPr>
        <w:t>F</w:t>
      </w:r>
      <w:r w:rsidR="00977B72" w:rsidRPr="00977B72">
        <w:rPr>
          <w:rFonts w:ascii="Times New Roman" w:hAnsi="Times New Roman" w:cs="Times New Roman"/>
          <w:sz w:val="24"/>
          <w:szCs w:val="24"/>
        </w:rPr>
        <w:t>inance</w:t>
      </w:r>
      <w:r w:rsidR="00A47D20" w:rsidRPr="00A47D20">
        <w:rPr>
          <w:rFonts w:ascii="Times New Roman" w:hAnsi="Times New Roman" w:cs="Times New Roman"/>
          <w:sz w:val="24"/>
          <w:szCs w:val="24"/>
        </w:rPr>
        <w:t>.</w:t>
      </w:r>
      <w:r w:rsidR="0084351F">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4850C0" w:rsidRPr="00F04570">
        <w:rPr>
          <w:rFonts w:ascii="Times New Roman" w:hAnsi="Times New Roman" w:cs="Times New Roman"/>
          <w:i/>
          <w:sz w:val="24"/>
          <w:szCs w:val="24"/>
        </w:rPr>
        <w:t>American Economic Review</w:t>
      </w:r>
      <w:r w:rsidR="004850C0" w:rsidRPr="004850C0">
        <w:rPr>
          <w:rFonts w:ascii="Times New Roman" w:hAnsi="Times New Roman" w:cs="Times New Roman"/>
          <w:sz w:val="24"/>
          <w:szCs w:val="24"/>
        </w:rPr>
        <w:t>,</w:t>
      </w:r>
      <w:r w:rsidR="00A47D20" w:rsidRPr="00A47D20">
        <w:rPr>
          <w:rFonts w:ascii="Times New Roman" w:hAnsi="Times New Roman" w:cs="Times New Roman"/>
          <w:sz w:val="24"/>
          <w:szCs w:val="24"/>
        </w:rPr>
        <w:t xml:space="preserve"> 83, 78</w:t>
      </w:r>
      <w:r w:rsidR="00F126A3">
        <w:rPr>
          <w:rFonts w:ascii="Times New Roman" w:hAnsi="Times New Roman" w:cs="Times New Roman"/>
          <w:sz w:val="24"/>
          <w:szCs w:val="24"/>
        </w:rPr>
        <w:t>-</w:t>
      </w:r>
      <w:r w:rsidR="00A47D20" w:rsidRPr="00A47D20">
        <w:rPr>
          <w:rFonts w:ascii="Times New Roman" w:hAnsi="Times New Roman" w:cs="Times New Roman"/>
          <w:sz w:val="24"/>
          <w:szCs w:val="24"/>
        </w:rPr>
        <w:t>98.</w:t>
      </w:r>
    </w:p>
    <w:p w14:paraId="1D0EEA7E" w14:textId="77777777" w:rsidR="00A47D20" w:rsidRPr="00A47D20" w:rsidRDefault="00096B6C"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96B6C">
        <w:rPr>
          <w:rFonts w:ascii="Times New Roman" w:hAnsi="Times New Roman" w:cs="Times New Roman"/>
          <w:sz w:val="24"/>
          <w:szCs w:val="24"/>
        </w:rPr>
        <w:lastRenderedPageBreak/>
        <w:t>Knight, Frank H.</w:t>
      </w:r>
      <w:r w:rsidR="004D7F09" w:rsidRPr="004D7F09">
        <w:rPr>
          <w:rFonts w:ascii="Times New Roman" w:hAnsi="Times New Roman" w:cs="Times New Roman"/>
          <w:sz w:val="24"/>
          <w:szCs w:val="24"/>
        </w:rPr>
        <w:t xml:space="preserve"> </w:t>
      </w:r>
      <w:r w:rsidR="00B64C0B">
        <w:rPr>
          <w:rFonts w:ascii="Times New Roman" w:hAnsi="Times New Roman" w:cs="Times New Roman"/>
          <w:sz w:val="24"/>
          <w:szCs w:val="24"/>
        </w:rPr>
        <w:t>(</w:t>
      </w:r>
      <w:r w:rsidR="004D7F09">
        <w:rPr>
          <w:rFonts w:ascii="Times New Roman" w:hAnsi="Times New Roman" w:cs="Times New Roman"/>
          <w:sz w:val="24"/>
          <w:szCs w:val="24"/>
        </w:rPr>
        <w:t>1921</w:t>
      </w:r>
      <w:r w:rsidR="00B64C0B">
        <w:rPr>
          <w:rFonts w:ascii="Times New Roman" w:hAnsi="Times New Roman" w:cs="Times New Roman"/>
          <w:sz w:val="24"/>
          <w:szCs w:val="24"/>
        </w:rPr>
        <w:t>)</w:t>
      </w:r>
      <w:r w:rsidR="0019201D">
        <w:rPr>
          <w:rFonts w:ascii="Times New Roman" w:hAnsi="Times New Roman" w:cs="Times New Roman"/>
          <w:sz w:val="24"/>
          <w:szCs w:val="24"/>
        </w:rPr>
        <w:t>.</w:t>
      </w:r>
      <w:r w:rsidR="004D7F09" w:rsidRPr="004D7F09">
        <w:rPr>
          <w:rFonts w:ascii="Times New Roman" w:hAnsi="Times New Roman" w:cs="Times New Roman"/>
          <w:sz w:val="24"/>
          <w:szCs w:val="24"/>
        </w:rPr>
        <w:t xml:space="preserve"> </w:t>
      </w:r>
      <w:r w:rsidR="004D7F09" w:rsidRPr="0019201D">
        <w:rPr>
          <w:rFonts w:ascii="Times New Roman" w:hAnsi="Times New Roman" w:cs="Times New Roman"/>
          <w:i/>
          <w:sz w:val="24"/>
          <w:szCs w:val="24"/>
        </w:rPr>
        <w:t>Risk</w:t>
      </w:r>
      <w:r w:rsidR="004D7F09" w:rsidRPr="0019201D">
        <w:rPr>
          <w:rFonts w:ascii="Times New Roman" w:hAnsi="Times New Roman" w:cs="Times New Roman"/>
          <w:sz w:val="24"/>
          <w:szCs w:val="24"/>
        </w:rPr>
        <w:t>,</w:t>
      </w:r>
      <w:r w:rsidR="004D7F09" w:rsidRPr="0019201D">
        <w:rPr>
          <w:rFonts w:ascii="Times New Roman" w:hAnsi="Times New Roman" w:cs="Times New Roman"/>
          <w:i/>
          <w:sz w:val="24"/>
          <w:szCs w:val="24"/>
        </w:rPr>
        <w:t xml:space="preserve"> </w:t>
      </w:r>
      <w:r w:rsidR="004B78E5" w:rsidRPr="0019201D">
        <w:rPr>
          <w:rFonts w:ascii="Times New Roman" w:hAnsi="Times New Roman" w:cs="Times New Roman"/>
          <w:i/>
          <w:sz w:val="24"/>
          <w:szCs w:val="24"/>
        </w:rPr>
        <w:t>U</w:t>
      </w:r>
      <w:r w:rsidR="004D7F09" w:rsidRPr="0019201D">
        <w:rPr>
          <w:rFonts w:ascii="Times New Roman" w:hAnsi="Times New Roman" w:cs="Times New Roman"/>
          <w:i/>
          <w:sz w:val="24"/>
          <w:szCs w:val="24"/>
        </w:rPr>
        <w:t xml:space="preserve">ncertainty and </w:t>
      </w:r>
      <w:r w:rsidR="004B78E5" w:rsidRPr="0019201D">
        <w:rPr>
          <w:rFonts w:ascii="Times New Roman" w:hAnsi="Times New Roman" w:cs="Times New Roman"/>
          <w:i/>
          <w:sz w:val="24"/>
          <w:szCs w:val="24"/>
        </w:rPr>
        <w:t>P</w:t>
      </w:r>
      <w:r w:rsidR="004D7F09" w:rsidRPr="0019201D">
        <w:rPr>
          <w:rFonts w:ascii="Times New Roman" w:hAnsi="Times New Roman" w:cs="Times New Roman"/>
          <w:i/>
          <w:sz w:val="24"/>
          <w:szCs w:val="24"/>
        </w:rPr>
        <w:t>rofit</w:t>
      </w:r>
      <w:r w:rsidR="004D7F09" w:rsidRPr="004D7F09">
        <w:rPr>
          <w:rFonts w:ascii="Times New Roman" w:hAnsi="Times New Roman" w:cs="Times New Roman"/>
          <w:sz w:val="24"/>
          <w:szCs w:val="24"/>
        </w:rPr>
        <w:t>.</w:t>
      </w:r>
      <w:r w:rsidR="004D7F09">
        <w:rPr>
          <w:rFonts w:ascii="Times New Roman" w:hAnsi="Times New Roman" w:cs="Times New Roman"/>
          <w:sz w:val="24"/>
          <w:szCs w:val="24"/>
        </w:rPr>
        <w:t xml:space="preserve"> </w:t>
      </w:r>
      <w:r w:rsidR="004D7F09" w:rsidRPr="004D7F09">
        <w:rPr>
          <w:rFonts w:ascii="Times New Roman" w:hAnsi="Times New Roman" w:cs="Times New Roman"/>
          <w:sz w:val="24"/>
          <w:szCs w:val="24"/>
        </w:rPr>
        <w:t>Boston</w:t>
      </w:r>
      <w:r w:rsidR="0019201D">
        <w:rPr>
          <w:rFonts w:ascii="Times New Roman" w:hAnsi="Times New Roman" w:cs="Times New Roman"/>
          <w:sz w:val="24"/>
          <w:szCs w:val="24"/>
        </w:rPr>
        <w:t>, MA</w:t>
      </w:r>
      <w:r w:rsidR="004D7F09" w:rsidRPr="004D7F09">
        <w:rPr>
          <w:rFonts w:ascii="Times New Roman" w:hAnsi="Times New Roman" w:cs="Times New Roman"/>
          <w:sz w:val="24"/>
          <w:szCs w:val="24"/>
        </w:rPr>
        <w:t>: Houghton Miffli</w:t>
      </w:r>
      <w:r w:rsidR="004D7F09">
        <w:rPr>
          <w:rFonts w:ascii="Times New Roman" w:hAnsi="Times New Roman" w:cs="Times New Roman"/>
          <w:sz w:val="24"/>
          <w:szCs w:val="24"/>
        </w:rPr>
        <w:t>n.</w:t>
      </w:r>
    </w:p>
    <w:p w14:paraId="60469DC4" w14:textId="2B0C8FBC" w:rsidR="00A47D20" w:rsidRDefault="00C1010E"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C1010E">
        <w:rPr>
          <w:rFonts w:ascii="Times New Roman" w:hAnsi="Times New Roman" w:cs="Times New Roman"/>
          <w:sz w:val="24"/>
          <w:szCs w:val="24"/>
        </w:rPr>
        <w:t>Lown, Cara, and Donald P. Morgan</w:t>
      </w:r>
      <w:r w:rsidR="00A47D20" w:rsidRPr="00A47D20">
        <w:rPr>
          <w:rFonts w:ascii="Times New Roman" w:hAnsi="Times New Roman" w:cs="Times New Roman"/>
          <w:sz w:val="24"/>
          <w:szCs w:val="24"/>
        </w:rPr>
        <w:t>.</w:t>
      </w:r>
      <w:r w:rsidR="000A5301">
        <w:rPr>
          <w:rFonts w:ascii="Times New Roman" w:hAnsi="Times New Roman" w:cs="Times New Roman"/>
          <w:sz w:val="24"/>
          <w:szCs w:val="24"/>
        </w:rPr>
        <w:t xml:space="preserve"> </w:t>
      </w:r>
      <w:r w:rsidR="00E022C1">
        <w:rPr>
          <w:rFonts w:ascii="Times New Roman" w:hAnsi="Times New Roman" w:cs="Times New Roman"/>
          <w:sz w:val="24"/>
          <w:szCs w:val="24"/>
        </w:rPr>
        <w:t>(</w:t>
      </w:r>
      <w:r w:rsidR="000A5301">
        <w:rPr>
          <w:rFonts w:ascii="Times New Roman" w:hAnsi="Times New Roman" w:cs="Times New Roman"/>
          <w:sz w:val="24"/>
          <w:szCs w:val="24"/>
        </w:rPr>
        <w:t>2006</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E022C1">
        <w:rPr>
          <w:rFonts w:ascii="Times New Roman" w:hAnsi="Times New Roman" w:cs="Times New Roman"/>
          <w:sz w:val="24"/>
          <w:szCs w:val="24"/>
        </w:rPr>
        <w:t>“</w:t>
      </w:r>
      <w:r w:rsidR="000A5301" w:rsidRPr="000A5301">
        <w:rPr>
          <w:rFonts w:ascii="Times New Roman" w:hAnsi="Times New Roman" w:cs="Times New Roman"/>
          <w:sz w:val="24"/>
          <w:szCs w:val="24"/>
        </w:rPr>
        <w:t xml:space="preserve">The </w:t>
      </w:r>
      <w:r w:rsidR="004B78E5">
        <w:rPr>
          <w:rFonts w:ascii="Times New Roman" w:hAnsi="Times New Roman" w:cs="Times New Roman"/>
          <w:sz w:val="24"/>
          <w:szCs w:val="24"/>
        </w:rPr>
        <w:t>C</w:t>
      </w:r>
      <w:r w:rsidR="000A5301" w:rsidRPr="000A5301">
        <w:rPr>
          <w:rFonts w:ascii="Times New Roman" w:hAnsi="Times New Roman" w:cs="Times New Roman"/>
          <w:sz w:val="24"/>
          <w:szCs w:val="24"/>
        </w:rPr>
        <w:t xml:space="preserve">redit </w:t>
      </w:r>
      <w:r w:rsidR="004B78E5">
        <w:rPr>
          <w:rFonts w:ascii="Times New Roman" w:hAnsi="Times New Roman" w:cs="Times New Roman"/>
          <w:sz w:val="24"/>
          <w:szCs w:val="24"/>
        </w:rPr>
        <w:t>C</w:t>
      </w:r>
      <w:r w:rsidR="000A5301" w:rsidRPr="000A5301">
        <w:rPr>
          <w:rFonts w:ascii="Times New Roman" w:hAnsi="Times New Roman" w:cs="Times New Roman"/>
          <w:sz w:val="24"/>
          <w:szCs w:val="24"/>
        </w:rPr>
        <w:t xml:space="preserve">ycle and the </w:t>
      </w:r>
      <w:r w:rsidR="004B78E5">
        <w:rPr>
          <w:rFonts w:ascii="Times New Roman" w:hAnsi="Times New Roman" w:cs="Times New Roman"/>
          <w:sz w:val="24"/>
          <w:szCs w:val="24"/>
        </w:rPr>
        <w:t>B</w:t>
      </w:r>
      <w:r w:rsidR="000A5301" w:rsidRPr="000A5301">
        <w:rPr>
          <w:rFonts w:ascii="Times New Roman" w:hAnsi="Times New Roman" w:cs="Times New Roman"/>
          <w:sz w:val="24"/>
          <w:szCs w:val="24"/>
        </w:rPr>
        <w:t xml:space="preserve">usiness </w:t>
      </w:r>
      <w:r w:rsidR="004B78E5">
        <w:rPr>
          <w:rFonts w:ascii="Times New Roman" w:hAnsi="Times New Roman" w:cs="Times New Roman"/>
          <w:sz w:val="24"/>
          <w:szCs w:val="24"/>
        </w:rPr>
        <w:t>Cycle: N</w:t>
      </w:r>
      <w:r w:rsidR="000A5301" w:rsidRPr="000A5301">
        <w:rPr>
          <w:rFonts w:ascii="Times New Roman" w:hAnsi="Times New Roman" w:cs="Times New Roman"/>
          <w:sz w:val="24"/>
          <w:szCs w:val="24"/>
        </w:rPr>
        <w:t xml:space="preserve">ew </w:t>
      </w:r>
      <w:r w:rsidR="004B78E5">
        <w:rPr>
          <w:rFonts w:ascii="Times New Roman" w:hAnsi="Times New Roman" w:cs="Times New Roman"/>
          <w:sz w:val="24"/>
          <w:szCs w:val="24"/>
        </w:rPr>
        <w:t>F</w:t>
      </w:r>
      <w:r w:rsidR="000A5301" w:rsidRPr="000A5301">
        <w:rPr>
          <w:rFonts w:ascii="Times New Roman" w:hAnsi="Times New Roman" w:cs="Times New Roman"/>
          <w:sz w:val="24"/>
          <w:szCs w:val="24"/>
        </w:rPr>
        <w:t xml:space="preserve">indings </w:t>
      </w:r>
      <w:r w:rsidR="004B78E5">
        <w:rPr>
          <w:rFonts w:ascii="Times New Roman" w:hAnsi="Times New Roman" w:cs="Times New Roman"/>
          <w:sz w:val="24"/>
          <w:szCs w:val="24"/>
        </w:rPr>
        <w:t>U</w:t>
      </w:r>
      <w:r w:rsidR="000A5301" w:rsidRPr="000A5301">
        <w:rPr>
          <w:rFonts w:ascii="Times New Roman" w:hAnsi="Times New Roman" w:cs="Times New Roman"/>
          <w:sz w:val="24"/>
          <w:szCs w:val="24"/>
        </w:rPr>
        <w:t xml:space="preserve">sing the </w:t>
      </w:r>
      <w:r w:rsidR="004B78E5">
        <w:rPr>
          <w:rFonts w:ascii="Times New Roman" w:hAnsi="Times New Roman" w:cs="Times New Roman"/>
          <w:sz w:val="24"/>
          <w:szCs w:val="24"/>
        </w:rPr>
        <w:t>L</w:t>
      </w:r>
      <w:r w:rsidR="000A5301" w:rsidRPr="000A5301">
        <w:rPr>
          <w:rFonts w:ascii="Times New Roman" w:hAnsi="Times New Roman" w:cs="Times New Roman"/>
          <w:sz w:val="24"/>
          <w:szCs w:val="24"/>
        </w:rPr>
        <w:t xml:space="preserve">oan </w:t>
      </w:r>
      <w:r w:rsidR="004B78E5">
        <w:rPr>
          <w:rFonts w:ascii="Times New Roman" w:hAnsi="Times New Roman" w:cs="Times New Roman"/>
          <w:sz w:val="24"/>
          <w:szCs w:val="24"/>
        </w:rPr>
        <w:t>O</w:t>
      </w:r>
      <w:r w:rsidR="000A5301" w:rsidRPr="000A5301">
        <w:rPr>
          <w:rFonts w:ascii="Times New Roman" w:hAnsi="Times New Roman" w:cs="Times New Roman"/>
          <w:sz w:val="24"/>
          <w:szCs w:val="24"/>
        </w:rPr>
        <w:t xml:space="preserve">fficer </w:t>
      </w:r>
      <w:r w:rsidR="004B78E5">
        <w:rPr>
          <w:rFonts w:ascii="Times New Roman" w:hAnsi="Times New Roman" w:cs="Times New Roman"/>
          <w:sz w:val="24"/>
          <w:szCs w:val="24"/>
        </w:rPr>
        <w:t>O</w:t>
      </w:r>
      <w:r w:rsidR="000A5301" w:rsidRPr="000A5301">
        <w:rPr>
          <w:rFonts w:ascii="Times New Roman" w:hAnsi="Times New Roman" w:cs="Times New Roman"/>
          <w:sz w:val="24"/>
          <w:szCs w:val="24"/>
        </w:rPr>
        <w:t xml:space="preserve">pinion </w:t>
      </w:r>
      <w:r w:rsidR="004B78E5">
        <w:rPr>
          <w:rFonts w:ascii="Times New Roman" w:hAnsi="Times New Roman" w:cs="Times New Roman"/>
          <w:sz w:val="24"/>
          <w:szCs w:val="24"/>
        </w:rPr>
        <w:t>S</w:t>
      </w:r>
      <w:r w:rsidR="000A5301" w:rsidRPr="000A5301">
        <w:rPr>
          <w:rFonts w:ascii="Times New Roman" w:hAnsi="Times New Roman" w:cs="Times New Roman"/>
          <w:sz w:val="24"/>
          <w:szCs w:val="24"/>
        </w:rPr>
        <w:t>urvey</w:t>
      </w:r>
      <w:r w:rsidR="00A47D20" w:rsidRPr="00A47D20">
        <w:rPr>
          <w:rFonts w:ascii="Times New Roman" w:hAnsi="Times New Roman" w:cs="Times New Roman"/>
          <w:sz w:val="24"/>
          <w:szCs w:val="24"/>
        </w:rPr>
        <w:t>.</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BD2201" w:rsidRPr="00F04570">
        <w:rPr>
          <w:rFonts w:ascii="Times New Roman" w:hAnsi="Times New Roman" w:cs="Times New Roman"/>
          <w:i/>
          <w:sz w:val="24"/>
          <w:szCs w:val="24"/>
        </w:rPr>
        <w:t>Journal of Money, Credit and Banking</w:t>
      </w:r>
      <w:r w:rsidR="00BD2201" w:rsidRPr="00BD2201">
        <w:rPr>
          <w:rFonts w:ascii="Times New Roman" w:hAnsi="Times New Roman" w:cs="Times New Roman"/>
          <w:sz w:val="24"/>
          <w:szCs w:val="24"/>
        </w:rPr>
        <w:t>,</w:t>
      </w:r>
      <w:r w:rsidR="00A47D20" w:rsidRPr="00A47D20">
        <w:rPr>
          <w:rFonts w:ascii="Times New Roman" w:hAnsi="Times New Roman" w:cs="Times New Roman"/>
          <w:sz w:val="24"/>
          <w:szCs w:val="24"/>
        </w:rPr>
        <w:t xml:space="preserve"> 38, 1575</w:t>
      </w:r>
      <w:r w:rsidR="00F126A3">
        <w:rPr>
          <w:rFonts w:ascii="Times New Roman" w:hAnsi="Times New Roman" w:cs="Times New Roman"/>
          <w:sz w:val="24"/>
          <w:szCs w:val="24"/>
        </w:rPr>
        <w:t>-</w:t>
      </w:r>
      <w:r w:rsidR="00A47D20" w:rsidRPr="00A47D20">
        <w:rPr>
          <w:rFonts w:ascii="Times New Roman" w:hAnsi="Times New Roman" w:cs="Times New Roman"/>
          <w:sz w:val="24"/>
          <w:szCs w:val="24"/>
        </w:rPr>
        <w:t>1597.</w:t>
      </w:r>
    </w:p>
    <w:p w14:paraId="1D998A9D" w14:textId="7872C6FA" w:rsidR="00A47D20" w:rsidRPr="00A47D20" w:rsidRDefault="000F3756"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F3756">
        <w:rPr>
          <w:rFonts w:ascii="Times New Roman" w:hAnsi="Times New Roman" w:cs="Times New Roman"/>
          <w:sz w:val="24"/>
          <w:szCs w:val="24"/>
        </w:rPr>
        <w:t>Miao, Jianjun, Bin Wei, and Hao Zhou</w:t>
      </w:r>
      <w:r w:rsidR="00A47D20" w:rsidRPr="00A47D20">
        <w:rPr>
          <w:rFonts w:ascii="Times New Roman" w:hAnsi="Times New Roman" w:cs="Times New Roman"/>
          <w:sz w:val="24"/>
          <w:szCs w:val="24"/>
        </w:rPr>
        <w:t>.</w:t>
      </w:r>
      <w:r w:rsidR="002827AA">
        <w:rPr>
          <w:rFonts w:ascii="Times New Roman" w:hAnsi="Times New Roman" w:cs="Times New Roman"/>
          <w:sz w:val="24"/>
          <w:szCs w:val="24"/>
        </w:rPr>
        <w:t xml:space="preserve"> </w:t>
      </w:r>
      <w:r w:rsidR="00E022C1">
        <w:rPr>
          <w:rFonts w:ascii="Times New Roman" w:hAnsi="Times New Roman" w:cs="Times New Roman"/>
          <w:sz w:val="24"/>
          <w:szCs w:val="24"/>
        </w:rPr>
        <w:t>(</w:t>
      </w:r>
      <w:r w:rsidR="002827AA">
        <w:rPr>
          <w:rFonts w:ascii="Times New Roman" w:hAnsi="Times New Roman" w:cs="Times New Roman"/>
          <w:sz w:val="24"/>
          <w:szCs w:val="24"/>
        </w:rPr>
        <w:t>201</w:t>
      </w:r>
      <w:r w:rsidR="003B6067">
        <w:rPr>
          <w:rFonts w:ascii="Times New Roman" w:hAnsi="Times New Roman" w:cs="Times New Roman"/>
          <w:sz w:val="24"/>
          <w:szCs w:val="24"/>
        </w:rPr>
        <w:t>9</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Ambiguity </w:t>
      </w:r>
      <w:r w:rsidR="00DE1E20">
        <w:rPr>
          <w:rFonts w:ascii="Times New Roman" w:hAnsi="Times New Roman" w:cs="Times New Roman"/>
          <w:sz w:val="24"/>
          <w:szCs w:val="24"/>
        </w:rPr>
        <w:t>A</w:t>
      </w:r>
      <w:r w:rsidR="00A47D20" w:rsidRPr="00A47D20">
        <w:rPr>
          <w:rFonts w:ascii="Times New Roman" w:hAnsi="Times New Roman" w:cs="Times New Roman"/>
          <w:sz w:val="24"/>
          <w:szCs w:val="24"/>
        </w:rPr>
        <w:t xml:space="preserve">version and </w:t>
      </w:r>
      <w:r w:rsidR="003B6067">
        <w:rPr>
          <w:rFonts w:ascii="Times New Roman" w:hAnsi="Times New Roman" w:cs="Times New Roman"/>
          <w:sz w:val="24"/>
          <w:szCs w:val="24"/>
        </w:rPr>
        <w:t xml:space="preserve">the </w:t>
      </w:r>
      <w:r w:rsidR="00DE1E20">
        <w:rPr>
          <w:rFonts w:ascii="Times New Roman" w:hAnsi="Times New Roman" w:cs="Times New Roman"/>
          <w:sz w:val="24"/>
          <w:szCs w:val="24"/>
        </w:rPr>
        <w:t>V</w:t>
      </w:r>
      <w:r w:rsidR="00A47D20" w:rsidRPr="00A47D20">
        <w:rPr>
          <w:rFonts w:ascii="Times New Roman" w:hAnsi="Times New Roman" w:cs="Times New Roman"/>
          <w:sz w:val="24"/>
          <w:szCs w:val="24"/>
        </w:rPr>
        <w:t xml:space="preserve">ariance </w:t>
      </w:r>
      <w:r w:rsidR="00DE1E20">
        <w:rPr>
          <w:rFonts w:ascii="Times New Roman" w:hAnsi="Times New Roman" w:cs="Times New Roman"/>
          <w:sz w:val="24"/>
          <w:szCs w:val="24"/>
        </w:rPr>
        <w:t>P</w:t>
      </w:r>
      <w:r w:rsidR="00A47D20" w:rsidRPr="00A47D20">
        <w:rPr>
          <w:rFonts w:ascii="Times New Roman" w:hAnsi="Times New Roman" w:cs="Times New Roman"/>
          <w:sz w:val="24"/>
          <w:szCs w:val="24"/>
        </w:rPr>
        <w:t>remium.</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3B6067" w:rsidRPr="003B6067">
        <w:rPr>
          <w:rFonts w:ascii="Times New Roman" w:hAnsi="Times New Roman" w:cs="Times New Roman"/>
          <w:i/>
          <w:sz w:val="24"/>
          <w:szCs w:val="24"/>
        </w:rPr>
        <w:t>Quarterly Journal of Finance</w:t>
      </w:r>
      <w:r w:rsidR="003B6067">
        <w:rPr>
          <w:rFonts w:ascii="Times New Roman" w:hAnsi="Times New Roman" w:cs="Times New Roman"/>
          <w:sz w:val="24"/>
          <w:szCs w:val="24"/>
        </w:rPr>
        <w:t>, 9, 195003-1-36.</w:t>
      </w:r>
    </w:p>
    <w:p w14:paraId="2667717E" w14:textId="204A3598" w:rsidR="00A47D20" w:rsidRPr="00A47D20" w:rsidRDefault="001411DD"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1411DD">
        <w:rPr>
          <w:rFonts w:ascii="Times New Roman" w:hAnsi="Times New Roman" w:cs="Times New Roman"/>
          <w:sz w:val="24"/>
          <w:szCs w:val="24"/>
        </w:rPr>
        <w:t>Mueller, Philippe, Petar Sabtchevsky, Andrea Vedolin, and Paul Whelan</w:t>
      </w:r>
      <w:r w:rsidR="002E4B86" w:rsidRPr="002E4B86">
        <w:rPr>
          <w:rFonts w:ascii="Times New Roman" w:hAnsi="Times New Roman" w:cs="Times New Roman"/>
          <w:sz w:val="24"/>
          <w:szCs w:val="24"/>
        </w:rPr>
        <w:t xml:space="preserve">. </w:t>
      </w:r>
      <w:r w:rsidR="00E022C1">
        <w:rPr>
          <w:rFonts w:ascii="Times New Roman" w:hAnsi="Times New Roman" w:cs="Times New Roman"/>
          <w:sz w:val="24"/>
          <w:szCs w:val="24"/>
        </w:rPr>
        <w:t>(</w:t>
      </w:r>
      <w:r w:rsidR="002E4B86" w:rsidRPr="002E4B86">
        <w:rPr>
          <w:rFonts w:ascii="Times New Roman" w:hAnsi="Times New Roman" w:cs="Times New Roman"/>
          <w:sz w:val="24"/>
          <w:szCs w:val="24"/>
        </w:rPr>
        <w:t>201</w:t>
      </w:r>
      <w:r w:rsidR="005F58B0">
        <w:rPr>
          <w:rFonts w:ascii="Times New Roman" w:hAnsi="Times New Roman" w:cs="Times New Roman"/>
          <w:sz w:val="24"/>
          <w:szCs w:val="24"/>
        </w:rPr>
        <w:t>7</w:t>
      </w:r>
      <w:r w:rsidR="00E022C1">
        <w:rPr>
          <w:rFonts w:ascii="Times New Roman" w:hAnsi="Times New Roman" w:cs="Times New Roman"/>
          <w:sz w:val="24"/>
          <w:szCs w:val="24"/>
        </w:rPr>
        <w:t>)</w:t>
      </w:r>
      <w:r w:rsidR="002E4B86" w:rsidRPr="002E4B86">
        <w:rPr>
          <w:rFonts w:ascii="Times New Roman" w:hAnsi="Times New Roman" w:cs="Times New Roman"/>
          <w:sz w:val="24"/>
          <w:szCs w:val="24"/>
        </w:rPr>
        <w:t xml:space="preserve"> </w:t>
      </w:r>
      <w:r w:rsidR="00E022C1">
        <w:rPr>
          <w:rFonts w:ascii="Times New Roman" w:hAnsi="Times New Roman" w:cs="Times New Roman"/>
          <w:sz w:val="24"/>
          <w:szCs w:val="24"/>
        </w:rPr>
        <w:t>“</w:t>
      </w:r>
      <w:r w:rsidR="002E4B86" w:rsidRPr="002E4B86">
        <w:rPr>
          <w:rFonts w:ascii="Times New Roman" w:hAnsi="Times New Roman" w:cs="Times New Roman"/>
          <w:sz w:val="24"/>
          <w:szCs w:val="24"/>
        </w:rPr>
        <w:t xml:space="preserve">Variance </w:t>
      </w:r>
      <w:r w:rsidR="00DE1E20">
        <w:rPr>
          <w:rFonts w:ascii="Times New Roman" w:hAnsi="Times New Roman" w:cs="Times New Roman"/>
          <w:sz w:val="24"/>
          <w:szCs w:val="24"/>
        </w:rPr>
        <w:t>R</w:t>
      </w:r>
      <w:r w:rsidR="002E4B86" w:rsidRPr="002E4B86">
        <w:rPr>
          <w:rFonts w:ascii="Times New Roman" w:hAnsi="Times New Roman" w:cs="Times New Roman"/>
          <w:sz w:val="24"/>
          <w:szCs w:val="24"/>
        </w:rPr>
        <w:t xml:space="preserve">isk </w:t>
      </w:r>
      <w:r w:rsidR="00DE1E20">
        <w:rPr>
          <w:rFonts w:ascii="Times New Roman" w:hAnsi="Times New Roman" w:cs="Times New Roman"/>
          <w:sz w:val="24"/>
          <w:szCs w:val="24"/>
        </w:rPr>
        <w:t>P</w:t>
      </w:r>
      <w:r w:rsidR="002E4B86" w:rsidRPr="002E4B86">
        <w:rPr>
          <w:rFonts w:ascii="Times New Roman" w:hAnsi="Times New Roman" w:cs="Times New Roman"/>
          <w:sz w:val="24"/>
          <w:szCs w:val="24"/>
        </w:rPr>
        <w:t xml:space="preserve">remia on </w:t>
      </w:r>
      <w:r w:rsidR="00DE1E20">
        <w:rPr>
          <w:rFonts w:ascii="Times New Roman" w:hAnsi="Times New Roman" w:cs="Times New Roman"/>
          <w:sz w:val="24"/>
          <w:szCs w:val="24"/>
        </w:rPr>
        <w:t>S</w:t>
      </w:r>
      <w:r w:rsidR="002E4B86" w:rsidRPr="002E4B86">
        <w:rPr>
          <w:rFonts w:ascii="Times New Roman" w:hAnsi="Times New Roman" w:cs="Times New Roman"/>
          <w:sz w:val="24"/>
          <w:szCs w:val="24"/>
        </w:rPr>
        <w:t xml:space="preserve">tocks and </w:t>
      </w:r>
      <w:r w:rsidR="00DE1E20">
        <w:rPr>
          <w:rFonts w:ascii="Times New Roman" w:hAnsi="Times New Roman" w:cs="Times New Roman"/>
          <w:sz w:val="24"/>
          <w:szCs w:val="24"/>
        </w:rPr>
        <w:t>B</w:t>
      </w:r>
      <w:r w:rsidR="002E4B86" w:rsidRPr="002E4B86">
        <w:rPr>
          <w:rFonts w:ascii="Times New Roman" w:hAnsi="Times New Roman" w:cs="Times New Roman"/>
          <w:sz w:val="24"/>
          <w:szCs w:val="24"/>
        </w:rPr>
        <w:t>onds.</w:t>
      </w:r>
      <w:r w:rsidR="00E022C1">
        <w:rPr>
          <w:rFonts w:ascii="Times New Roman" w:hAnsi="Times New Roman" w:cs="Times New Roman"/>
          <w:sz w:val="24"/>
          <w:szCs w:val="24"/>
        </w:rPr>
        <w:t>”</w:t>
      </w:r>
      <w:r w:rsidR="002E4B86">
        <w:rPr>
          <w:rFonts w:ascii="Times New Roman" w:hAnsi="Times New Roman" w:cs="Times New Roman"/>
          <w:sz w:val="24"/>
          <w:szCs w:val="24"/>
        </w:rPr>
        <w:t xml:space="preserve"> </w:t>
      </w:r>
      <w:r w:rsidR="00E2661E" w:rsidRPr="00E2661E">
        <w:rPr>
          <w:rFonts w:ascii="Times New Roman" w:hAnsi="Times New Roman" w:cs="Times New Roman"/>
          <w:sz w:val="24"/>
          <w:szCs w:val="24"/>
        </w:rPr>
        <w:t xml:space="preserve">London School of Economics </w:t>
      </w:r>
      <w:r w:rsidR="002E4B86">
        <w:rPr>
          <w:rFonts w:ascii="Times New Roman" w:hAnsi="Times New Roman" w:cs="Times New Roman"/>
          <w:sz w:val="24"/>
          <w:szCs w:val="24"/>
        </w:rPr>
        <w:t>Working Paper.</w:t>
      </w:r>
    </w:p>
    <w:p w14:paraId="6979BB0C" w14:textId="77777777" w:rsidR="00A47D20" w:rsidRPr="00A47D20" w:rsidRDefault="00891539"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891539">
        <w:rPr>
          <w:rFonts w:ascii="Times New Roman" w:hAnsi="Times New Roman" w:cs="Times New Roman"/>
          <w:sz w:val="24"/>
          <w:szCs w:val="24"/>
        </w:rPr>
        <w:t>Neamtiu, Monica, Nemit Shroff, Hal D. White, and Christopher D. Williams</w:t>
      </w:r>
      <w:r w:rsidR="00A47D20" w:rsidRPr="00A47D20">
        <w:rPr>
          <w:rFonts w:ascii="Times New Roman" w:hAnsi="Times New Roman" w:cs="Times New Roman"/>
          <w:sz w:val="24"/>
          <w:szCs w:val="24"/>
        </w:rPr>
        <w:t>.</w:t>
      </w:r>
      <w:r w:rsidR="002E4B86">
        <w:rPr>
          <w:rFonts w:ascii="Times New Roman" w:hAnsi="Times New Roman" w:cs="Times New Roman"/>
          <w:sz w:val="24"/>
          <w:szCs w:val="24"/>
        </w:rPr>
        <w:t xml:space="preserve"> </w:t>
      </w:r>
      <w:r w:rsidR="00E022C1">
        <w:rPr>
          <w:rFonts w:ascii="Times New Roman" w:hAnsi="Times New Roman" w:cs="Times New Roman"/>
          <w:sz w:val="24"/>
          <w:szCs w:val="24"/>
        </w:rPr>
        <w:t>(</w:t>
      </w:r>
      <w:r w:rsidR="002E4B86">
        <w:rPr>
          <w:rFonts w:ascii="Times New Roman" w:hAnsi="Times New Roman" w:cs="Times New Roman"/>
          <w:sz w:val="24"/>
          <w:szCs w:val="24"/>
        </w:rPr>
        <w:t>2014</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The </w:t>
      </w:r>
      <w:r w:rsidR="00DE1E20">
        <w:rPr>
          <w:rFonts w:ascii="Times New Roman" w:hAnsi="Times New Roman" w:cs="Times New Roman"/>
          <w:sz w:val="24"/>
          <w:szCs w:val="24"/>
        </w:rPr>
        <w:t>I</w:t>
      </w:r>
      <w:r w:rsidR="00A47D20" w:rsidRPr="00A47D20">
        <w:rPr>
          <w:rFonts w:ascii="Times New Roman" w:hAnsi="Times New Roman" w:cs="Times New Roman"/>
          <w:sz w:val="24"/>
          <w:szCs w:val="24"/>
        </w:rPr>
        <w:t xml:space="preserve">mpact of </w:t>
      </w:r>
      <w:r w:rsidR="00DE1E20">
        <w:rPr>
          <w:rFonts w:ascii="Times New Roman" w:hAnsi="Times New Roman" w:cs="Times New Roman"/>
          <w:sz w:val="24"/>
          <w:szCs w:val="24"/>
        </w:rPr>
        <w:t>A</w:t>
      </w:r>
      <w:r w:rsidR="00A47D20" w:rsidRPr="00A47D20">
        <w:rPr>
          <w:rFonts w:ascii="Times New Roman" w:hAnsi="Times New Roman" w:cs="Times New Roman"/>
          <w:sz w:val="24"/>
          <w:szCs w:val="24"/>
        </w:rPr>
        <w:t xml:space="preserve">mbiguity on </w:t>
      </w:r>
      <w:r w:rsidR="00DE1E20">
        <w:rPr>
          <w:rFonts w:ascii="Times New Roman" w:hAnsi="Times New Roman" w:cs="Times New Roman"/>
          <w:sz w:val="24"/>
          <w:szCs w:val="24"/>
        </w:rPr>
        <w:t>M</w:t>
      </w:r>
      <w:r w:rsidR="00A47D20" w:rsidRPr="00A47D20">
        <w:rPr>
          <w:rFonts w:ascii="Times New Roman" w:hAnsi="Times New Roman" w:cs="Times New Roman"/>
          <w:sz w:val="24"/>
          <w:szCs w:val="24"/>
        </w:rPr>
        <w:t xml:space="preserve">anagerial </w:t>
      </w:r>
      <w:r w:rsidR="00DE1E20">
        <w:rPr>
          <w:rFonts w:ascii="Times New Roman" w:hAnsi="Times New Roman" w:cs="Times New Roman"/>
          <w:sz w:val="24"/>
          <w:szCs w:val="24"/>
        </w:rPr>
        <w:t>I</w:t>
      </w:r>
      <w:r w:rsidR="00A47D20" w:rsidRPr="00A47D20">
        <w:rPr>
          <w:rFonts w:ascii="Times New Roman" w:hAnsi="Times New Roman" w:cs="Times New Roman"/>
          <w:sz w:val="24"/>
          <w:szCs w:val="24"/>
        </w:rPr>
        <w:t xml:space="preserve">nvestment and </w:t>
      </w:r>
      <w:r w:rsidR="00DE1E20">
        <w:rPr>
          <w:rFonts w:ascii="Times New Roman" w:hAnsi="Times New Roman" w:cs="Times New Roman"/>
          <w:sz w:val="24"/>
          <w:szCs w:val="24"/>
        </w:rPr>
        <w:t>C</w:t>
      </w:r>
      <w:r w:rsidR="00A47D20" w:rsidRPr="00A47D20">
        <w:rPr>
          <w:rFonts w:ascii="Times New Roman" w:hAnsi="Times New Roman" w:cs="Times New Roman"/>
          <w:sz w:val="24"/>
          <w:szCs w:val="24"/>
        </w:rPr>
        <w:t xml:space="preserve">ash </w:t>
      </w:r>
      <w:r w:rsidR="00DE1E20">
        <w:rPr>
          <w:rFonts w:ascii="Times New Roman" w:hAnsi="Times New Roman" w:cs="Times New Roman"/>
          <w:sz w:val="24"/>
          <w:szCs w:val="24"/>
        </w:rPr>
        <w:t>H</w:t>
      </w:r>
      <w:r w:rsidR="00A47D20" w:rsidRPr="00A47D20">
        <w:rPr>
          <w:rFonts w:ascii="Times New Roman" w:hAnsi="Times New Roman" w:cs="Times New Roman"/>
          <w:sz w:val="24"/>
          <w:szCs w:val="24"/>
        </w:rPr>
        <w:t>oldings.</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B701E4" w:rsidRPr="00F04570">
        <w:rPr>
          <w:rFonts w:ascii="Times New Roman" w:hAnsi="Times New Roman" w:cs="Times New Roman"/>
          <w:i/>
          <w:sz w:val="24"/>
          <w:szCs w:val="24"/>
        </w:rPr>
        <w:t>Journal of Business Finance and Accounting</w:t>
      </w:r>
      <w:r w:rsidR="00B701E4" w:rsidRPr="00B701E4">
        <w:rPr>
          <w:rFonts w:ascii="Times New Roman" w:hAnsi="Times New Roman" w:cs="Times New Roman"/>
          <w:sz w:val="24"/>
          <w:szCs w:val="24"/>
        </w:rPr>
        <w:t>,</w:t>
      </w:r>
      <w:r w:rsidR="00A47D20" w:rsidRPr="00A47D20">
        <w:rPr>
          <w:rFonts w:ascii="Times New Roman" w:hAnsi="Times New Roman" w:cs="Times New Roman"/>
          <w:sz w:val="24"/>
          <w:szCs w:val="24"/>
        </w:rPr>
        <w:t xml:space="preserve"> 41, 1071</w:t>
      </w:r>
      <w:r w:rsidR="008F37F4">
        <w:rPr>
          <w:rFonts w:ascii="Times New Roman" w:hAnsi="Times New Roman" w:cs="Times New Roman"/>
          <w:sz w:val="24"/>
          <w:szCs w:val="24"/>
        </w:rPr>
        <w:t>-</w:t>
      </w:r>
      <w:r w:rsidR="00A47D20" w:rsidRPr="00A47D20">
        <w:rPr>
          <w:rFonts w:ascii="Times New Roman" w:hAnsi="Times New Roman" w:cs="Times New Roman"/>
          <w:sz w:val="24"/>
          <w:szCs w:val="24"/>
        </w:rPr>
        <w:t>1099.</w:t>
      </w:r>
    </w:p>
    <w:p w14:paraId="7E09B81D" w14:textId="77777777" w:rsidR="00A47D20" w:rsidRPr="00A47D20" w:rsidRDefault="00971AE1"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971AE1">
        <w:rPr>
          <w:rFonts w:ascii="Times New Roman" w:hAnsi="Times New Roman" w:cs="Times New Roman"/>
          <w:sz w:val="24"/>
          <w:szCs w:val="24"/>
        </w:rPr>
        <w:t>Nishimura, Kiyohiko G., and Hiroyuki Ozaki</w:t>
      </w:r>
      <w:r w:rsidR="00A47D20" w:rsidRPr="00A47D20">
        <w:rPr>
          <w:rFonts w:ascii="Times New Roman" w:hAnsi="Times New Roman" w:cs="Times New Roman"/>
          <w:sz w:val="24"/>
          <w:szCs w:val="24"/>
        </w:rPr>
        <w:t>.</w:t>
      </w:r>
      <w:r w:rsidR="008F37F4">
        <w:rPr>
          <w:rFonts w:ascii="Times New Roman" w:hAnsi="Times New Roman" w:cs="Times New Roman"/>
          <w:sz w:val="24"/>
          <w:szCs w:val="24"/>
        </w:rPr>
        <w:t xml:space="preserve"> </w:t>
      </w:r>
      <w:r w:rsidR="00E022C1">
        <w:rPr>
          <w:rFonts w:ascii="Times New Roman" w:hAnsi="Times New Roman" w:cs="Times New Roman"/>
          <w:sz w:val="24"/>
          <w:szCs w:val="24"/>
        </w:rPr>
        <w:t>(</w:t>
      </w:r>
      <w:r w:rsidR="008F37F4">
        <w:rPr>
          <w:rFonts w:ascii="Times New Roman" w:hAnsi="Times New Roman" w:cs="Times New Roman"/>
          <w:sz w:val="24"/>
          <w:szCs w:val="24"/>
        </w:rPr>
        <w:t>2007</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Irreversible </w:t>
      </w:r>
      <w:r w:rsidR="00DE1E20">
        <w:rPr>
          <w:rFonts w:ascii="Times New Roman" w:hAnsi="Times New Roman" w:cs="Times New Roman"/>
          <w:sz w:val="24"/>
          <w:szCs w:val="24"/>
        </w:rPr>
        <w:t>I</w:t>
      </w:r>
      <w:r w:rsidR="00A47D20" w:rsidRPr="00A47D20">
        <w:rPr>
          <w:rFonts w:ascii="Times New Roman" w:hAnsi="Times New Roman" w:cs="Times New Roman"/>
          <w:sz w:val="24"/>
          <w:szCs w:val="24"/>
        </w:rPr>
        <w:t xml:space="preserve">nvestment and Knightian </w:t>
      </w:r>
      <w:r w:rsidR="00DE1E20">
        <w:rPr>
          <w:rFonts w:ascii="Times New Roman" w:hAnsi="Times New Roman" w:cs="Times New Roman"/>
          <w:sz w:val="24"/>
          <w:szCs w:val="24"/>
        </w:rPr>
        <w:t>U</w:t>
      </w:r>
      <w:r w:rsidR="00A47D20" w:rsidRPr="00A47D20">
        <w:rPr>
          <w:rFonts w:ascii="Times New Roman" w:hAnsi="Times New Roman" w:cs="Times New Roman"/>
          <w:sz w:val="24"/>
          <w:szCs w:val="24"/>
        </w:rPr>
        <w:t>ncertainty.</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5D752E" w:rsidRPr="00F04570">
        <w:rPr>
          <w:rFonts w:ascii="Times New Roman" w:hAnsi="Times New Roman" w:cs="Times New Roman"/>
          <w:i/>
          <w:sz w:val="24"/>
          <w:szCs w:val="24"/>
        </w:rPr>
        <w:t>Journal of Economic Theory</w:t>
      </w:r>
      <w:r w:rsidR="005D752E" w:rsidRPr="005D752E">
        <w:rPr>
          <w:rFonts w:ascii="Times New Roman" w:hAnsi="Times New Roman" w:cs="Times New Roman"/>
          <w:sz w:val="24"/>
          <w:szCs w:val="24"/>
        </w:rPr>
        <w:t>,</w:t>
      </w:r>
      <w:r w:rsidR="00A47D20" w:rsidRPr="00A47D20">
        <w:rPr>
          <w:rFonts w:ascii="Times New Roman" w:hAnsi="Times New Roman" w:cs="Times New Roman"/>
          <w:sz w:val="24"/>
          <w:szCs w:val="24"/>
        </w:rPr>
        <w:t xml:space="preserve"> 136, 668</w:t>
      </w:r>
      <w:r w:rsidR="008F37F4">
        <w:rPr>
          <w:rFonts w:ascii="Times New Roman" w:hAnsi="Times New Roman" w:cs="Times New Roman"/>
          <w:sz w:val="24"/>
          <w:szCs w:val="24"/>
        </w:rPr>
        <w:t>-</w:t>
      </w:r>
      <w:r w:rsidR="00A47D20" w:rsidRPr="00A47D20">
        <w:rPr>
          <w:rFonts w:ascii="Times New Roman" w:hAnsi="Times New Roman" w:cs="Times New Roman"/>
          <w:sz w:val="24"/>
          <w:szCs w:val="24"/>
        </w:rPr>
        <w:t>694.</w:t>
      </w:r>
    </w:p>
    <w:p w14:paraId="55E91AEF" w14:textId="77777777" w:rsidR="008A042C" w:rsidRPr="00CD355E" w:rsidRDefault="00084BDC"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84BDC">
        <w:rPr>
          <w:rFonts w:ascii="Times New Roman" w:hAnsi="Times New Roman" w:cs="Times New Roman"/>
          <w:sz w:val="24"/>
          <w:szCs w:val="24"/>
        </w:rPr>
        <w:t>Peek, Joe, Eric S. Rosengren, and Geoffrey M.B. Tootell</w:t>
      </w:r>
      <w:r w:rsidR="008A042C" w:rsidRPr="00CD355E">
        <w:rPr>
          <w:rFonts w:ascii="Times New Roman" w:hAnsi="Times New Roman" w:cs="Times New Roman"/>
          <w:sz w:val="24"/>
          <w:szCs w:val="24"/>
        </w:rPr>
        <w:t xml:space="preserve">. (2003) “Identifying the Macroeconomic Effect of Loan Supply Shocks.” </w:t>
      </w:r>
      <w:r w:rsidR="008A042C" w:rsidRPr="00CD355E">
        <w:rPr>
          <w:rFonts w:ascii="Times New Roman" w:hAnsi="Times New Roman" w:cs="Times New Roman"/>
          <w:i/>
          <w:sz w:val="24"/>
          <w:szCs w:val="24"/>
        </w:rPr>
        <w:t>Journal of Money, Credit and Banking</w:t>
      </w:r>
      <w:r w:rsidR="008A042C" w:rsidRPr="00CD355E">
        <w:rPr>
          <w:rFonts w:ascii="Times New Roman" w:hAnsi="Times New Roman" w:cs="Times New Roman"/>
          <w:sz w:val="24"/>
          <w:szCs w:val="24"/>
        </w:rPr>
        <w:t>, 35, 931-946.</w:t>
      </w:r>
    </w:p>
    <w:p w14:paraId="6ABB19F7" w14:textId="77777777" w:rsidR="00A47D20" w:rsidRPr="00A47D20" w:rsidRDefault="00795AD5"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795AD5">
        <w:rPr>
          <w:rFonts w:ascii="Times New Roman" w:hAnsi="Times New Roman" w:cs="Times New Roman"/>
          <w:sz w:val="24"/>
          <w:szCs w:val="24"/>
        </w:rPr>
        <w:t>Puri, Manju, Jörg Rocholl, and Sascha Steffen</w:t>
      </w:r>
      <w:r w:rsidR="00A47D20" w:rsidRPr="00A47D20">
        <w:rPr>
          <w:rFonts w:ascii="Times New Roman" w:hAnsi="Times New Roman" w:cs="Times New Roman"/>
          <w:sz w:val="24"/>
          <w:szCs w:val="24"/>
        </w:rPr>
        <w:t>.</w:t>
      </w:r>
      <w:r w:rsidR="005C2660">
        <w:rPr>
          <w:rFonts w:ascii="Times New Roman" w:hAnsi="Times New Roman" w:cs="Times New Roman"/>
          <w:sz w:val="24"/>
          <w:szCs w:val="24"/>
        </w:rPr>
        <w:t xml:space="preserve"> </w:t>
      </w:r>
      <w:r w:rsidR="00E022C1">
        <w:rPr>
          <w:rFonts w:ascii="Times New Roman" w:hAnsi="Times New Roman" w:cs="Times New Roman"/>
          <w:sz w:val="24"/>
          <w:szCs w:val="24"/>
        </w:rPr>
        <w:t>(</w:t>
      </w:r>
      <w:r w:rsidR="005C2660">
        <w:rPr>
          <w:rFonts w:ascii="Times New Roman" w:hAnsi="Times New Roman" w:cs="Times New Roman"/>
          <w:sz w:val="24"/>
          <w:szCs w:val="24"/>
        </w:rPr>
        <w:t>2011</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Global </w:t>
      </w:r>
      <w:r w:rsidR="00DE1E20">
        <w:rPr>
          <w:rFonts w:ascii="Times New Roman" w:hAnsi="Times New Roman" w:cs="Times New Roman"/>
          <w:sz w:val="24"/>
          <w:szCs w:val="24"/>
        </w:rPr>
        <w:t>R</w:t>
      </w:r>
      <w:r w:rsidR="00A47D20" w:rsidRPr="00A47D20">
        <w:rPr>
          <w:rFonts w:ascii="Times New Roman" w:hAnsi="Times New Roman" w:cs="Times New Roman"/>
          <w:sz w:val="24"/>
          <w:szCs w:val="24"/>
        </w:rPr>
        <w:t xml:space="preserve">etail </w:t>
      </w:r>
      <w:r w:rsidR="00DE1E20">
        <w:rPr>
          <w:rFonts w:ascii="Times New Roman" w:hAnsi="Times New Roman" w:cs="Times New Roman"/>
          <w:sz w:val="24"/>
          <w:szCs w:val="24"/>
        </w:rPr>
        <w:t>L</w:t>
      </w:r>
      <w:r w:rsidR="00A47D20" w:rsidRPr="00A47D20">
        <w:rPr>
          <w:rFonts w:ascii="Times New Roman" w:hAnsi="Times New Roman" w:cs="Times New Roman"/>
          <w:sz w:val="24"/>
          <w:szCs w:val="24"/>
        </w:rPr>
        <w:t xml:space="preserve">ending in the </w:t>
      </w:r>
      <w:r w:rsidR="00DE1E20">
        <w:rPr>
          <w:rFonts w:ascii="Times New Roman" w:hAnsi="Times New Roman" w:cs="Times New Roman"/>
          <w:sz w:val="24"/>
          <w:szCs w:val="24"/>
        </w:rPr>
        <w:t>A</w:t>
      </w:r>
      <w:r w:rsidR="00A47D20" w:rsidRPr="00A47D20">
        <w:rPr>
          <w:rFonts w:ascii="Times New Roman" w:hAnsi="Times New Roman" w:cs="Times New Roman"/>
          <w:sz w:val="24"/>
          <w:szCs w:val="24"/>
        </w:rPr>
        <w:t xml:space="preserve">ftermath of the US </w:t>
      </w:r>
      <w:r w:rsidR="00DE1E20">
        <w:rPr>
          <w:rFonts w:ascii="Times New Roman" w:hAnsi="Times New Roman" w:cs="Times New Roman"/>
          <w:sz w:val="24"/>
          <w:szCs w:val="24"/>
        </w:rPr>
        <w:t>F</w:t>
      </w:r>
      <w:r w:rsidR="00A47D20" w:rsidRPr="00A47D20">
        <w:rPr>
          <w:rFonts w:ascii="Times New Roman" w:hAnsi="Times New Roman" w:cs="Times New Roman"/>
          <w:sz w:val="24"/>
          <w:szCs w:val="24"/>
        </w:rPr>
        <w:t xml:space="preserve">inancial </w:t>
      </w:r>
      <w:r w:rsidR="00DE1E20">
        <w:rPr>
          <w:rFonts w:ascii="Times New Roman" w:hAnsi="Times New Roman" w:cs="Times New Roman"/>
          <w:sz w:val="24"/>
          <w:szCs w:val="24"/>
        </w:rPr>
        <w:t>C</w:t>
      </w:r>
      <w:r w:rsidR="00A47D20" w:rsidRPr="00A47D20">
        <w:rPr>
          <w:rFonts w:ascii="Times New Roman" w:hAnsi="Times New Roman" w:cs="Times New Roman"/>
          <w:sz w:val="24"/>
          <w:szCs w:val="24"/>
        </w:rPr>
        <w:t xml:space="preserve">risis: </w:t>
      </w:r>
      <w:r w:rsidR="00DE1E20">
        <w:rPr>
          <w:rFonts w:ascii="Times New Roman" w:hAnsi="Times New Roman" w:cs="Times New Roman"/>
          <w:sz w:val="24"/>
          <w:szCs w:val="24"/>
        </w:rPr>
        <w:t>D</w:t>
      </w:r>
      <w:r w:rsidR="00A47D20" w:rsidRPr="00A47D20">
        <w:rPr>
          <w:rFonts w:ascii="Times New Roman" w:hAnsi="Times New Roman" w:cs="Times New Roman"/>
          <w:sz w:val="24"/>
          <w:szCs w:val="24"/>
        </w:rPr>
        <w:t xml:space="preserve">istinguishing </w:t>
      </w:r>
      <w:r w:rsidR="00DE1E20">
        <w:rPr>
          <w:rFonts w:ascii="Times New Roman" w:hAnsi="Times New Roman" w:cs="Times New Roman"/>
          <w:sz w:val="24"/>
          <w:szCs w:val="24"/>
        </w:rPr>
        <w:t>b</w:t>
      </w:r>
      <w:r w:rsidR="00A47D20" w:rsidRPr="00A47D20">
        <w:rPr>
          <w:rFonts w:ascii="Times New Roman" w:hAnsi="Times New Roman" w:cs="Times New Roman"/>
          <w:sz w:val="24"/>
          <w:szCs w:val="24"/>
        </w:rPr>
        <w:t xml:space="preserve">etween </w:t>
      </w:r>
      <w:r w:rsidR="00DE1E20">
        <w:rPr>
          <w:rFonts w:ascii="Times New Roman" w:hAnsi="Times New Roman" w:cs="Times New Roman"/>
          <w:sz w:val="24"/>
          <w:szCs w:val="24"/>
        </w:rPr>
        <w:t>S</w:t>
      </w:r>
      <w:r w:rsidR="00A47D20" w:rsidRPr="00A47D20">
        <w:rPr>
          <w:rFonts w:ascii="Times New Roman" w:hAnsi="Times New Roman" w:cs="Times New Roman"/>
          <w:sz w:val="24"/>
          <w:szCs w:val="24"/>
        </w:rPr>
        <w:t xml:space="preserve">upply and </w:t>
      </w:r>
      <w:r w:rsidR="00DE1E20">
        <w:rPr>
          <w:rFonts w:ascii="Times New Roman" w:hAnsi="Times New Roman" w:cs="Times New Roman"/>
          <w:sz w:val="24"/>
          <w:szCs w:val="24"/>
        </w:rPr>
        <w:t>D</w:t>
      </w:r>
      <w:r w:rsidR="00A47D20" w:rsidRPr="00A47D20">
        <w:rPr>
          <w:rFonts w:ascii="Times New Roman" w:hAnsi="Times New Roman" w:cs="Times New Roman"/>
          <w:sz w:val="24"/>
          <w:szCs w:val="24"/>
        </w:rPr>
        <w:t xml:space="preserve">emand </w:t>
      </w:r>
      <w:r w:rsidR="00DE1E20">
        <w:rPr>
          <w:rFonts w:ascii="Times New Roman" w:hAnsi="Times New Roman" w:cs="Times New Roman"/>
          <w:sz w:val="24"/>
          <w:szCs w:val="24"/>
        </w:rPr>
        <w:t>E</w:t>
      </w:r>
      <w:r w:rsidR="00A47D20" w:rsidRPr="00A47D20">
        <w:rPr>
          <w:rFonts w:ascii="Times New Roman" w:hAnsi="Times New Roman" w:cs="Times New Roman"/>
          <w:sz w:val="24"/>
          <w:szCs w:val="24"/>
        </w:rPr>
        <w:t>ffects.</w:t>
      </w:r>
      <w:r w:rsidR="00E022C1">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C67CB7" w:rsidRPr="00F04570">
        <w:rPr>
          <w:rFonts w:ascii="Times New Roman" w:hAnsi="Times New Roman" w:cs="Times New Roman"/>
          <w:i/>
          <w:sz w:val="24"/>
          <w:szCs w:val="24"/>
        </w:rPr>
        <w:t>Journal of Financial Economics</w:t>
      </w:r>
      <w:r w:rsidR="00C67CB7">
        <w:rPr>
          <w:rFonts w:ascii="Times New Roman" w:hAnsi="Times New Roman" w:cs="Times New Roman"/>
          <w:sz w:val="24"/>
          <w:szCs w:val="24"/>
        </w:rPr>
        <w:t>,</w:t>
      </w:r>
      <w:r w:rsidR="00A47D20" w:rsidRPr="00A47D20">
        <w:rPr>
          <w:rFonts w:ascii="Times New Roman" w:hAnsi="Times New Roman" w:cs="Times New Roman"/>
          <w:sz w:val="24"/>
          <w:szCs w:val="24"/>
        </w:rPr>
        <w:t xml:space="preserve"> 100, 556</w:t>
      </w:r>
      <w:r w:rsidR="000B0FEE">
        <w:rPr>
          <w:rFonts w:ascii="Times New Roman" w:hAnsi="Times New Roman" w:cs="Times New Roman"/>
          <w:sz w:val="24"/>
          <w:szCs w:val="24"/>
        </w:rPr>
        <w:t>-</w:t>
      </w:r>
      <w:r w:rsidR="00A47D20" w:rsidRPr="00A47D20">
        <w:rPr>
          <w:rFonts w:ascii="Times New Roman" w:hAnsi="Times New Roman" w:cs="Times New Roman"/>
          <w:sz w:val="24"/>
          <w:szCs w:val="24"/>
        </w:rPr>
        <w:t>578.</w:t>
      </w:r>
    </w:p>
    <w:p w14:paraId="26DFFC16" w14:textId="77777777" w:rsidR="00A47D20" w:rsidRPr="00A47D20" w:rsidRDefault="0031615A"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31615A">
        <w:rPr>
          <w:rFonts w:ascii="Times New Roman" w:hAnsi="Times New Roman" w:cs="Times New Roman"/>
          <w:sz w:val="24"/>
          <w:szCs w:val="24"/>
        </w:rPr>
        <w:t xml:space="preserve">Rajan, </w:t>
      </w:r>
      <w:r w:rsidR="00422AEF" w:rsidRPr="00422AEF">
        <w:rPr>
          <w:rFonts w:ascii="Times New Roman" w:hAnsi="Times New Roman" w:cs="Times New Roman"/>
          <w:sz w:val="24"/>
          <w:szCs w:val="24"/>
        </w:rPr>
        <w:t>Raghuram G.</w:t>
      </w:r>
      <w:r w:rsidRPr="0031615A">
        <w:rPr>
          <w:rFonts w:ascii="Times New Roman" w:hAnsi="Times New Roman" w:cs="Times New Roman"/>
          <w:sz w:val="24"/>
          <w:szCs w:val="24"/>
        </w:rPr>
        <w:t xml:space="preserve"> </w:t>
      </w:r>
      <w:r w:rsidR="00E022C1">
        <w:rPr>
          <w:rFonts w:ascii="Times New Roman" w:hAnsi="Times New Roman" w:cs="Times New Roman"/>
          <w:sz w:val="24"/>
          <w:szCs w:val="24"/>
        </w:rPr>
        <w:t>(</w:t>
      </w:r>
      <w:r w:rsidRPr="0031615A">
        <w:rPr>
          <w:rFonts w:ascii="Times New Roman" w:hAnsi="Times New Roman" w:cs="Times New Roman"/>
          <w:sz w:val="24"/>
          <w:szCs w:val="24"/>
        </w:rPr>
        <w:t>2006</w:t>
      </w:r>
      <w:r w:rsidR="00E022C1">
        <w:rPr>
          <w:rFonts w:ascii="Times New Roman" w:hAnsi="Times New Roman" w:cs="Times New Roman"/>
          <w:sz w:val="24"/>
          <w:szCs w:val="24"/>
        </w:rPr>
        <w:t>)</w:t>
      </w:r>
      <w:r w:rsidRPr="0031615A">
        <w:rPr>
          <w:rFonts w:ascii="Times New Roman" w:hAnsi="Times New Roman" w:cs="Times New Roman"/>
          <w:sz w:val="24"/>
          <w:szCs w:val="24"/>
        </w:rPr>
        <w:t xml:space="preserve"> </w:t>
      </w:r>
      <w:r w:rsidR="00E022C1">
        <w:rPr>
          <w:rFonts w:ascii="Times New Roman" w:hAnsi="Times New Roman" w:cs="Times New Roman"/>
          <w:sz w:val="24"/>
          <w:szCs w:val="24"/>
        </w:rPr>
        <w:t>“</w:t>
      </w:r>
      <w:r w:rsidRPr="0031615A">
        <w:rPr>
          <w:rFonts w:ascii="Times New Roman" w:hAnsi="Times New Roman" w:cs="Times New Roman"/>
          <w:sz w:val="24"/>
          <w:szCs w:val="24"/>
        </w:rPr>
        <w:t xml:space="preserve">Has </w:t>
      </w:r>
      <w:r w:rsidR="0014229C">
        <w:rPr>
          <w:rFonts w:ascii="Times New Roman" w:hAnsi="Times New Roman" w:cs="Times New Roman"/>
          <w:sz w:val="24"/>
          <w:szCs w:val="24"/>
        </w:rPr>
        <w:t>F</w:t>
      </w:r>
      <w:r w:rsidRPr="0031615A">
        <w:rPr>
          <w:rFonts w:ascii="Times New Roman" w:hAnsi="Times New Roman" w:cs="Times New Roman"/>
          <w:sz w:val="24"/>
          <w:szCs w:val="24"/>
        </w:rPr>
        <w:t xml:space="preserve">inance </w:t>
      </w:r>
      <w:r w:rsidR="0014229C">
        <w:rPr>
          <w:rFonts w:ascii="Times New Roman" w:hAnsi="Times New Roman" w:cs="Times New Roman"/>
          <w:sz w:val="24"/>
          <w:szCs w:val="24"/>
        </w:rPr>
        <w:t>M</w:t>
      </w:r>
      <w:r w:rsidRPr="0031615A">
        <w:rPr>
          <w:rFonts w:ascii="Times New Roman" w:hAnsi="Times New Roman" w:cs="Times New Roman"/>
          <w:sz w:val="24"/>
          <w:szCs w:val="24"/>
        </w:rPr>
        <w:t xml:space="preserve">ade the </w:t>
      </w:r>
      <w:r w:rsidR="0014229C">
        <w:rPr>
          <w:rFonts w:ascii="Times New Roman" w:hAnsi="Times New Roman" w:cs="Times New Roman"/>
          <w:sz w:val="24"/>
          <w:szCs w:val="24"/>
        </w:rPr>
        <w:t>W</w:t>
      </w:r>
      <w:r w:rsidRPr="0031615A">
        <w:rPr>
          <w:rFonts w:ascii="Times New Roman" w:hAnsi="Times New Roman" w:cs="Times New Roman"/>
          <w:sz w:val="24"/>
          <w:szCs w:val="24"/>
        </w:rPr>
        <w:t xml:space="preserve">orld </w:t>
      </w:r>
      <w:r w:rsidR="0014229C">
        <w:rPr>
          <w:rFonts w:ascii="Times New Roman" w:hAnsi="Times New Roman" w:cs="Times New Roman"/>
          <w:sz w:val="24"/>
          <w:szCs w:val="24"/>
        </w:rPr>
        <w:t>R</w:t>
      </w:r>
      <w:r w:rsidRPr="0031615A">
        <w:rPr>
          <w:rFonts w:ascii="Times New Roman" w:hAnsi="Times New Roman" w:cs="Times New Roman"/>
          <w:sz w:val="24"/>
          <w:szCs w:val="24"/>
        </w:rPr>
        <w:t>iskier?</w:t>
      </w:r>
      <w:r w:rsidR="00E022C1">
        <w:rPr>
          <w:rFonts w:ascii="Times New Roman" w:hAnsi="Times New Roman" w:cs="Times New Roman"/>
          <w:sz w:val="24"/>
          <w:szCs w:val="24"/>
        </w:rPr>
        <w:t>”</w:t>
      </w:r>
      <w:r w:rsidRPr="0031615A">
        <w:rPr>
          <w:rFonts w:ascii="Times New Roman" w:hAnsi="Times New Roman" w:cs="Times New Roman"/>
          <w:sz w:val="24"/>
          <w:szCs w:val="24"/>
        </w:rPr>
        <w:t xml:space="preserve"> </w:t>
      </w:r>
      <w:r w:rsidR="005D752E" w:rsidRPr="00F04570">
        <w:rPr>
          <w:rFonts w:ascii="Times New Roman" w:hAnsi="Times New Roman" w:cs="Times New Roman"/>
          <w:i/>
          <w:sz w:val="24"/>
          <w:szCs w:val="24"/>
        </w:rPr>
        <w:t>European Financial Management</w:t>
      </w:r>
      <w:r w:rsidR="005D752E" w:rsidRPr="005D752E">
        <w:rPr>
          <w:rFonts w:ascii="Times New Roman" w:hAnsi="Times New Roman" w:cs="Times New Roman"/>
          <w:sz w:val="24"/>
          <w:szCs w:val="24"/>
        </w:rPr>
        <w:t>,</w:t>
      </w:r>
      <w:r w:rsidRPr="0031615A">
        <w:rPr>
          <w:rFonts w:ascii="Times New Roman" w:hAnsi="Times New Roman" w:cs="Times New Roman"/>
          <w:sz w:val="24"/>
          <w:szCs w:val="24"/>
        </w:rPr>
        <w:t xml:space="preserve"> 12, 499-533.</w:t>
      </w:r>
    </w:p>
    <w:p w14:paraId="79D6AC49" w14:textId="43860ECF" w:rsidR="00A47D20" w:rsidRDefault="00010AB4"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10AB4">
        <w:rPr>
          <w:rFonts w:ascii="Times New Roman" w:hAnsi="Times New Roman" w:cs="Times New Roman"/>
          <w:sz w:val="24"/>
          <w:szCs w:val="24"/>
        </w:rPr>
        <w:t>Ritz, Robert A., and Ansgar Walther</w:t>
      </w:r>
      <w:r w:rsidR="00DC74B0" w:rsidRPr="00DC74B0">
        <w:rPr>
          <w:rFonts w:ascii="Times New Roman" w:hAnsi="Times New Roman" w:cs="Times New Roman"/>
          <w:sz w:val="24"/>
          <w:szCs w:val="24"/>
        </w:rPr>
        <w:t>.</w:t>
      </w:r>
      <w:r w:rsidR="00DC74B0">
        <w:rPr>
          <w:rFonts w:ascii="Times New Roman" w:hAnsi="Times New Roman" w:cs="Times New Roman"/>
          <w:sz w:val="24"/>
          <w:szCs w:val="24"/>
        </w:rPr>
        <w:t xml:space="preserve"> </w:t>
      </w:r>
      <w:r w:rsidR="00F621D7">
        <w:rPr>
          <w:rFonts w:ascii="Times New Roman" w:hAnsi="Times New Roman" w:cs="Times New Roman"/>
          <w:sz w:val="24"/>
          <w:szCs w:val="24"/>
        </w:rPr>
        <w:t>(</w:t>
      </w:r>
      <w:r w:rsidR="00DC74B0" w:rsidRPr="00DC74B0">
        <w:rPr>
          <w:rFonts w:ascii="Times New Roman" w:hAnsi="Times New Roman" w:cs="Times New Roman"/>
          <w:sz w:val="24"/>
          <w:szCs w:val="24"/>
        </w:rPr>
        <w:t>2015</w:t>
      </w:r>
      <w:r w:rsidR="00F621D7">
        <w:rPr>
          <w:rFonts w:ascii="Times New Roman" w:hAnsi="Times New Roman" w:cs="Times New Roman"/>
          <w:sz w:val="24"/>
          <w:szCs w:val="24"/>
        </w:rPr>
        <w:t>)</w:t>
      </w:r>
      <w:r w:rsidR="00DC74B0" w:rsidRPr="00DC74B0">
        <w:rPr>
          <w:rFonts w:ascii="Times New Roman" w:hAnsi="Times New Roman" w:cs="Times New Roman"/>
          <w:sz w:val="24"/>
          <w:szCs w:val="24"/>
        </w:rPr>
        <w:t xml:space="preserve"> </w:t>
      </w:r>
      <w:r w:rsidR="00F621D7">
        <w:rPr>
          <w:rFonts w:ascii="Times New Roman" w:hAnsi="Times New Roman" w:cs="Times New Roman"/>
          <w:sz w:val="24"/>
          <w:szCs w:val="24"/>
        </w:rPr>
        <w:t>“</w:t>
      </w:r>
      <w:r w:rsidR="00DC74B0" w:rsidRPr="00DC74B0">
        <w:rPr>
          <w:rFonts w:ascii="Times New Roman" w:hAnsi="Times New Roman" w:cs="Times New Roman"/>
          <w:sz w:val="24"/>
          <w:szCs w:val="24"/>
        </w:rPr>
        <w:t xml:space="preserve">How </w:t>
      </w:r>
      <w:r w:rsidR="00263EE6">
        <w:rPr>
          <w:rFonts w:ascii="Times New Roman" w:hAnsi="Times New Roman" w:cs="Times New Roman"/>
          <w:sz w:val="24"/>
          <w:szCs w:val="24"/>
        </w:rPr>
        <w:t>D</w:t>
      </w:r>
      <w:r w:rsidR="00DC74B0" w:rsidRPr="00DC74B0">
        <w:rPr>
          <w:rFonts w:ascii="Times New Roman" w:hAnsi="Times New Roman" w:cs="Times New Roman"/>
          <w:sz w:val="24"/>
          <w:szCs w:val="24"/>
        </w:rPr>
        <w:t xml:space="preserve">o </w:t>
      </w:r>
      <w:r w:rsidR="00263EE6">
        <w:rPr>
          <w:rFonts w:ascii="Times New Roman" w:hAnsi="Times New Roman" w:cs="Times New Roman"/>
          <w:sz w:val="24"/>
          <w:szCs w:val="24"/>
        </w:rPr>
        <w:t>B</w:t>
      </w:r>
      <w:r w:rsidR="00DC74B0" w:rsidRPr="00DC74B0">
        <w:rPr>
          <w:rFonts w:ascii="Times New Roman" w:hAnsi="Times New Roman" w:cs="Times New Roman"/>
          <w:sz w:val="24"/>
          <w:szCs w:val="24"/>
        </w:rPr>
        <w:t xml:space="preserve">anks </w:t>
      </w:r>
      <w:r w:rsidR="00263EE6">
        <w:rPr>
          <w:rFonts w:ascii="Times New Roman" w:hAnsi="Times New Roman" w:cs="Times New Roman"/>
          <w:sz w:val="24"/>
          <w:szCs w:val="24"/>
        </w:rPr>
        <w:t>R</w:t>
      </w:r>
      <w:r w:rsidR="00DC74B0" w:rsidRPr="00DC74B0">
        <w:rPr>
          <w:rFonts w:ascii="Times New Roman" w:hAnsi="Times New Roman" w:cs="Times New Roman"/>
          <w:sz w:val="24"/>
          <w:szCs w:val="24"/>
        </w:rPr>
        <w:t xml:space="preserve">espond to </w:t>
      </w:r>
      <w:r w:rsidR="00263EE6">
        <w:rPr>
          <w:rFonts w:ascii="Times New Roman" w:hAnsi="Times New Roman" w:cs="Times New Roman"/>
          <w:sz w:val="24"/>
          <w:szCs w:val="24"/>
        </w:rPr>
        <w:t>I</w:t>
      </w:r>
      <w:r w:rsidR="00DC74B0" w:rsidRPr="00DC74B0">
        <w:rPr>
          <w:rFonts w:ascii="Times New Roman" w:hAnsi="Times New Roman" w:cs="Times New Roman"/>
          <w:sz w:val="24"/>
          <w:szCs w:val="24"/>
        </w:rPr>
        <w:t xml:space="preserve">ncreased </w:t>
      </w:r>
      <w:r w:rsidR="00263EE6">
        <w:rPr>
          <w:rFonts w:ascii="Times New Roman" w:hAnsi="Times New Roman" w:cs="Times New Roman"/>
          <w:sz w:val="24"/>
          <w:szCs w:val="24"/>
        </w:rPr>
        <w:t>F</w:t>
      </w:r>
      <w:r w:rsidR="00DC74B0" w:rsidRPr="00DC74B0">
        <w:rPr>
          <w:rFonts w:ascii="Times New Roman" w:hAnsi="Times New Roman" w:cs="Times New Roman"/>
          <w:sz w:val="24"/>
          <w:szCs w:val="24"/>
        </w:rPr>
        <w:t xml:space="preserve">unding </w:t>
      </w:r>
      <w:r w:rsidR="00263EE6">
        <w:rPr>
          <w:rFonts w:ascii="Times New Roman" w:hAnsi="Times New Roman" w:cs="Times New Roman"/>
          <w:sz w:val="24"/>
          <w:szCs w:val="24"/>
        </w:rPr>
        <w:t>U</w:t>
      </w:r>
      <w:r w:rsidR="00DC74B0" w:rsidRPr="00DC74B0">
        <w:rPr>
          <w:rFonts w:ascii="Times New Roman" w:hAnsi="Times New Roman" w:cs="Times New Roman"/>
          <w:sz w:val="24"/>
          <w:szCs w:val="24"/>
        </w:rPr>
        <w:t>ncertainty?</w:t>
      </w:r>
      <w:r w:rsidR="00F621D7">
        <w:rPr>
          <w:rFonts w:ascii="Times New Roman" w:hAnsi="Times New Roman" w:cs="Times New Roman"/>
          <w:sz w:val="24"/>
          <w:szCs w:val="24"/>
        </w:rPr>
        <w:t>”</w:t>
      </w:r>
      <w:r w:rsidR="00DC74B0" w:rsidRPr="00DC74B0">
        <w:rPr>
          <w:rFonts w:ascii="Times New Roman" w:hAnsi="Times New Roman" w:cs="Times New Roman"/>
          <w:sz w:val="24"/>
          <w:szCs w:val="24"/>
        </w:rPr>
        <w:t xml:space="preserve"> </w:t>
      </w:r>
      <w:r w:rsidR="004850C0" w:rsidRPr="00F04570">
        <w:rPr>
          <w:rFonts w:ascii="Times New Roman" w:hAnsi="Times New Roman" w:cs="Times New Roman"/>
          <w:i/>
          <w:sz w:val="24"/>
          <w:szCs w:val="24"/>
        </w:rPr>
        <w:t>Journal of Financial Intermediation</w:t>
      </w:r>
      <w:r w:rsidR="004850C0" w:rsidRPr="004850C0">
        <w:rPr>
          <w:rFonts w:ascii="Times New Roman" w:hAnsi="Times New Roman" w:cs="Times New Roman"/>
          <w:sz w:val="24"/>
          <w:szCs w:val="24"/>
        </w:rPr>
        <w:t>,</w:t>
      </w:r>
      <w:r w:rsidR="00DC74B0" w:rsidRPr="00DC74B0">
        <w:rPr>
          <w:rFonts w:ascii="Times New Roman" w:hAnsi="Times New Roman" w:cs="Times New Roman"/>
          <w:sz w:val="24"/>
          <w:szCs w:val="24"/>
        </w:rPr>
        <w:t xml:space="preserve"> 24, 386-410.</w:t>
      </w:r>
    </w:p>
    <w:p w14:paraId="08F2E861" w14:textId="506CE7E0" w:rsidR="00861636" w:rsidRDefault="00861636"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861636">
        <w:rPr>
          <w:rFonts w:ascii="Times New Roman" w:hAnsi="Times New Roman" w:cs="Times New Roman"/>
          <w:sz w:val="24"/>
          <w:szCs w:val="24"/>
        </w:rPr>
        <w:lastRenderedPageBreak/>
        <w:t xml:space="preserve">Rosenberg, Joshua V., and Robert F. Engle. (2002) </w:t>
      </w:r>
      <w:r>
        <w:rPr>
          <w:rFonts w:ascii="Times New Roman" w:hAnsi="Times New Roman" w:cs="Times New Roman"/>
          <w:sz w:val="24"/>
          <w:szCs w:val="24"/>
        </w:rPr>
        <w:t>“</w:t>
      </w:r>
      <w:r w:rsidRPr="00861636">
        <w:rPr>
          <w:rFonts w:ascii="Times New Roman" w:hAnsi="Times New Roman" w:cs="Times New Roman"/>
          <w:sz w:val="24"/>
          <w:szCs w:val="24"/>
        </w:rPr>
        <w:t>Empirical Pricing Kernels.</w:t>
      </w:r>
      <w:r>
        <w:rPr>
          <w:rFonts w:ascii="Times New Roman" w:hAnsi="Times New Roman" w:cs="Times New Roman"/>
          <w:sz w:val="24"/>
          <w:szCs w:val="24"/>
        </w:rPr>
        <w:t xml:space="preserve">” </w:t>
      </w:r>
      <w:r w:rsidRPr="00861636">
        <w:rPr>
          <w:rFonts w:ascii="Times New Roman" w:hAnsi="Times New Roman" w:cs="Times New Roman"/>
          <w:i/>
          <w:sz w:val="24"/>
          <w:szCs w:val="24"/>
        </w:rPr>
        <w:t>Journal of Financial Economics</w:t>
      </w:r>
      <w:r w:rsidRPr="00861636">
        <w:rPr>
          <w:rFonts w:ascii="Times New Roman" w:hAnsi="Times New Roman" w:cs="Times New Roman"/>
          <w:sz w:val="24"/>
          <w:szCs w:val="24"/>
        </w:rPr>
        <w:t>, 64, 341-372.</w:t>
      </w:r>
    </w:p>
    <w:p w14:paraId="7D086A11" w14:textId="396611EA" w:rsidR="00BC02C7" w:rsidRPr="00A47D20" w:rsidRDefault="00BC02C7"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BC02C7">
        <w:rPr>
          <w:rFonts w:ascii="Times New Roman" w:hAnsi="Times New Roman" w:cs="Times New Roman"/>
          <w:sz w:val="24"/>
          <w:szCs w:val="24"/>
        </w:rPr>
        <w:t xml:space="preserve">Sims, Christopher A. (1980) </w:t>
      </w:r>
      <w:r>
        <w:rPr>
          <w:rFonts w:ascii="Times New Roman" w:hAnsi="Times New Roman" w:cs="Times New Roman"/>
          <w:sz w:val="24"/>
          <w:szCs w:val="24"/>
        </w:rPr>
        <w:t>“</w:t>
      </w:r>
      <w:r w:rsidRPr="00BC02C7">
        <w:rPr>
          <w:rFonts w:ascii="Times New Roman" w:hAnsi="Times New Roman" w:cs="Times New Roman"/>
          <w:sz w:val="24"/>
          <w:szCs w:val="24"/>
        </w:rPr>
        <w:t>Macroeconomics and Reality.</w:t>
      </w:r>
      <w:r>
        <w:rPr>
          <w:rFonts w:ascii="Times New Roman" w:hAnsi="Times New Roman" w:cs="Times New Roman"/>
          <w:sz w:val="24"/>
          <w:szCs w:val="24"/>
        </w:rPr>
        <w:t>”</w:t>
      </w:r>
      <w:r w:rsidRPr="00BC02C7">
        <w:rPr>
          <w:rFonts w:ascii="Times New Roman" w:hAnsi="Times New Roman" w:cs="Times New Roman"/>
          <w:sz w:val="24"/>
          <w:szCs w:val="24"/>
        </w:rPr>
        <w:t xml:space="preserve"> </w:t>
      </w:r>
      <w:r w:rsidRPr="00BC02C7">
        <w:rPr>
          <w:rFonts w:ascii="Times New Roman" w:hAnsi="Times New Roman" w:cs="Times New Roman"/>
          <w:i/>
          <w:sz w:val="24"/>
          <w:szCs w:val="24"/>
        </w:rPr>
        <w:t>Econometrica</w:t>
      </w:r>
      <w:r w:rsidRPr="00BC02C7">
        <w:rPr>
          <w:rFonts w:ascii="Times New Roman" w:hAnsi="Times New Roman" w:cs="Times New Roman"/>
          <w:sz w:val="24"/>
          <w:szCs w:val="24"/>
        </w:rPr>
        <w:t>, 48, 1-48.</w:t>
      </w:r>
    </w:p>
    <w:p w14:paraId="3B9C539F" w14:textId="77777777" w:rsidR="00A47D20" w:rsidRDefault="00CB39F2"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CB39F2">
        <w:rPr>
          <w:rFonts w:ascii="Times New Roman" w:hAnsi="Times New Roman" w:cs="Times New Roman"/>
          <w:sz w:val="24"/>
          <w:szCs w:val="24"/>
        </w:rPr>
        <w:t>Ubukata, Masato, and Toshiaki Watanabe</w:t>
      </w:r>
      <w:r w:rsidR="00A47D20" w:rsidRPr="00A47D20">
        <w:rPr>
          <w:rFonts w:ascii="Times New Roman" w:hAnsi="Times New Roman" w:cs="Times New Roman"/>
          <w:sz w:val="24"/>
          <w:szCs w:val="24"/>
        </w:rPr>
        <w:t>.</w:t>
      </w:r>
      <w:r w:rsidR="00600C05">
        <w:rPr>
          <w:rFonts w:ascii="Times New Roman" w:hAnsi="Times New Roman" w:cs="Times New Roman"/>
          <w:sz w:val="24"/>
          <w:szCs w:val="24"/>
        </w:rPr>
        <w:t xml:space="preserve"> </w:t>
      </w:r>
      <w:r w:rsidR="00F621D7">
        <w:rPr>
          <w:rFonts w:ascii="Times New Roman" w:hAnsi="Times New Roman" w:cs="Times New Roman"/>
          <w:sz w:val="24"/>
          <w:szCs w:val="24"/>
        </w:rPr>
        <w:t>(</w:t>
      </w:r>
      <w:r w:rsidR="00600C05">
        <w:rPr>
          <w:rFonts w:ascii="Times New Roman" w:hAnsi="Times New Roman" w:cs="Times New Roman"/>
          <w:sz w:val="24"/>
          <w:szCs w:val="24"/>
        </w:rPr>
        <w:t>2014</w:t>
      </w:r>
      <w:r w:rsidR="00F621D7">
        <w:rPr>
          <w:rFonts w:ascii="Times New Roman" w:hAnsi="Times New Roman" w:cs="Times New Roman"/>
          <w:sz w:val="24"/>
          <w:szCs w:val="24"/>
        </w:rPr>
        <w:t>)</w:t>
      </w:r>
      <w:r w:rsidR="00600C05">
        <w:rPr>
          <w:rFonts w:ascii="Times New Roman" w:hAnsi="Times New Roman" w:cs="Times New Roman"/>
          <w:sz w:val="24"/>
          <w:szCs w:val="24"/>
        </w:rPr>
        <w:t xml:space="preserve"> </w:t>
      </w:r>
      <w:r w:rsidR="00F621D7">
        <w:rPr>
          <w:rFonts w:ascii="Times New Roman" w:hAnsi="Times New Roman" w:cs="Times New Roman"/>
          <w:sz w:val="24"/>
          <w:szCs w:val="24"/>
        </w:rPr>
        <w:t>“</w:t>
      </w:r>
      <w:r w:rsidR="00A47D20" w:rsidRPr="00A47D20">
        <w:rPr>
          <w:rFonts w:ascii="Times New Roman" w:hAnsi="Times New Roman" w:cs="Times New Roman"/>
          <w:sz w:val="24"/>
          <w:szCs w:val="24"/>
        </w:rPr>
        <w:t xml:space="preserve">Market </w:t>
      </w:r>
      <w:r w:rsidR="00263EE6">
        <w:rPr>
          <w:rFonts w:ascii="Times New Roman" w:hAnsi="Times New Roman" w:cs="Times New Roman"/>
          <w:sz w:val="24"/>
          <w:szCs w:val="24"/>
        </w:rPr>
        <w:t>V</w:t>
      </w:r>
      <w:r w:rsidR="00A47D20" w:rsidRPr="00A47D20">
        <w:rPr>
          <w:rFonts w:ascii="Times New Roman" w:hAnsi="Times New Roman" w:cs="Times New Roman"/>
          <w:sz w:val="24"/>
          <w:szCs w:val="24"/>
        </w:rPr>
        <w:t xml:space="preserve">ariance </w:t>
      </w:r>
      <w:r w:rsidR="00263EE6">
        <w:rPr>
          <w:rFonts w:ascii="Times New Roman" w:hAnsi="Times New Roman" w:cs="Times New Roman"/>
          <w:sz w:val="24"/>
          <w:szCs w:val="24"/>
        </w:rPr>
        <w:t>R</w:t>
      </w:r>
      <w:r w:rsidR="00A47D20" w:rsidRPr="00A47D20">
        <w:rPr>
          <w:rFonts w:ascii="Times New Roman" w:hAnsi="Times New Roman" w:cs="Times New Roman"/>
          <w:sz w:val="24"/>
          <w:szCs w:val="24"/>
        </w:rPr>
        <w:t xml:space="preserve">isk </w:t>
      </w:r>
      <w:r w:rsidR="00263EE6">
        <w:rPr>
          <w:rFonts w:ascii="Times New Roman" w:hAnsi="Times New Roman" w:cs="Times New Roman"/>
          <w:sz w:val="24"/>
          <w:szCs w:val="24"/>
        </w:rPr>
        <w:t>P</w:t>
      </w:r>
      <w:r w:rsidR="00A47D20" w:rsidRPr="00A47D20">
        <w:rPr>
          <w:rFonts w:ascii="Times New Roman" w:hAnsi="Times New Roman" w:cs="Times New Roman"/>
          <w:sz w:val="24"/>
          <w:szCs w:val="24"/>
        </w:rPr>
        <w:t xml:space="preserve">remiums in Japan for </w:t>
      </w:r>
      <w:r w:rsidR="00263EE6">
        <w:rPr>
          <w:rFonts w:ascii="Times New Roman" w:hAnsi="Times New Roman" w:cs="Times New Roman"/>
          <w:sz w:val="24"/>
          <w:szCs w:val="24"/>
        </w:rPr>
        <w:t>A</w:t>
      </w:r>
      <w:r w:rsidR="00A47D20" w:rsidRPr="00A47D20">
        <w:rPr>
          <w:rFonts w:ascii="Times New Roman" w:hAnsi="Times New Roman" w:cs="Times New Roman"/>
          <w:sz w:val="24"/>
          <w:szCs w:val="24"/>
        </w:rPr>
        <w:t xml:space="preserve">sset </w:t>
      </w:r>
      <w:r w:rsidR="00263EE6">
        <w:rPr>
          <w:rFonts w:ascii="Times New Roman" w:hAnsi="Times New Roman" w:cs="Times New Roman"/>
          <w:sz w:val="24"/>
          <w:szCs w:val="24"/>
        </w:rPr>
        <w:t>P</w:t>
      </w:r>
      <w:r w:rsidR="00A47D20" w:rsidRPr="00A47D20">
        <w:rPr>
          <w:rFonts w:ascii="Times New Roman" w:hAnsi="Times New Roman" w:cs="Times New Roman"/>
          <w:sz w:val="24"/>
          <w:szCs w:val="24"/>
        </w:rPr>
        <w:t>redictability.</w:t>
      </w:r>
      <w:r w:rsidR="00F621D7">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976771" w:rsidRPr="00F04570">
        <w:rPr>
          <w:rFonts w:ascii="Times New Roman" w:hAnsi="Times New Roman" w:cs="Times New Roman"/>
          <w:i/>
          <w:sz w:val="24"/>
          <w:szCs w:val="24"/>
        </w:rPr>
        <w:t>Empirical Economics</w:t>
      </w:r>
      <w:r w:rsidR="00976771">
        <w:rPr>
          <w:rFonts w:ascii="Times New Roman" w:hAnsi="Times New Roman" w:cs="Times New Roman"/>
          <w:sz w:val="24"/>
          <w:szCs w:val="24"/>
        </w:rPr>
        <w:t>,</w:t>
      </w:r>
      <w:r w:rsidR="00A47D20" w:rsidRPr="00A47D20">
        <w:rPr>
          <w:rFonts w:ascii="Times New Roman" w:hAnsi="Times New Roman" w:cs="Times New Roman"/>
          <w:sz w:val="24"/>
          <w:szCs w:val="24"/>
        </w:rPr>
        <w:t xml:space="preserve"> 47, 169</w:t>
      </w:r>
      <w:r w:rsidR="00600C05">
        <w:rPr>
          <w:rFonts w:ascii="Times New Roman" w:hAnsi="Times New Roman" w:cs="Times New Roman"/>
          <w:sz w:val="24"/>
          <w:szCs w:val="24"/>
        </w:rPr>
        <w:t>-</w:t>
      </w:r>
      <w:r w:rsidR="00A47D20" w:rsidRPr="00A47D20">
        <w:rPr>
          <w:rFonts w:ascii="Times New Roman" w:hAnsi="Times New Roman" w:cs="Times New Roman"/>
          <w:sz w:val="24"/>
          <w:szCs w:val="24"/>
        </w:rPr>
        <w:t>198.</w:t>
      </w:r>
    </w:p>
    <w:p w14:paraId="7740D233" w14:textId="77777777" w:rsidR="00D95489" w:rsidRPr="00A47D20" w:rsidRDefault="00D95489"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t xml:space="preserve">Uhlig, Herald. (2005) “What are the Effects of Monetary Policy on Output? Results from an Agnostic Identification Procedure.” </w:t>
      </w:r>
      <w:r w:rsidRPr="00D95489">
        <w:rPr>
          <w:rFonts w:ascii="Times New Roman" w:hAnsi="Times New Roman" w:cs="Times New Roman"/>
          <w:i/>
          <w:sz w:val="24"/>
          <w:szCs w:val="24"/>
        </w:rPr>
        <w:t>Journal of Monetary Economics</w:t>
      </w:r>
      <w:r>
        <w:rPr>
          <w:rFonts w:ascii="Times New Roman" w:hAnsi="Times New Roman" w:cs="Times New Roman"/>
          <w:sz w:val="24"/>
          <w:szCs w:val="24"/>
        </w:rPr>
        <w:t>, 52, 381-419.</w:t>
      </w:r>
    </w:p>
    <w:p w14:paraId="0CCCEDC2" w14:textId="77777777" w:rsidR="00A47D20" w:rsidRPr="00A47D20" w:rsidRDefault="00341665"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341665">
        <w:rPr>
          <w:rFonts w:ascii="Times New Roman" w:hAnsi="Times New Roman" w:cs="Times New Roman"/>
          <w:sz w:val="24"/>
          <w:szCs w:val="24"/>
        </w:rPr>
        <w:t xml:space="preserve">Valencia, </w:t>
      </w:r>
      <w:r w:rsidR="00CB39F2" w:rsidRPr="00CB39F2">
        <w:rPr>
          <w:rFonts w:ascii="Times New Roman" w:hAnsi="Times New Roman" w:cs="Times New Roman"/>
          <w:sz w:val="24"/>
          <w:szCs w:val="24"/>
        </w:rPr>
        <w:t>Fabián</w:t>
      </w:r>
      <w:r w:rsidRPr="00341665">
        <w:rPr>
          <w:rFonts w:ascii="Times New Roman" w:hAnsi="Times New Roman" w:cs="Times New Roman"/>
          <w:sz w:val="24"/>
          <w:szCs w:val="24"/>
        </w:rPr>
        <w:t xml:space="preserve">. </w:t>
      </w:r>
      <w:r w:rsidR="00F621D7">
        <w:rPr>
          <w:rFonts w:ascii="Times New Roman" w:hAnsi="Times New Roman" w:cs="Times New Roman"/>
          <w:sz w:val="24"/>
          <w:szCs w:val="24"/>
        </w:rPr>
        <w:t>(</w:t>
      </w:r>
      <w:r w:rsidRPr="00341665">
        <w:rPr>
          <w:rFonts w:ascii="Times New Roman" w:hAnsi="Times New Roman" w:cs="Times New Roman"/>
          <w:sz w:val="24"/>
          <w:szCs w:val="24"/>
        </w:rPr>
        <w:t>2017</w:t>
      </w:r>
      <w:r w:rsidR="00F621D7">
        <w:rPr>
          <w:rFonts w:ascii="Times New Roman" w:hAnsi="Times New Roman" w:cs="Times New Roman"/>
          <w:sz w:val="24"/>
          <w:szCs w:val="24"/>
        </w:rPr>
        <w:t>)</w:t>
      </w:r>
      <w:r w:rsidRPr="00341665">
        <w:rPr>
          <w:rFonts w:ascii="Times New Roman" w:hAnsi="Times New Roman" w:cs="Times New Roman"/>
          <w:sz w:val="24"/>
          <w:szCs w:val="24"/>
        </w:rPr>
        <w:t xml:space="preserve"> </w:t>
      </w:r>
      <w:r w:rsidR="00F621D7">
        <w:rPr>
          <w:rFonts w:ascii="Times New Roman" w:hAnsi="Times New Roman" w:cs="Times New Roman"/>
          <w:sz w:val="24"/>
          <w:szCs w:val="24"/>
        </w:rPr>
        <w:t>“</w:t>
      </w:r>
      <w:r w:rsidRPr="00341665">
        <w:rPr>
          <w:rFonts w:ascii="Times New Roman" w:hAnsi="Times New Roman" w:cs="Times New Roman"/>
          <w:sz w:val="24"/>
          <w:szCs w:val="24"/>
        </w:rPr>
        <w:t xml:space="preserve">Aggregate </w:t>
      </w:r>
      <w:r w:rsidR="00263EE6">
        <w:rPr>
          <w:rFonts w:ascii="Times New Roman" w:hAnsi="Times New Roman" w:cs="Times New Roman"/>
          <w:sz w:val="24"/>
          <w:szCs w:val="24"/>
        </w:rPr>
        <w:t>U</w:t>
      </w:r>
      <w:r w:rsidRPr="00341665">
        <w:rPr>
          <w:rFonts w:ascii="Times New Roman" w:hAnsi="Times New Roman" w:cs="Times New Roman"/>
          <w:sz w:val="24"/>
          <w:szCs w:val="24"/>
        </w:rPr>
        <w:t xml:space="preserve">ncertainty and the </w:t>
      </w:r>
      <w:r w:rsidR="00263EE6">
        <w:rPr>
          <w:rFonts w:ascii="Times New Roman" w:hAnsi="Times New Roman" w:cs="Times New Roman"/>
          <w:sz w:val="24"/>
          <w:szCs w:val="24"/>
        </w:rPr>
        <w:t>S</w:t>
      </w:r>
      <w:r w:rsidRPr="00341665">
        <w:rPr>
          <w:rFonts w:ascii="Times New Roman" w:hAnsi="Times New Roman" w:cs="Times New Roman"/>
          <w:sz w:val="24"/>
          <w:szCs w:val="24"/>
        </w:rPr>
        <w:t xml:space="preserve">upply of </w:t>
      </w:r>
      <w:r w:rsidR="00263EE6">
        <w:rPr>
          <w:rFonts w:ascii="Times New Roman" w:hAnsi="Times New Roman" w:cs="Times New Roman"/>
          <w:sz w:val="24"/>
          <w:szCs w:val="24"/>
        </w:rPr>
        <w:t>C</w:t>
      </w:r>
      <w:r w:rsidRPr="00341665">
        <w:rPr>
          <w:rFonts w:ascii="Times New Roman" w:hAnsi="Times New Roman" w:cs="Times New Roman"/>
          <w:sz w:val="24"/>
          <w:szCs w:val="24"/>
        </w:rPr>
        <w:t>redit.</w:t>
      </w:r>
      <w:r w:rsidR="00F621D7">
        <w:rPr>
          <w:rFonts w:ascii="Times New Roman" w:hAnsi="Times New Roman" w:cs="Times New Roman"/>
          <w:sz w:val="24"/>
          <w:szCs w:val="24"/>
        </w:rPr>
        <w:t>”</w:t>
      </w:r>
      <w:r w:rsidRPr="00341665">
        <w:rPr>
          <w:rFonts w:ascii="Times New Roman" w:hAnsi="Times New Roman" w:cs="Times New Roman"/>
          <w:sz w:val="24"/>
          <w:szCs w:val="24"/>
        </w:rPr>
        <w:t xml:space="preserve"> </w:t>
      </w:r>
      <w:r w:rsidR="00C10B04" w:rsidRPr="00F04570">
        <w:rPr>
          <w:rFonts w:ascii="Times New Roman" w:hAnsi="Times New Roman" w:cs="Times New Roman"/>
          <w:i/>
          <w:sz w:val="24"/>
          <w:szCs w:val="24"/>
        </w:rPr>
        <w:t>Journal of Banking and Finance</w:t>
      </w:r>
      <w:r w:rsidR="00C10B04" w:rsidRPr="00C10B04">
        <w:rPr>
          <w:rFonts w:ascii="Times New Roman" w:hAnsi="Times New Roman" w:cs="Times New Roman"/>
          <w:sz w:val="24"/>
          <w:szCs w:val="24"/>
        </w:rPr>
        <w:t>,</w:t>
      </w:r>
      <w:r>
        <w:rPr>
          <w:rFonts w:ascii="Times New Roman" w:hAnsi="Times New Roman" w:cs="Times New Roman"/>
          <w:sz w:val="24"/>
          <w:szCs w:val="24"/>
        </w:rPr>
        <w:t xml:space="preserve"> 81</w:t>
      </w:r>
      <w:r w:rsidR="002479FC">
        <w:rPr>
          <w:rFonts w:ascii="Times New Roman" w:hAnsi="Times New Roman" w:cs="Times New Roman"/>
          <w:sz w:val="24"/>
          <w:szCs w:val="24"/>
        </w:rPr>
        <w:t>, 150-</w:t>
      </w:r>
      <w:r w:rsidR="002479FC" w:rsidRPr="002479FC">
        <w:rPr>
          <w:rFonts w:ascii="Times New Roman" w:hAnsi="Times New Roman" w:cs="Times New Roman"/>
          <w:sz w:val="24"/>
          <w:szCs w:val="24"/>
        </w:rPr>
        <w:t>165</w:t>
      </w:r>
      <w:r w:rsidR="002479FC">
        <w:rPr>
          <w:rFonts w:ascii="Times New Roman" w:hAnsi="Times New Roman" w:cs="Times New Roman"/>
          <w:sz w:val="24"/>
          <w:szCs w:val="24"/>
        </w:rPr>
        <w:t>.</w:t>
      </w:r>
    </w:p>
    <w:p w14:paraId="2CC9EF70" w14:textId="77777777" w:rsidR="00A47D20" w:rsidRPr="00A47D20" w:rsidRDefault="00264E26"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FB0707">
        <w:rPr>
          <w:rFonts w:ascii="Times New Roman" w:hAnsi="Times New Roman" w:cs="Times New Roman"/>
          <w:sz w:val="24"/>
          <w:szCs w:val="24"/>
        </w:rPr>
        <w:t>Van der Veer, Koen J.M., and Marco M. Hoeberichts</w:t>
      </w:r>
      <w:r w:rsidR="00A47D20" w:rsidRPr="00FB0707">
        <w:rPr>
          <w:rFonts w:ascii="Times New Roman" w:hAnsi="Times New Roman" w:cs="Times New Roman"/>
          <w:sz w:val="24"/>
          <w:szCs w:val="24"/>
        </w:rPr>
        <w:t>.</w:t>
      </w:r>
      <w:r w:rsidR="00452822" w:rsidRPr="00FB0707">
        <w:rPr>
          <w:rFonts w:ascii="Times New Roman" w:hAnsi="Times New Roman" w:cs="Times New Roman"/>
          <w:sz w:val="24"/>
          <w:szCs w:val="24"/>
        </w:rPr>
        <w:t xml:space="preserve"> </w:t>
      </w:r>
      <w:r w:rsidR="00F621D7" w:rsidRPr="00FB0707">
        <w:rPr>
          <w:rFonts w:ascii="Times New Roman" w:hAnsi="Times New Roman" w:cs="Times New Roman"/>
          <w:sz w:val="24"/>
          <w:szCs w:val="24"/>
        </w:rPr>
        <w:t>(</w:t>
      </w:r>
      <w:r w:rsidR="00452822" w:rsidRPr="00FB0707">
        <w:rPr>
          <w:rFonts w:ascii="Times New Roman" w:hAnsi="Times New Roman" w:cs="Times New Roman"/>
          <w:sz w:val="24"/>
          <w:szCs w:val="24"/>
        </w:rPr>
        <w:t>2016</w:t>
      </w:r>
      <w:r w:rsidR="00F621D7" w:rsidRPr="00FB0707">
        <w:rPr>
          <w:rFonts w:ascii="Times New Roman" w:hAnsi="Times New Roman" w:cs="Times New Roman"/>
          <w:sz w:val="24"/>
          <w:szCs w:val="24"/>
        </w:rPr>
        <w:t>)</w:t>
      </w:r>
      <w:r w:rsidR="00A47D20" w:rsidRPr="00FB0707">
        <w:rPr>
          <w:rFonts w:ascii="Times New Roman" w:hAnsi="Times New Roman" w:cs="Times New Roman"/>
          <w:sz w:val="24"/>
          <w:szCs w:val="24"/>
        </w:rPr>
        <w:t xml:space="preserve"> </w:t>
      </w:r>
      <w:r w:rsidR="00F621D7" w:rsidRPr="00FB0707">
        <w:rPr>
          <w:rFonts w:ascii="Times New Roman" w:hAnsi="Times New Roman" w:cs="Times New Roman"/>
          <w:sz w:val="24"/>
          <w:szCs w:val="24"/>
        </w:rPr>
        <w:t>“</w:t>
      </w:r>
      <w:r w:rsidR="00A47D20" w:rsidRPr="00FB0707">
        <w:rPr>
          <w:rFonts w:ascii="Times New Roman" w:hAnsi="Times New Roman" w:cs="Times New Roman"/>
          <w:sz w:val="24"/>
          <w:szCs w:val="24"/>
        </w:rPr>
        <w:t xml:space="preserve">The </w:t>
      </w:r>
      <w:r w:rsidR="00263EE6" w:rsidRPr="00FB0707">
        <w:rPr>
          <w:rFonts w:ascii="Times New Roman" w:hAnsi="Times New Roman" w:cs="Times New Roman"/>
          <w:sz w:val="24"/>
          <w:szCs w:val="24"/>
        </w:rPr>
        <w:t>L</w:t>
      </w:r>
      <w:r w:rsidR="00A47D20" w:rsidRPr="00FB0707">
        <w:rPr>
          <w:rFonts w:ascii="Times New Roman" w:hAnsi="Times New Roman" w:cs="Times New Roman"/>
          <w:sz w:val="24"/>
          <w:szCs w:val="24"/>
        </w:rPr>
        <w:t xml:space="preserve">evel </w:t>
      </w:r>
      <w:r w:rsidR="00263EE6" w:rsidRPr="00FB0707">
        <w:rPr>
          <w:rFonts w:ascii="Times New Roman" w:hAnsi="Times New Roman" w:cs="Times New Roman"/>
          <w:sz w:val="24"/>
          <w:szCs w:val="24"/>
        </w:rPr>
        <w:t>E</w:t>
      </w:r>
      <w:r w:rsidR="00A47D20" w:rsidRPr="00FB0707">
        <w:rPr>
          <w:rFonts w:ascii="Times New Roman" w:hAnsi="Times New Roman" w:cs="Times New Roman"/>
          <w:sz w:val="24"/>
          <w:szCs w:val="24"/>
        </w:rPr>
        <w:t xml:space="preserve">ffect of </w:t>
      </w:r>
      <w:r w:rsidR="00263EE6" w:rsidRPr="00FB0707">
        <w:rPr>
          <w:rFonts w:ascii="Times New Roman" w:hAnsi="Times New Roman" w:cs="Times New Roman"/>
          <w:sz w:val="24"/>
          <w:szCs w:val="24"/>
        </w:rPr>
        <w:t>B</w:t>
      </w:r>
      <w:r w:rsidR="00A47D20" w:rsidRPr="00FB0707">
        <w:rPr>
          <w:rFonts w:ascii="Times New Roman" w:hAnsi="Times New Roman" w:cs="Times New Roman"/>
          <w:sz w:val="24"/>
          <w:szCs w:val="24"/>
        </w:rPr>
        <w:t xml:space="preserve">ank </w:t>
      </w:r>
      <w:r w:rsidR="00263EE6" w:rsidRPr="00FB0707">
        <w:rPr>
          <w:rFonts w:ascii="Times New Roman" w:hAnsi="Times New Roman" w:cs="Times New Roman"/>
          <w:sz w:val="24"/>
          <w:szCs w:val="24"/>
        </w:rPr>
        <w:t>L</w:t>
      </w:r>
      <w:r w:rsidR="00A47D20" w:rsidRPr="00FB0707">
        <w:rPr>
          <w:rFonts w:ascii="Times New Roman" w:hAnsi="Times New Roman" w:cs="Times New Roman"/>
          <w:sz w:val="24"/>
          <w:szCs w:val="24"/>
        </w:rPr>
        <w:t xml:space="preserve">ending </w:t>
      </w:r>
      <w:r w:rsidR="00263EE6" w:rsidRPr="00FB0707">
        <w:rPr>
          <w:rFonts w:ascii="Times New Roman" w:hAnsi="Times New Roman" w:cs="Times New Roman"/>
          <w:sz w:val="24"/>
          <w:szCs w:val="24"/>
        </w:rPr>
        <w:t>S</w:t>
      </w:r>
      <w:r w:rsidR="00A47D20" w:rsidRPr="00FB0707">
        <w:rPr>
          <w:rFonts w:ascii="Times New Roman" w:hAnsi="Times New Roman" w:cs="Times New Roman"/>
          <w:sz w:val="24"/>
          <w:szCs w:val="24"/>
        </w:rPr>
        <w:t xml:space="preserve">tandards on </w:t>
      </w:r>
      <w:r w:rsidR="00263EE6" w:rsidRPr="00FB0707">
        <w:rPr>
          <w:rFonts w:ascii="Times New Roman" w:hAnsi="Times New Roman" w:cs="Times New Roman"/>
          <w:sz w:val="24"/>
          <w:szCs w:val="24"/>
        </w:rPr>
        <w:t>B</w:t>
      </w:r>
      <w:r w:rsidR="00A47D20" w:rsidRPr="00FB0707">
        <w:rPr>
          <w:rFonts w:ascii="Times New Roman" w:hAnsi="Times New Roman" w:cs="Times New Roman"/>
          <w:sz w:val="24"/>
          <w:szCs w:val="24"/>
        </w:rPr>
        <w:t xml:space="preserve">usiness </w:t>
      </w:r>
      <w:r w:rsidR="00263EE6" w:rsidRPr="00FB0707">
        <w:rPr>
          <w:rFonts w:ascii="Times New Roman" w:hAnsi="Times New Roman" w:cs="Times New Roman"/>
          <w:sz w:val="24"/>
          <w:szCs w:val="24"/>
        </w:rPr>
        <w:t>L</w:t>
      </w:r>
      <w:r w:rsidR="00A47D20" w:rsidRPr="00FB0707">
        <w:rPr>
          <w:rFonts w:ascii="Times New Roman" w:hAnsi="Times New Roman" w:cs="Times New Roman"/>
          <w:sz w:val="24"/>
          <w:szCs w:val="24"/>
        </w:rPr>
        <w:t>ending.</w:t>
      </w:r>
      <w:r w:rsidR="00F621D7" w:rsidRPr="00FB0707">
        <w:rPr>
          <w:rFonts w:ascii="Times New Roman" w:hAnsi="Times New Roman" w:cs="Times New Roman"/>
          <w:sz w:val="24"/>
          <w:szCs w:val="24"/>
        </w:rPr>
        <w:t>”</w:t>
      </w:r>
      <w:r w:rsidR="00A47D20" w:rsidRPr="00FB0707">
        <w:rPr>
          <w:rFonts w:ascii="Times New Roman" w:hAnsi="Times New Roman" w:cs="Times New Roman"/>
          <w:sz w:val="24"/>
          <w:szCs w:val="24"/>
        </w:rPr>
        <w:t xml:space="preserve"> </w:t>
      </w:r>
      <w:r w:rsidR="00C10B04" w:rsidRPr="00FB0707">
        <w:rPr>
          <w:rFonts w:ascii="Times New Roman" w:hAnsi="Times New Roman" w:cs="Times New Roman"/>
          <w:i/>
          <w:sz w:val="24"/>
          <w:szCs w:val="24"/>
        </w:rPr>
        <w:t>Journal of Banking and Finance</w:t>
      </w:r>
      <w:r w:rsidR="00C10B04" w:rsidRPr="00FB0707">
        <w:rPr>
          <w:rFonts w:ascii="Times New Roman" w:hAnsi="Times New Roman" w:cs="Times New Roman"/>
          <w:sz w:val="24"/>
          <w:szCs w:val="24"/>
        </w:rPr>
        <w:t>,</w:t>
      </w:r>
      <w:r w:rsidR="00A47D20" w:rsidRPr="00FB0707">
        <w:rPr>
          <w:rFonts w:ascii="Times New Roman" w:hAnsi="Times New Roman" w:cs="Times New Roman"/>
          <w:sz w:val="24"/>
          <w:szCs w:val="24"/>
        </w:rPr>
        <w:t xml:space="preserve"> 66, 79</w:t>
      </w:r>
      <w:r w:rsidR="00452822" w:rsidRPr="00FB0707">
        <w:rPr>
          <w:rFonts w:ascii="Times New Roman" w:hAnsi="Times New Roman" w:cs="Times New Roman"/>
          <w:sz w:val="24"/>
          <w:szCs w:val="24"/>
        </w:rPr>
        <w:t>-</w:t>
      </w:r>
      <w:r w:rsidR="00A47D20" w:rsidRPr="00FB0707">
        <w:rPr>
          <w:rFonts w:ascii="Times New Roman" w:hAnsi="Times New Roman" w:cs="Times New Roman"/>
          <w:sz w:val="24"/>
          <w:szCs w:val="24"/>
        </w:rPr>
        <w:t>88.</w:t>
      </w:r>
    </w:p>
    <w:p w14:paraId="59F36BDC" w14:textId="77777777" w:rsidR="00A47D20" w:rsidRPr="00A47D20" w:rsidRDefault="00680EA1"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680EA1">
        <w:rPr>
          <w:rFonts w:ascii="Times New Roman" w:hAnsi="Times New Roman" w:cs="Times New Roman"/>
          <w:sz w:val="24"/>
          <w:szCs w:val="24"/>
        </w:rPr>
        <w:t>Van Tassel, Peter, and Erik Vogt</w:t>
      </w:r>
      <w:r w:rsidR="00E46EF4" w:rsidRPr="00E46EF4">
        <w:rPr>
          <w:rFonts w:ascii="Times New Roman" w:hAnsi="Times New Roman" w:cs="Times New Roman"/>
          <w:sz w:val="24"/>
          <w:szCs w:val="24"/>
        </w:rPr>
        <w:t xml:space="preserve">. </w:t>
      </w:r>
      <w:r w:rsidR="00F621D7">
        <w:rPr>
          <w:rFonts w:ascii="Times New Roman" w:hAnsi="Times New Roman" w:cs="Times New Roman"/>
          <w:sz w:val="24"/>
          <w:szCs w:val="24"/>
        </w:rPr>
        <w:t>(</w:t>
      </w:r>
      <w:r w:rsidR="00E46EF4" w:rsidRPr="00E46EF4">
        <w:rPr>
          <w:rFonts w:ascii="Times New Roman" w:hAnsi="Times New Roman" w:cs="Times New Roman"/>
          <w:sz w:val="24"/>
          <w:szCs w:val="24"/>
        </w:rPr>
        <w:t>2016</w:t>
      </w:r>
      <w:r w:rsidR="00F621D7">
        <w:rPr>
          <w:rFonts w:ascii="Times New Roman" w:hAnsi="Times New Roman" w:cs="Times New Roman"/>
          <w:sz w:val="24"/>
          <w:szCs w:val="24"/>
        </w:rPr>
        <w:t>)</w:t>
      </w:r>
      <w:r w:rsidR="00E46EF4" w:rsidRPr="00E46EF4">
        <w:rPr>
          <w:rFonts w:ascii="Times New Roman" w:hAnsi="Times New Roman" w:cs="Times New Roman"/>
          <w:sz w:val="24"/>
          <w:szCs w:val="24"/>
        </w:rPr>
        <w:t xml:space="preserve"> </w:t>
      </w:r>
      <w:r w:rsidR="00F621D7">
        <w:rPr>
          <w:rFonts w:ascii="Times New Roman" w:hAnsi="Times New Roman" w:cs="Times New Roman"/>
          <w:sz w:val="24"/>
          <w:szCs w:val="24"/>
        </w:rPr>
        <w:t>“</w:t>
      </w:r>
      <w:r w:rsidR="00E46EF4" w:rsidRPr="00E46EF4">
        <w:rPr>
          <w:rFonts w:ascii="Times New Roman" w:hAnsi="Times New Roman" w:cs="Times New Roman"/>
          <w:sz w:val="24"/>
          <w:szCs w:val="24"/>
        </w:rPr>
        <w:t xml:space="preserve">Global </w:t>
      </w:r>
      <w:r w:rsidR="00263EE6">
        <w:rPr>
          <w:rFonts w:ascii="Times New Roman" w:hAnsi="Times New Roman" w:cs="Times New Roman"/>
          <w:sz w:val="24"/>
          <w:szCs w:val="24"/>
        </w:rPr>
        <w:t>V</w:t>
      </w:r>
      <w:r w:rsidR="00E46EF4" w:rsidRPr="00E46EF4">
        <w:rPr>
          <w:rFonts w:ascii="Times New Roman" w:hAnsi="Times New Roman" w:cs="Times New Roman"/>
          <w:sz w:val="24"/>
          <w:szCs w:val="24"/>
        </w:rPr>
        <w:t xml:space="preserve">ariance </w:t>
      </w:r>
      <w:r w:rsidR="00263EE6">
        <w:rPr>
          <w:rFonts w:ascii="Times New Roman" w:hAnsi="Times New Roman" w:cs="Times New Roman"/>
          <w:sz w:val="24"/>
          <w:szCs w:val="24"/>
        </w:rPr>
        <w:t>T</w:t>
      </w:r>
      <w:r w:rsidR="00E46EF4" w:rsidRPr="00E46EF4">
        <w:rPr>
          <w:rFonts w:ascii="Times New Roman" w:hAnsi="Times New Roman" w:cs="Times New Roman"/>
          <w:sz w:val="24"/>
          <w:szCs w:val="24"/>
        </w:rPr>
        <w:t xml:space="preserve">erm </w:t>
      </w:r>
      <w:r w:rsidR="00263EE6">
        <w:rPr>
          <w:rFonts w:ascii="Times New Roman" w:hAnsi="Times New Roman" w:cs="Times New Roman"/>
          <w:sz w:val="24"/>
          <w:szCs w:val="24"/>
        </w:rPr>
        <w:t>P</w:t>
      </w:r>
      <w:r w:rsidR="00E46EF4" w:rsidRPr="00E46EF4">
        <w:rPr>
          <w:rFonts w:ascii="Times New Roman" w:hAnsi="Times New Roman" w:cs="Times New Roman"/>
          <w:sz w:val="24"/>
          <w:szCs w:val="24"/>
        </w:rPr>
        <w:t xml:space="preserve">remia and </w:t>
      </w:r>
      <w:r w:rsidR="00263EE6">
        <w:rPr>
          <w:rFonts w:ascii="Times New Roman" w:hAnsi="Times New Roman" w:cs="Times New Roman"/>
          <w:sz w:val="24"/>
          <w:szCs w:val="24"/>
        </w:rPr>
        <w:t>I</w:t>
      </w:r>
      <w:r w:rsidR="00E46EF4" w:rsidRPr="00E46EF4">
        <w:rPr>
          <w:rFonts w:ascii="Times New Roman" w:hAnsi="Times New Roman" w:cs="Times New Roman"/>
          <w:sz w:val="24"/>
          <w:szCs w:val="24"/>
        </w:rPr>
        <w:t xml:space="preserve">ntermediary </w:t>
      </w:r>
      <w:r w:rsidR="00263EE6">
        <w:rPr>
          <w:rFonts w:ascii="Times New Roman" w:hAnsi="Times New Roman" w:cs="Times New Roman"/>
          <w:sz w:val="24"/>
          <w:szCs w:val="24"/>
        </w:rPr>
        <w:t>R</w:t>
      </w:r>
      <w:r w:rsidR="00E46EF4" w:rsidRPr="00E46EF4">
        <w:rPr>
          <w:rFonts w:ascii="Times New Roman" w:hAnsi="Times New Roman" w:cs="Times New Roman"/>
          <w:sz w:val="24"/>
          <w:szCs w:val="24"/>
        </w:rPr>
        <w:t xml:space="preserve">isk </w:t>
      </w:r>
      <w:r w:rsidR="00263EE6">
        <w:rPr>
          <w:rFonts w:ascii="Times New Roman" w:hAnsi="Times New Roman" w:cs="Times New Roman"/>
          <w:sz w:val="24"/>
          <w:szCs w:val="24"/>
        </w:rPr>
        <w:t>A</w:t>
      </w:r>
      <w:r w:rsidR="00E46EF4" w:rsidRPr="00E46EF4">
        <w:rPr>
          <w:rFonts w:ascii="Times New Roman" w:hAnsi="Times New Roman" w:cs="Times New Roman"/>
          <w:sz w:val="24"/>
          <w:szCs w:val="24"/>
        </w:rPr>
        <w:t>ppetite.</w:t>
      </w:r>
      <w:r w:rsidR="00F621D7">
        <w:rPr>
          <w:rFonts w:ascii="Times New Roman" w:hAnsi="Times New Roman" w:cs="Times New Roman"/>
          <w:sz w:val="24"/>
          <w:szCs w:val="24"/>
        </w:rPr>
        <w:t>”</w:t>
      </w:r>
      <w:r w:rsidR="00E46EF4">
        <w:rPr>
          <w:rFonts w:ascii="Times New Roman" w:hAnsi="Times New Roman" w:cs="Times New Roman"/>
          <w:sz w:val="24"/>
          <w:szCs w:val="24"/>
        </w:rPr>
        <w:t xml:space="preserve"> </w:t>
      </w:r>
      <w:r w:rsidR="00803711" w:rsidRPr="00803711">
        <w:rPr>
          <w:rFonts w:ascii="Times New Roman" w:hAnsi="Times New Roman" w:cs="Times New Roman"/>
          <w:sz w:val="24"/>
          <w:szCs w:val="24"/>
        </w:rPr>
        <w:t>Federal Reserve Bank of New York Staff Reports No. 789</w:t>
      </w:r>
      <w:r w:rsidR="00E46EF4">
        <w:rPr>
          <w:rFonts w:ascii="Times New Roman" w:hAnsi="Times New Roman" w:cs="Times New Roman"/>
          <w:sz w:val="24"/>
          <w:szCs w:val="24"/>
        </w:rPr>
        <w:t>.</w:t>
      </w:r>
    </w:p>
    <w:p w14:paraId="6A7DBE65" w14:textId="77777777" w:rsidR="00A47D20" w:rsidRPr="00A47D20" w:rsidRDefault="00A47D20"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A47D20">
        <w:rPr>
          <w:rFonts w:ascii="Times New Roman" w:hAnsi="Times New Roman" w:cs="Times New Roman"/>
          <w:sz w:val="24"/>
          <w:szCs w:val="24"/>
        </w:rPr>
        <w:t xml:space="preserve">Vickery, </w:t>
      </w:r>
      <w:r w:rsidR="0008783D" w:rsidRPr="0008783D">
        <w:rPr>
          <w:rFonts w:ascii="Times New Roman" w:hAnsi="Times New Roman" w:cs="Times New Roman"/>
          <w:sz w:val="24"/>
          <w:szCs w:val="24"/>
        </w:rPr>
        <w:t>James</w:t>
      </w:r>
      <w:r w:rsidRPr="00A47D20">
        <w:rPr>
          <w:rFonts w:ascii="Times New Roman" w:hAnsi="Times New Roman" w:cs="Times New Roman"/>
          <w:sz w:val="24"/>
          <w:szCs w:val="24"/>
        </w:rPr>
        <w:t>.</w:t>
      </w:r>
      <w:r w:rsidR="00900429">
        <w:rPr>
          <w:rFonts w:ascii="Times New Roman" w:hAnsi="Times New Roman" w:cs="Times New Roman"/>
          <w:sz w:val="24"/>
          <w:szCs w:val="24"/>
        </w:rPr>
        <w:t xml:space="preserve"> </w:t>
      </w:r>
      <w:r w:rsidR="00F621D7">
        <w:rPr>
          <w:rFonts w:ascii="Times New Roman" w:hAnsi="Times New Roman" w:cs="Times New Roman"/>
          <w:sz w:val="24"/>
          <w:szCs w:val="24"/>
        </w:rPr>
        <w:t>(</w:t>
      </w:r>
      <w:r w:rsidR="00900429">
        <w:rPr>
          <w:rFonts w:ascii="Times New Roman" w:hAnsi="Times New Roman" w:cs="Times New Roman"/>
          <w:sz w:val="24"/>
          <w:szCs w:val="24"/>
        </w:rPr>
        <w:t>2008</w:t>
      </w:r>
      <w:r w:rsidR="00F621D7">
        <w:rPr>
          <w:rFonts w:ascii="Times New Roman" w:hAnsi="Times New Roman" w:cs="Times New Roman"/>
          <w:sz w:val="24"/>
          <w:szCs w:val="24"/>
        </w:rPr>
        <w:t>)</w:t>
      </w:r>
      <w:r w:rsidRPr="00A47D20">
        <w:rPr>
          <w:rFonts w:ascii="Times New Roman" w:hAnsi="Times New Roman" w:cs="Times New Roman"/>
          <w:sz w:val="24"/>
          <w:szCs w:val="24"/>
        </w:rPr>
        <w:t xml:space="preserve"> </w:t>
      </w:r>
      <w:r w:rsidR="00F621D7">
        <w:rPr>
          <w:rFonts w:ascii="Times New Roman" w:hAnsi="Times New Roman" w:cs="Times New Roman"/>
          <w:sz w:val="24"/>
          <w:szCs w:val="24"/>
        </w:rPr>
        <w:t>“</w:t>
      </w:r>
      <w:r w:rsidRPr="00A47D20">
        <w:rPr>
          <w:rFonts w:ascii="Times New Roman" w:hAnsi="Times New Roman" w:cs="Times New Roman"/>
          <w:sz w:val="24"/>
          <w:szCs w:val="24"/>
        </w:rPr>
        <w:t xml:space="preserve">How and </w:t>
      </w:r>
      <w:r w:rsidR="00263EE6">
        <w:rPr>
          <w:rFonts w:ascii="Times New Roman" w:hAnsi="Times New Roman" w:cs="Times New Roman"/>
          <w:sz w:val="24"/>
          <w:szCs w:val="24"/>
        </w:rPr>
        <w:t>W</w:t>
      </w:r>
      <w:r w:rsidRPr="00A47D20">
        <w:rPr>
          <w:rFonts w:ascii="Times New Roman" w:hAnsi="Times New Roman" w:cs="Times New Roman"/>
          <w:sz w:val="24"/>
          <w:szCs w:val="24"/>
        </w:rPr>
        <w:t xml:space="preserve">hy </w:t>
      </w:r>
      <w:r w:rsidR="00263EE6">
        <w:rPr>
          <w:rFonts w:ascii="Times New Roman" w:hAnsi="Times New Roman" w:cs="Times New Roman"/>
          <w:sz w:val="24"/>
          <w:szCs w:val="24"/>
        </w:rPr>
        <w:t>D</w:t>
      </w:r>
      <w:r w:rsidRPr="00A47D20">
        <w:rPr>
          <w:rFonts w:ascii="Times New Roman" w:hAnsi="Times New Roman" w:cs="Times New Roman"/>
          <w:sz w:val="24"/>
          <w:szCs w:val="24"/>
        </w:rPr>
        <w:t xml:space="preserve">o </w:t>
      </w:r>
      <w:r w:rsidR="00263EE6">
        <w:rPr>
          <w:rFonts w:ascii="Times New Roman" w:hAnsi="Times New Roman" w:cs="Times New Roman"/>
          <w:sz w:val="24"/>
          <w:szCs w:val="24"/>
        </w:rPr>
        <w:t>S</w:t>
      </w:r>
      <w:r w:rsidRPr="00A47D20">
        <w:rPr>
          <w:rFonts w:ascii="Times New Roman" w:hAnsi="Times New Roman" w:cs="Times New Roman"/>
          <w:sz w:val="24"/>
          <w:szCs w:val="24"/>
        </w:rPr>
        <w:t xml:space="preserve">mall </w:t>
      </w:r>
      <w:r w:rsidR="00263EE6">
        <w:rPr>
          <w:rFonts w:ascii="Times New Roman" w:hAnsi="Times New Roman" w:cs="Times New Roman"/>
          <w:sz w:val="24"/>
          <w:szCs w:val="24"/>
        </w:rPr>
        <w:t>F</w:t>
      </w:r>
      <w:r w:rsidRPr="00A47D20">
        <w:rPr>
          <w:rFonts w:ascii="Times New Roman" w:hAnsi="Times New Roman" w:cs="Times New Roman"/>
          <w:sz w:val="24"/>
          <w:szCs w:val="24"/>
        </w:rPr>
        <w:t xml:space="preserve">irms </w:t>
      </w:r>
      <w:r w:rsidR="00263EE6">
        <w:rPr>
          <w:rFonts w:ascii="Times New Roman" w:hAnsi="Times New Roman" w:cs="Times New Roman"/>
          <w:sz w:val="24"/>
          <w:szCs w:val="24"/>
        </w:rPr>
        <w:t>M</w:t>
      </w:r>
      <w:r w:rsidRPr="00A47D20">
        <w:rPr>
          <w:rFonts w:ascii="Times New Roman" w:hAnsi="Times New Roman" w:cs="Times New Roman"/>
          <w:sz w:val="24"/>
          <w:szCs w:val="24"/>
        </w:rPr>
        <w:t xml:space="preserve">anage </w:t>
      </w:r>
      <w:r w:rsidR="00263EE6">
        <w:rPr>
          <w:rFonts w:ascii="Times New Roman" w:hAnsi="Times New Roman" w:cs="Times New Roman"/>
          <w:sz w:val="24"/>
          <w:szCs w:val="24"/>
        </w:rPr>
        <w:t>I</w:t>
      </w:r>
      <w:r w:rsidRPr="00A47D20">
        <w:rPr>
          <w:rFonts w:ascii="Times New Roman" w:hAnsi="Times New Roman" w:cs="Times New Roman"/>
          <w:sz w:val="24"/>
          <w:szCs w:val="24"/>
        </w:rPr>
        <w:t xml:space="preserve">nterest </w:t>
      </w:r>
      <w:r w:rsidR="00263EE6">
        <w:rPr>
          <w:rFonts w:ascii="Times New Roman" w:hAnsi="Times New Roman" w:cs="Times New Roman"/>
          <w:sz w:val="24"/>
          <w:szCs w:val="24"/>
        </w:rPr>
        <w:t>R</w:t>
      </w:r>
      <w:r w:rsidRPr="00A47D20">
        <w:rPr>
          <w:rFonts w:ascii="Times New Roman" w:hAnsi="Times New Roman" w:cs="Times New Roman"/>
          <w:sz w:val="24"/>
          <w:szCs w:val="24"/>
        </w:rPr>
        <w:t xml:space="preserve">ate </w:t>
      </w:r>
      <w:r w:rsidR="00263EE6">
        <w:rPr>
          <w:rFonts w:ascii="Times New Roman" w:hAnsi="Times New Roman" w:cs="Times New Roman"/>
          <w:sz w:val="24"/>
          <w:szCs w:val="24"/>
        </w:rPr>
        <w:t>R</w:t>
      </w:r>
      <w:r w:rsidRPr="00A47D20">
        <w:rPr>
          <w:rFonts w:ascii="Times New Roman" w:hAnsi="Times New Roman" w:cs="Times New Roman"/>
          <w:sz w:val="24"/>
          <w:szCs w:val="24"/>
        </w:rPr>
        <w:t>isk?</w:t>
      </w:r>
      <w:r w:rsidR="00F621D7">
        <w:rPr>
          <w:rFonts w:ascii="Times New Roman" w:hAnsi="Times New Roman" w:cs="Times New Roman"/>
          <w:sz w:val="24"/>
          <w:szCs w:val="24"/>
        </w:rPr>
        <w:t>”</w:t>
      </w:r>
      <w:r w:rsidRPr="00A47D20">
        <w:rPr>
          <w:rFonts w:ascii="Times New Roman" w:hAnsi="Times New Roman" w:cs="Times New Roman"/>
          <w:sz w:val="24"/>
          <w:szCs w:val="24"/>
        </w:rPr>
        <w:t xml:space="preserve"> </w:t>
      </w:r>
      <w:r w:rsidR="00C67CB7" w:rsidRPr="00F04570">
        <w:rPr>
          <w:rFonts w:ascii="Times New Roman" w:hAnsi="Times New Roman" w:cs="Times New Roman"/>
          <w:i/>
          <w:sz w:val="24"/>
          <w:szCs w:val="24"/>
        </w:rPr>
        <w:t>Journal of Financial Economics</w:t>
      </w:r>
      <w:r w:rsidR="00C67CB7">
        <w:rPr>
          <w:rFonts w:ascii="Times New Roman" w:hAnsi="Times New Roman" w:cs="Times New Roman"/>
          <w:sz w:val="24"/>
          <w:szCs w:val="24"/>
        </w:rPr>
        <w:t>,</w:t>
      </w:r>
      <w:r w:rsidRPr="00A47D20">
        <w:rPr>
          <w:rFonts w:ascii="Times New Roman" w:hAnsi="Times New Roman" w:cs="Times New Roman"/>
          <w:sz w:val="24"/>
          <w:szCs w:val="24"/>
        </w:rPr>
        <w:t xml:space="preserve"> 87, 446</w:t>
      </w:r>
      <w:r w:rsidR="00900429">
        <w:rPr>
          <w:rFonts w:ascii="Times New Roman" w:hAnsi="Times New Roman" w:cs="Times New Roman"/>
          <w:sz w:val="24"/>
          <w:szCs w:val="24"/>
        </w:rPr>
        <w:t>-</w:t>
      </w:r>
      <w:r w:rsidRPr="00A47D20">
        <w:rPr>
          <w:rFonts w:ascii="Times New Roman" w:hAnsi="Times New Roman" w:cs="Times New Roman"/>
          <w:sz w:val="24"/>
          <w:szCs w:val="24"/>
        </w:rPr>
        <w:t>470.</w:t>
      </w:r>
    </w:p>
    <w:p w14:paraId="74FE22F9" w14:textId="546235EB" w:rsidR="00A47D20" w:rsidRDefault="0008783D" w:rsidP="00DB396D">
      <w:pPr>
        <w:autoSpaceDE w:val="0"/>
        <w:autoSpaceDN w:val="0"/>
        <w:adjustRightInd w:val="0"/>
        <w:spacing w:after="0" w:line="480" w:lineRule="auto"/>
        <w:ind w:left="516" w:hangingChars="215" w:hanging="516"/>
        <w:jc w:val="both"/>
        <w:rPr>
          <w:rFonts w:ascii="Times New Roman" w:hAnsi="Times New Roman" w:cs="Times New Roman"/>
          <w:sz w:val="24"/>
          <w:szCs w:val="24"/>
        </w:rPr>
      </w:pPr>
      <w:r w:rsidRPr="0008783D">
        <w:rPr>
          <w:rFonts w:ascii="Times New Roman" w:hAnsi="Times New Roman" w:cs="Times New Roman"/>
          <w:sz w:val="24"/>
          <w:szCs w:val="24"/>
        </w:rPr>
        <w:t>Wang, Hao, Hao Zhou, and Yi Zhou</w:t>
      </w:r>
      <w:r w:rsidR="00A47D20" w:rsidRPr="00A47D20">
        <w:rPr>
          <w:rFonts w:ascii="Times New Roman" w:hAnsi="Times New Roman" w:cs="Times New Roman"/>
          <w:sz w:val="24"/>
          <w:szCs w:val="24"/>
        </w:rPr>
        <w:t>.</w:t>
      </w:r>
      <w:r w:rsidR="000B26A7">
        <w:rPr>
          <w:rFonts w:ascii="Times New Roman" w:hAnsi="Times New Roman" w:cs="Times New Roman"/>
          <w:sz w:val="24"/>
          <w:szCs w:val="24"/>
        </w:rPr>
        <w:t xml:space="preserve"> </w:t>
      </w:r>
      <w:r w:rsidR="00F621D7">
        <w:rPr>
          <w:rFonts w:ascii="Times New Roman" w:hAnsi="Times New Roman" w:cs="Times New Roman"/>
          <w:sz w:val="24"/>
          <w:szCs w:val="24"/>
        </w:rPr>
        <w:t>(</w:t>
      </w:r>
      <w:r w:rsidR="000B26A7">
        <w:rPr>
          <w:rFonts w:ascii="Times New Roman" w:hAnsi="Times New Roman" w:cs="Times New Roman"/>
          <w:sz w:val="24"/>
          <w:szCs w:val="24"/>
        </w:rPr>
        <w:t>2013</w:t>
      </w:r>
      <w:r w:rsidR="00F621D7">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F621D7">
        <w:rPr>
          <w:rFonts w:ascii="Times New Roman" w:hAnsi="Times New Roman" w:cs="Times New Roman"/>
          <w:sz w:val="24"/>
          <w:szCs w:val="24"/>
        </w:rPr>
        <w:t>“</w:t>
      </w:r>
      <w:r w:rsidR="00A47D20" w:rsidRPr="00A47D20">
        <w:rPr>
          <w:rFonts w:ascii="Times New Roman" w:hAnsi="Times New Roman" w:cs="Times New Roman"/>
          <w:sz w:val="24"/>
          <w:szCs w:val="24"/>
        </w:rPr>
        <w:t xml:space="preserve">Credit </w:t>
      </w:r>
      <w:r w:rsidR="00263EE6">
        <w:rPr>
          <w:rFonts w:ascii="Times New Roman" w:hAnsi="Times New Roman" w:cs="Times New Roman"/>
          <w:sz w:val="24"/>
          <w:szCs w:val="24"/>
        </w:rPr>
        <w:t>D</w:t>
      </w:r>
      <w:r w:rsidR="00A47D20" w:rsidRPr="00A47D20">
        <w:rPr>
          <w:rFonts w:ascii="Times New Roman" w:hAnsi="Times New Roman" w:cs="Times New Roman"/>
          <w:sz w:val="24"/>
          <w:szCs w:val="24"/>
        </w:rPr>
        <w:t xml:space="preserve">efault </w:t>
      </w:r>
      <w:r w:rsidR="00263EE6">
        <w:rPr>
          <w:rFonts w:ascii="Times New Roman" w:hAnsi="Times New Roman" w:cs="Times New Roman"/>
          <w:sz w:val="24"/>
          <w:szCs w:val="24"/>
        </w:rPr>
        <w:t>S</w:t>
      </w:r>
      <w:r w:rsidR="00A47D20" w:rsidRPr="00A47D20">
        <w:rPr>
          <w:rFonts w:ascii="Times New Roman" w:hAnsi="Times New Roman" w:cs="Times New Roman"/>
          <w:sz w:val="24"/>
          <w:szCs w:val="24"/>
        </w:rPr>
        <w:t xml:space="preserve">wap </w:t>
      </w:r>
      <w:r w:rsidR="00263EE6">
        <w:rPr>
          <w:rFonts w:ascii="Times New Roman" w:hAnsi="Times New Roman" w:cs="Times New Roman"/>
          <w:sz w:val="24"/>
          <w:szCs w:val="24"/>
        </w:rPr>
        <w:t>S</w:t>
      </w:r>
      <w:r w:rsidR="00A47D20" w:rsidRPr="00A47D20">
        <w:rPr>
          <w:rFonts w:ascii="Times New Roman" w:hAnsi="Times New Roman" w:cs="Times New Roman"/>
          <w:sz w:val="24"/>
          <w:szCs w:val="24"/>
        </w:rPr>
        <w:t xml:space="preserve">preads and </w:t>
      </w:r>
      <w:r w:rsidR="00263EE6">
        <w:rPr>
          <w:rFonts w:ascii="Times New Roman" w:hAnsi="Times New Roman" w:cs="Times New Roman"/>
          <w:sz w:val="24"/>
          <w:szCs w:val="24"/>
        </w:rPr>
        <w:t>V</w:t>
      </w:r>
      <w:r w:rsidR="00A47D20" w:rsidRPr="00A47D20">
        <w:rPr>
          <w:rFonts w:ascii="Times New Roman" w:hAnsi="Times New Roman" w:cs="Times New Roman"/>
          <w:sz w:val="24"/>
          <w:szCs w:val="24"/>
        </w:rPr>
        <w:t xml:space="preserve">ariance </w:t>
      </w:r>
      <w:r w:rsidR="00263EE6">
        <w:rPr>
          <w:rFonts w:ascii="Times New Roman" w:hAnsi="Times New Roman" w:cs="Times New Roman"/>
          <w:sz w:val="24"/>
          <w:szCs w:val="24"/>
        </w:rPr>
        <w:t>R</w:t>
      </w:r>
      <w:r w:rsidR="00A47D20" w:rsidRPr="00A47D20">
        <w:rPr>
          <w:rFonts w:ascii="Times New Roman" w:hAnsi="Times New Roman" w:cs="Times New Roman"/>
          <w:sz w:val="24"/>
          <w:szCs w:val="24"/>
        </w:rPr>
        <w:t xml:space="preserve">isk </w:t>
      </w:r>
      <w:r w:rsidR="00263EE6">
        <w:rPr>
          <w:rFonts w:ascii="Times New Roman" w:hAnsi="Times New Roman" w:cs="Times New Roman"/>
          <w:sz w:val="24"/>
          <w:szCs w:val="24"/>
        </w:rPr>
        <w:t>P</w:t>
      </w:r>
      <w:r w:rsidR="00A47D20" w:rsidRPr="00A47D20">
        <w:rPr>
          <w:rFonts w:ascii="Times New Roman" w:hAnsi="Times New Roman" w:cs="Times New Roman"/>
          <w:sz w:val="24"/>
          <w:szCs w:val="24"/>
        </w:rPr>
        <w:t>remia.</w:t>
      </w:r>
      <w:r w:rsidR="00F621D7">
        <w:rPr>
          <w:rFonts w:ascii="Times New Roman" w:hAnsi="Times New Roman" w:cs="Times New Roman"/>
          <w:sz w:val="24"/>
          <w:szCs w:val="24"/>
        </w:rPr>
        <w:t>”</w:t>
      </w:r>
      <w:r w:rsidR="00A47D20" w:rsidRPr="00A47D20">
        <w:rPr>
          <w:rFonts w:ascii="Times New Roman" w:hAnsi="Times New Roman" w:cs="Times New Roman"/>
          <w:sz w:val="24"/>
          <w:szCs w:val="24"/>
        </w:rPr>
        <w:t xml:space="preserve"> </w:t>
      </w:r>
      <w:r w:rsidR="00C10B04" w:rsidRPr="00F04570">
        <w:rPr>
          <w:rFonts w:ascii="Times New Roman" w:hAnsi="Times New Roman" w:cs="Times New Roman"/>
          <w:i/>
          <w:sz w:val="24"/>
          <w:szCs w:val="24"/>
        </w:rPr>
        <w:t>Journal of Banking and Finance</w:t>
      </w:r>
      <w:r w:rsidR="00C10B04" w:rsidRPr="00C10B04">
        <w:rPr>
          <w:rFonts w:ascii="Times New Roman" w:hAnsi="Times New Roman" w:cs="Times New Roman"/>
          <w:sz w:val="24"/>
          <w:szCs w:val="24"/>
        </w:rPr>
        <w:t>,</w:t>
      </w:r>
      <w:r w:rsidR="00A47D20" w:rsidRPr="00A47D20">
        <w:rPr>
          <w:rFonts w:ascii="Times New Roman" w:hAnsi="Times New Roman" w:cs="Times New Roman"/>
          <w:sz w:val="24"/>
          <w:szCs w:val="24"/>
        </w:rPr>
        <w:t xml:space="preserve"> 37, 3733</w:t>
      </w:r>
      <w:r w:rsidR="000B26A7">
        <w:rPr>
          <w:rFonts w:ascii="Times New Roman" w:hAnsi="Times New Roman" w:cs="Times New Roman"/>
          <w:sz w:val="24"/>
          <w:szCs w:val="24"/>
        </w:rPr>
        <w:t>-</w:t>
      </w:r>
      <w:r w:rsidR="00A47D20" w:rsidRPr="00A47D20">
        <w:rPr>
          <w:rFonts w:ascii="Times New Roman" w:hAnsi="Times New Roman" w:cs="Times New Roman"/>
          <w:sz w:val="24"/>
          <w:szCs w:val="24"/>
        </w:rPr>
        <w:t>3746.</w:t>
      </w:r>
    </w:p>
    <w:p w14:paraId="56BB4971" w14:textId="4D3DF8EF" w:rsidR="007C3344" w:rsidRDefault="007C3344" w:rsidP="00A55D57">
      <w:pPr>
        <w:autoSpaceDE w:val="0"/>
        <w:autoSpaceDN w:val="0"/>
        <w:adjustRightInd w:val="0"/>
        <w:spacing w:after="0" w:line="360" w:lineRule="auto"/>
        <w:ind w:left="516" w:hangingChars="215" w:hanging="516"/>
        <w:jc w:val="both"/>
        <w:rPr>
          <w:rFonts w:ascii="Times New Roman" w:hAnsi="Times New Roman" w:cs="Times New Roman"/>
          <w:sz w:val="24"/>
          <w:szCs w:val="24"/>
        </w:rPr>
      </w:pPr>
      <w:r>
        <w:rPr>
          <w:rFonts w:ascii="Times New Roman" w:hAnsi="Times New Roman" w:cs="Times New Roman"/>
          <w:sz w:val="24"/>
          <w:szCs w:val="24"/>
        </w:rPr>
        <w:br w:type="page"/>
      </w:r>
    </w:p>
    <w:p w14:paraId="18B41213" w14:textId="077F73F0" w:rsidR="00977248" w:rsidRPr="00302817" w:rsidRDefault="00302817" w:rsidP="00A55D57">
      <w:pPr>
        <w:autoSpaceDE w:val="0"/>
        <w:autoSpaceDN w:val="0"/>
        <w:adjustRightInd w:val="0"/>
        <w:spacing w:after="0" w:line="360" w:lineRule="auto"/>
        <w:ind w:left="603" w:hangingChars="215" w:hanging="603"/>
        <w:jc w:val="both"/>
        <w:rPr>
          <w:rFonts w:ascii="Times New Roman" w:hAnsi="Times New Roman" w:cs="Times New Roman"/>
          <w:b/>
          <w:sz w:val="28"/>
          <w:szCs w:val="28"/>
          <w:lang w:eastAsia="zh-TW"/>
        </w:rPr>
      </w:pPr>
      <w:r w:rsidRPr="00302817">
        <w:rPr>
          <w:rFonts w:ascii="Times New Roman" w:hAnsi="Times New Roman" w:cs="Times New Roman" w:hint="eastAsia"/>
          <w:b/>
          <w:sz w:val="28"/>
          <w:szCs w:val="28"/>
          <w:lang w:eastAsia="zh-TW"/>
        </w:rPr>
        <w:lastRenderedPageBreak/>
        <w:t>Footnotes</w:t>
      </w:r>
    </w:p>
    <w:p w14:paraId="72C0B3C6" w14:textId="77777777" w:rsidR="001A71F3" w:rsidRPr="00302817" w:rsidRDefault="001A71F3" w:rsidP="00A55D57">
      <w:pPr>
        <w:autoSpaceDE w:val="0"/>
        <w:autoSpaceDN w:val="0"/>
        <w:adjustRightInd w:val="0"/>
        <w:spacing w:after="0" w:line="360" w:lineRule="auto"/>
        <w:ind w:left="603" w:hangingChars="215" w:hanging="603"/>
        <w:jc w:val="both"/>
        <w:rPr>
          <w:rFonts w:ascii="Times New Roman" w:hAnsi="Times New Roman" w:cs="Times New Roman"/>
          <w:b/>
          <w:sz w:val="28"/>
          <w:szCs w:val="28"/>
        </w:rPr>
        <w:sectPr w:rsidR="001A71F3" w:rsidRPr="00302817" w:rsidSect="000D4C80">
          <w:footerReference w:type="default" r:id="rId17"/>
          <w:footnotePr>
            <w:numRestart w:val="eachSect"/>
          </w:footnotePr>
          <w:endnotePr>
            <w:numFmt w:val="decimal"/>
          </w:endnotePr>
          <w:pgSz w:w="11907" w:h="16840" w:code="9"/>
          <w:pgMar w:top="1440" w:right="1797" w:bottom="1440" w:left="1797" w:header="720" w:footer="720" w:gutter="0"/>
          <w:pgNumType w:start="1"/>
          <w:cols w:space="720"/>
          <w:docGrid w:linePitch="360"/>
        </w:sectPr>
      </w:pPr>
    </w:p>
    <w:p w14:paraId="63235126" w14:textId="1F03E04D" w:rsidR="00B106EC" w:rsidRDefault="00B106EC" w:rsidP="00A55D57">
      <w:pPr>
        <w:autoSpaceDE w:val="0"/>
        <w:autoSpaceDN w:val="0"/>
        <w:adjustRightInd w:val="0"/>
        <w:spacing w:after="0" w:line="360" w:lineRule="auto"/>
        <w:ind w:left="516" w:hangingChars="215" w:hanging="516"/>
        <w:jc w:val="both"/>
        <w:rPr>
          <w:rFonts w:ascii="Times New Roman" w:hAnsi="Times New Roman" w:cs="Times New Roman"/>
          <w:sz w:val="24"/>
          <w:szCs w:val="24"/>
        </w:rPr>
        <w:sectPr w:rsidR="00B106EC" w:rsidSect="00BA52FC">
          <w:footnotePr>
            <w:numRestart w:val="eachSect"/>
          </w:footnotePr>
          <w:endnotePr>
            <w:numFmt w:val="decimal"/>
          </w:endnotePr>
          <w:pgSz w:w="11907" w:h="16840" w:code="9"/>
          <w:pgMar w:top="1440" w:right="1797" w:bottom="1440" w:left="1797" w:header="720" w:footer="720" w:gutter="0"/>
          <w:cols w:space="720"/>
          <w:docGrid w:linePitch="360"/>
        </w:sectPr>
      </w:pPr>
    </w:p>
    <w:p w14:paraId="12292A14" w14:textId="0402B8BB" w:rsidR="00925007" w:rsidRPr="00FF4169" w:rsidRDefault="00925007" w:rsidP="00925007">
      <w:pPr>
        <w:spacing w:after="0"/>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hint="eastAsia"/>
          <w:sz w:val="24"/>
          <w:szCs w:val="24"/>
        </w:rPr>
        <w:t xml:space="preserve"> </w:t>
      </w:r>
      <w:r w:rsidRPr="00FF4169">
        <w:rPr>
          <w:rFonts w:ascii="Times New Roman" w:hAnsi="Times New Roman" w:cs="Times New Roman"/>
          <w:sz w:val="24"/>
          <w:szCs w:val="24"/>
        </w:rPr>
        <w:t>1</w:t>
      </w:r>
    </w:p>
    <w:p w14:paraId="503FFE68" w14:textId="58756089" w:rsidR="00925007" w:rsidRPr="00FF4169" w:rsidRDefault="009526EC" w:rsidP="00925007">
      <w:pPr>
        <w:spacing w:after="0"/>
        <w:rPr>
          <w:rFonts w:ascii="Times New Roman" w:hAnsi="Times New Roman" w:cs="Times New Roman"/>
          <w:sz w:val="24"/>
          <w:szCs w:val="24"/>
        </w:rPr>
      </w:pPr>
      <w:r w:rsidRPr="00FF4169">
        <w:rPr>
          <w:rFonts w:ascii="Times New Roman" w:hAnsi="Times New Roman" w:cs="Times New Roman"/>
          <w:sz w:val="24"/>
          <w:szCs w:val="24"/>
        </w:rPr>
        <w:t>SUMMARY STATISTICS</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1832"/>
        <w:gridCol w:w="1497"/>
        <w:gridCol w:w="1504"/>
        <w:gridCol w:w="1500"/>
        <w:gridCol w:w="1501"/>
        <w:gridCol w:w="1500"/>
        <w:gridCol w:w="1501"/>
        <w:gridCol w:w="1501"/>
      </w:tblGrid>
      <w:tr w:rsidR="00925007" w14:paraId="3780747F" w14:textId="77777777" w:rsidTr="0029437B">
        <w:tc>
          <w:tcPr>
            <w:tcW w:w="1622" w:type="dxa"/>
            <w:tcBorders>
              <w:top w:val="single" w:sz="4" w:space="0" w:color="auto"/>
              <w:bottom w:val="single" w:sz="4" w:space="0" w:color="auto"/>
            </w:tcBorders>
          </w:tcPr>
          <w:p w14:paraId="420FBE03" w14:textId="77777777" w:rsidR="00925007" w:rsidRPr="000E0D8C" w:rsidRDefault="00925007" w:rsidP="0029437B">
            <w:pPr>
              <w:spacing w:line="220" w:lineRule="exact"/>
              <w:rPr>
                <w:rFonts w:ascii="Times New Roman" w:hAnsi="Times New Roman" w:cs="Times New Roman"/>
                <w:sz w:val="20"/>
                <w:szCs w:val="20"/>
              </w:rPr>
            </w:pPr>
          </w:p>
        </w:tc>
        <w:tc>
          <w:tcPr>
            <w:tcW w:w="1832" w:type="dxa"/>
            <w:tcBorders>
              <w:top w:val="single" w:sz="4" w:space="0" w:color="auto"/>
              <w:bottom w:val="single" w:sz="4" w:space="0" w:color="auto"/>
            </w:tcBorders>
          </w:tcPr>
          <w:p w14:paraId="70F957F2"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Sample period</w:t>
            </w:r>
          </w:p>
        </w:tc>
        <w:tc>
          <w:tcPr>
            <w:tcW w:w="1497" w:type="dxa"/>
            <w:tcBorders>
              <w:top w:val="single" w:sz="4" w:space="0" w:color="auto"/>
              <w:bottom w:val="single" w:sz="4" w:space="0" w:color="auto"/>
            </w:tcBorders>
          </w:tcPr>
          <w:p w14:paraId="28AFDD78"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Obs.</w:t>
            </w:r>
          </w:p>
        </w:tc>
        <w:tc>
          <w:tcPr>
            <w:tcW w:w="1504" w:type="dxa"/>
            <w:tcBorders>
              <w:top w:val="single" w:sz="4" w:space="0" w:color="auto"/>
              <w:bottom w:val="single" w:sz="4" w:space="0" w:color="auto"/>
              <w:right w:val="nil"/>
            </w:tcBorders>
          </w:tcPr>
          <w:p w14:paraId="7DD0167D"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Unit</w:t>
            </w:r>
          </w:p>
        </w:tc>
        <w:tc>
          <w:tcPr>
            <w:tcW w:w="1500" w:type="dxa"/>
            <w:tcBorders>
              <w:top w:val="single" w:sz="4" w:space="0" w:color="auto"/>
              <w:left w:val="nil"/>
              <w:bottom w:val="single" w:sz="4" w:space="0" w:color="auto"/>
            </w:tcBorders>
          </w:tcPr>
          <w:p w14:paraId="32FBA7B5"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Mean</w:t>
            </w:r>
          </w:p>
        </w:tc>
        <w:tc>
          <w:tcPr>
            <w:tcW w:w="1501" w:type="dxa"/>
            <w:tcBorders>
              <w:top w:val="single" w:sz="4" w:space="0" w:color="auto"/>
              <w:bottom w:val="single" w:sz="4" w:space="0" w:color="auto"/>
            </w:tcBorders>
          </w:tcPr>
          <w:p w14:paraId="7B5D8C9D"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Med</w:t>
            </w:r>
            <w:r w:rsidRPr="000E0D8C">
              <w:rPr>
                <w:rFonts w:ascii="Times New Roman" w:hAnsi="Times New Roman" w:cs="Times New Roman"/>
                <w:sz w:val="20"/>
                <w:szCs w:val="20"/>
              </w:rPr>
              <w:t>ian</w:t>
            </w:r>
          </w:p>
        </w:tc>
        <w:tc>
          <w:tcPr>
            <w:tcW w:w="1500" w:type="dxa"/>
            <w:tcBorders>
              <w:top w:val="single" w:sz="4" w:space="0" w:color="auto"/>
              <w:bottom w:val="single" w:sz="4" w:space="0" w:color="auto"/>
            </w:tcBorders>
          </w:tcPr>
          <w:p w14:paraId="4EE85646"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Std.</w:t>
            </w:r>
          </w:p>
        </w:tc>
        <w:tc>
          <w:tcPr>
            <w:tcW w:w="1501" w:type="dxa"/>
            <w:tcBorders>
              <w:top w:val="single" w:sz="4" w:space="0" w:color="auto"/>
              <w:bottom w:val="single" w:sz="4" w:space="0" w:color="auto"/>
            </w:tcBorders>
          </w:tcPr>
          <w:p w14:paraId="4242A35B"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Min.</w:t>
            </w:r>
          </w:p>
        </w:tc>
        <w:tc>
          <w:tcPr>
            <w:tcW w:w="1501" w:type="dxa"/>
            <w:tcBorders>
              <w:top w:val="single" w:sz="4" w:space="0" w:color="auto"/>
              <w:bottom w:val="single" w:sz="4" w:space="0" w:color="auto"/>
            </w:tcBorders>
          </w:tcPr>
          <w:p w14:paraId="1181B16E"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Max.</w:t>
            </w:r>
          </w:p>
        </w:tc>
      </w:tr>
      <w:tr w:rsidR="00925007" w14:paraId="2A3E9E0E" w14:textId="77777777" w:rsidTr="0029437B">
        <w:tc>
          <w:tcPr>
            <w:tcW w:w="1622" w:type="dxa"/>
            <w:tcBorders>
              <w:top w:val="single" w:sz="4" w:space="0" w:color="auto"/>
            </w:tcBorders>
          </w:tcPr>
          <w:p w14:paraId="5601F411" w14:textId="77777777" w:rsidR="00925007" w:rsidRPr="004E6AA6" w:rsidRDefault="00925007" w:rsidP="0029437B">
            <w:pPr>
              <w:spacing w:line="220" w:lineRule="exact"/>
              <w:jc w:val="both"/>
              <w:rPr>
                <w:rFonts w:ascii="Times New Roman" w:hAnsi="Times New Roman" w:cs="Times New Roman"/>
                <w:i/>
                <w:sz w:val="20"/>
                <w:szCs w:val="20"/>
              </w:rPr>
            </w:pPr>
            <w:r w:rsidRPr="004E6AA6">
              <w:rPr>
                <w:rFonts w:ascii="Times New Roman" w:hAnsi="Times New Roman" w:cs="Times New Roman"/>
                <w:i/>
                <w:sz w:val="20"/>
                <w:szCs w:val="20"/>
              </w:rPr>
              <w:t>∆</w:t>
            </w:r>
            <w:r w:rsidRPr="004E6AA6">
              <w:rPr>
                <w:rFonts w:ascii="Times New Roman" w:hAnsi="Times New Roman" w:cs="Times New Roman" w:hint="eastAsia"/>
                <w:i/>
                <w:sz w:val="20"/>
                <w:szCs w:val="20"/>
              </w:rPr>
              <w:t>CI_</w:t>
            </w:r>
            <w:r>
              <w:rPr>
                <w:rFonts w:ascii="Times New Roman" w:hAnsi="Times New Roman" w:cs="Times New Roman"/>
                <w:i/>
                <w:sz w:val="20"/>
                <w:szCs w:val="20"/>
              </w:rPr>
              <w:t>L</w:t>
            </w:r>
            <w:r w:rsidRPr="004E6AA6">
              <w:rPr>
                <w:rFonts w:ascii="Times New Roman" w:hAnsi="Times New Roman" w:cs="Times New Roman" w:hint="eastAsia"/>
                <w:i/>
                <w:sz w:val="20"/>
                <w:szCs w:val="20"/>
              </w:rPr>
              <w:t>oan</w:t>
            </w:r>
          </w:p>
        </w:tc>
        <w:tc>
          <w:tcPr>
            <w:tcW w:w="1832" w:type="dxa"/>
            <w:tcBorders>
              <w:top w:val="single" w:sz="4" w:space="0" w:color="auto"/>
            </w:tcBorders>
          </w:tcPr>
          <w:p w14:paraId="23FD1867"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Borders>
              <w:top w:val="single" w:sz="4" w:space="0" w:color="auto"/>
            </w:tcBorders>
          </w:tcPr>
          <w:p w14:paraId="3F9DF44B"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104</w:t>
            </w:r>
          </w:p>
        </w:tc>
        <w:tc>
          <w:tcPr>
            <w:tcW w:w="1504" w:type="dxa"/>
            <w:tcBorders>
              <w:top w:val="single" w:sz="4" w:space="0" w:color="auto"/>
              <w:right w:val="nil"/>
            </w:tcBorders>
          </w:tcPr>
          <w:p w14:paraId="29B1C906"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sz w:val="20"/>
                <w:szCs w:val="20"/>
              </w:rPr>
              <w:t>B</w:t>
            </w:r>
            <w:r w:rsidRPr="000E0D8C">
              <w:rPr>
                <w:rFonts w:ascii="Times New Roman" w:hAnsi="Times New Roman" w:cs="Times New Roman" w:hint="eastAsia"/>
                <w:sz w:val="20"/>
                <w:szCs w:val="20"/>
              </w:rPr>
              <w:t>illions</w:t>
            </w:r>
          </w:p>
        </w:tc>
        <w:tc>
          <w:tcPr>
            <w:tcW w:w="1500" w:type="dxa"/>
            <w:tcBorders>
              <w:top w:val="single" w:sz="4" w:space="0" w:color="auto"/>
              <w:left w:val="nil"/>
            </w:tcBorders>
            <w:vAlign w:val="center"/>
          </w:tcPr>
          <w:p w14:paraId="2479B49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12.686</w:t>
            </w:r>
          </w:p>
        </w:tc>
        <w:tc>
          <w:tcPr>
            <w:tcW w:w="1501" w:type="dxa"/>
            <w:tcBorders>
              <w:top w:val="single" w:sz="4" w:space="0" w:color="auto"/>
            </w:tcBorders>
            <w:vAlign w:val="center"/>
          </w:tcPr>
          <w:p w14:paraId="6C129EC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16.504</w:t>
            </w:r>
          </w:p>
        </w:tc>
        <w:tc>
          <w:tcPr>
            <w:tcW w:w="1500" w:type="dxa"/>
            <w:tcBorders>
              <w:top w:val="single" w:sz="4" w:space="0" w:color="auto"/>
            </w:tcBorders>
            <w:vAlign w:val="center"/>
          </w:tcPr>
          <w:p w14:paraId="216358B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29.378</w:t>
            </w:r>
          </w:p>
        </w:tc>
        <w:tc>
          <w:tcPr>
            <w:tcW w:w="1501" w:type="dxa"/>
            <w:tcBorders>
              <w:top w:val="single" w:sz="4" w:space="0" w:color="auto"/>
            </w:tcBorders>
            <w:vAlign w:val="center"/>
          </w:tcPr>
          <w:p w14:paraId="7B50607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-98.558</w:t>
            </w:r>
          </w:p>
        </w:tc>
        <w:tc>
          <w:tcPr>
            <w:tcW w:w="1501" w:type="dxa"/>
            <w:tcBorders>
              <w:top w:val="single" w:sz="4" w:space="0" w:color="auto"/>
            </w:tcBorders>
            <w:vAlign w:val="center"/>
          </w:tcPr>
          <w:p w14:paraId="5590ACB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86.128</w:t>
            </w:r>
          </w:p>
        </w:tc>
      </w:tr>
      <w:tr w:rsidR="00925007" w14:paraId="737A87A4" w14:textId="77777777" w:rsidTr="0029437B">
        <w:tc>
          <w:tcPr>
            <w:tcW w:w="1622" w:type="dxa"/>
          </w:tcPr>
          <w:p w14:paraId="3F42540E" w14:textId="77777777" w:rsidR="00925007" w:rsidRPr="004E6AA6" w:rsidRDefault="00925007" w:rsidP="0029437B">
            <w:pPr>
              <w:spacing w:line="220" w:lineRule="exact"/>
              <w:jc w:val="both"/>
              <w:rPr>
                <w:rFonts w:ascii="Times New Roman" w:hAnsi="Times New Roman" w:cs="Times New Roman"/>
                <w:i/>
                <w:sz w:val="20"/>
                <w:szCs w:val="20"/>
              </w:rPr>
            </w:pPr>
            <w:r w:rsidRPr="004E6AA6">
              <w:rPr>
                <w:rFonts w:ascii="Times New Roman" w:hAnsi="Times New Roman" w:cs="Times New Roman" w:hint="eastAsia"/>
                <w:i/>
                <w:sz w:val="20"/>
                <w:szCs w:val="20"/>
              </w:rPr>
              <w:t>VRP</w:t>
            </w:r>
          </w:p>
        </w:tc>
        <w:tc>
          <w:tcPr>
            <w:tcW w:w="1832" w:type="dxa"/>
          </w:tcPr>
          <w:p w14:paraId="6E9F762C"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7685750F"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104</w:t>
            </w:r>
          </w:p>
        </w:tc>
        <w:tc>
          <w:tcPr>
            <w:tcW w:w="1504" w:type="dxa"/>
            <w:tcBorders>
              <w:right w:val="nil"/>
            </w:tcBorders>
          </w:tcPr>
          <w:p w14:paraId="78E8C30C"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sz w:val="20"/>
                <w:szCs w:val="20"/>
              </w:rPr>
              <w:t>%-squared</w:t>
            </w:r>
          </w:p>
        </w:tc>
        <w:tc>
          <w:tcPr>
            <w:tcW w:w="1500" w:type="dxa"/>
            <w:tcBorders>
              <w:left w:val="nil"/>
            </w:tcBorders>
            <w:vAlign w:val="center"/>
          </w:tcPr>
          <w:p w14:paraId="148F944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18.261</w:t>
            </w:r>
          </w:p>
        </w:tc>
        <w:tc>
          <w:tcPr>
            <w:tcW w:w="1501" w:type="dxa"/>
            <w:vAlign w:val="center"/>
          </w:tcPr>
          <w:p w14:paraId="6338377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15.184</w:t>
            </w:r>
          </w:p>
        </w:tc>
        <w:tc>
          <w:tcPr>
            <w:tcW w:w="1500" w:type="dxa"/>
            <w:vAlign w:val="center"/>
          </w:tcPr>
          <w:p w14:paraId="7EB3C71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12.347</w:t>
            </w:r>
          </w:p>
        </w:tc>
        <w:tc>
          <w:tcPr>
            <w:tcW w:w="1501" w:type="dxa"/>
            <w:vAlign w:val="center"/>
          </w:tcPr>
          <w:p w14:paraId="51EA6DF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5.421</w:t>
            </w:r>
          </w:p>
        </w:tc>
        <w:tc>
          <w:tcPr>
            <w:tcW w:w="1501" w:type="dxa"/>
            <w:vAlign w:val="center"/>
          </w:tcPr>
          <w:p w14:paraId="2988784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77.252</w:t>
            </w:r>
          </w:p>
        </w:tc>
      </w:tr>
      <w:tr w:rsidR="00925007" w14:paraId="243BDD9F" w14:textId="77777777" w:rsidTr="0029437B">
        <w:tc>
          <w:tcPr>
            <w:tcW w:w="1622" w:type="dxa"/>
          </w:tcPr>
          <w:p w14:paraId="3EB28E99" w14:textId="77777777" w:rsidR="00925007" w:rsidRPr="004E6AA6"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logVRP</w:t>
            </w:r>
          </w:p>
        </w:tc>
        <w:tc>
          <w:tcPr>
            <w:tcW w:w="1832" w:type="dxa"/>
          </w:tcPr>
          <w:p w14:paraId="63154C56"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431E6765"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104</w:t>
            </w:r>
          </w:p>
        </w:tc>
        <w:tc>
          <w:tcPr>
            <w:tcW w:w="1504" w:type="dxa"/>
            <w:tcBorders>
              <w:right w:val="nil"/>
            </w:tcBorders>
          </w:tcPr>
          <w:p w14:paraId="0071539B"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16A1007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2.690</w:t>
            </w:r>
          </w:p>
        </w:tc>
        <w:tc>
          <w:tcPr>
            <w:tcW w:w="1501" w:type="dxa"/>
            <w:vAlign w:val="center"/>
          </w:tcPr>
          <w:p w14:paraId="399C37B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2.663</w:t>
            </w:r>
          </w:p>
        </w:tc>
        <w:tc>
          <w:tcPr>
            <w:tcW w:w="1500" w:type="dxa"/>
            <w:vAlign w:val="center"/>
          </w:tcPr>
          <w:p w14:paraId="391336D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0.582</w:t>
            </w:r>
          </w:p>
        </w:tc>
        <w:tc>
          <w:tcPr>
            <w:tcW w:w="1501" w:type="dxa"/>
            <w:vAlign w:val="center"/>
          </w:tcPr>
          <w:p w14:paraId="312B00B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1.686</w:t>
            </w:r>
          </w:p>
        </w:tc>
        <w:tc>
          <w:tcPr>
            <w:tcW w:w="1501" w:type="dxa"/>
            <w:vAlign w:val="center"/>
          </w:tcPr>
          <w:p w14:paraId="59C6371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4.341</w:t>
            </w:r>
          </w:p>
        </w:tc>
      </w:tr>
      <w:tr w:rsidR="00925007" w14:paraId="2100D8DF" w14:textId="77777777" w:rsidTr="0029437B">
        <w:tc>
          <w:tcPr>
            <w:tcW w:w="1622" w:type="dxa"/>
          </w:tcPr>
          <w:p w14:paraId="27B1F10F" w14:textId="77777777" w:rsidR="00925007" w:rsidRPr="004E6AA6" w:rsidRDefault="00925007" w:rsidP="0029437B">
            <w:pPr>
              <w:spacing w:line="220" w:lineRule="exact"/>
              <w:jc w:val="both"/>
              <w:rPr>
                <w:rFonts w:ascii="Times New Roman" w:hAnsi="Times New Roman" w:cs="Times New Roman"/>
                <w:i/>
                <w:sz w:val="20"/>
                <w:szCs w:val="20"/>
              </w:rPr>
            </w:pPr>
            <w:r w:rsidRPr="004E6AA6">
              <w:rPr>
                <w:rFonts w:ascii="Times New Roman" w:hAnsi="Times New Roman" w:cs="Times New Roman" w:hint="eastAsia"/>
                <w:i/>
                <w:sz w:val="20"/>
                <w:szCs w:val="20"/>
              </w:rPr>
              <w:t>F</w:t>
            </w:r>
            <w:r>
              <w:rPr>
                <w:rFonts w:ascii="Times New Roman" w:hAnsi="Times New Roman" w:cs="Times New Roman"/>
                <w:i/>
                <w:sz w:val="20"/>
                <w:szCs w:val="20"/>
              </w:rPr>
              <w:t>F</w:t>
            </w:r>
            <w:r w:rsidRPr="004E6AA6">
              <w:rPr>
                <w:rFonts w:ascii="Times New Roman" w:hAnsi="Times New Roman" w:cs="Times New Roman" w:hint="eastAsia"/>
                <w:i/>
                <w:sz w:val="20"/>
                <w:szCs w:val="20"/>
              </w:rPr>
              <w:t>_</w:t>
            </w:r>
            <w:r>
              <w:rPr>
                <w:rFonts w:ascii="Times New Roman" w:hAnsi="Times New Roman" w:cs="Times New Roman"/>
                <w:i/>
                <w:sz w:val="20"/>
                <w:szCs w:val="20"/>
              </w:rPr>
              <w:t>R</w:t>
            </w:r>
            <w:r w:rsidRPr="004E6AA6">
              <w:rPr>
                <w:rFonts w:ascii="Times New Roman" w:hAnsi="Times New Roman" w:cs="Times New Roman" w:hint="eastAsia"/>
                <w:i/>
                <w:sz w:val="20"/>
                <w:szCs w:val="20"/>
              </w:rPr>
              <w:t>ate</w:t>
            </w:r>
          </w:p>
        </w:tc>
        <w:tc>
          <w:tcPr>
            <w:tcW w:w="1832" w:type="dxa"/>
          </w:tcPr>
          <w:p w14:paraId="70798D2F"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022A41E2"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104</w:t>
            </w:r>
          </w:p>
        </w:tc>
        <w:tc>
          <w:tcPr>
            <w:tcW w:w="1504" w:type="dxa"/>
            <w:tcBorders>
              <w:right w:val="nil"/>
            </w:tcBorders>
          </w:tcPr>
          <w:p w14:paraId="2A2E2DAE"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489B36F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3.144</w:t>
            </w:r>
          </w:p>
        </w:tc>
        <w:tc>
          <w:tcPr>
            <w:tcW w:w="1501" w:type="dxa"/>
            <w:vAlign w:val="center"/>
          </w:tcPr>
          <w:p w14:paraId="05998365"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3.195</w:t>
            </w:r>
          </w:p>
        </w:tc>
        <w:tc>
          <w:tcPr>
            <w:tcW w:w="1500" w:type="dxa"/>
            <w:vAlign w:val="center"/>
          </w:tcPr>
          <w:p w14:paraId="6D527A5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2.444</w:t>
            </w:r>
          </w:p>
        </w:tc>
        <w:tc>
          <w:tcPr>
            <w:tcW w:w="1501" w:type="dxa"/>
            <w:vAlign w:val="center"/>
          </w:tcPr>
          <w:p w14:paraId="102CC58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0.073</w:t>
            </w:r>
          </w:p>
        </w:tc>
        <w:tc>
          <w:tcPr>
            <w:tcW w:w="1501" w:type="dxa"/>
            <w:vAlign w:val="center"/>
          </w:tcPr>
          <w:p w14:paraId="20A2CF8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8.250</w:t>
            </w:r>
          </w:p>
        </w:tc>
      </w:tr>
      <w:tr w:rsidR="00925007" w14:paraId="4416A3B1" w14:textId="77777777" w:rsidTr="0029437B">
        <w:tc>
          <w:tcPr>
            <w:tcW w:w="1622" w:type="dxa"/>
          </w:tcPr>
          <w:p w14:paraId="388CA087" w14:textId="77777777" w:rsidR="00925007" w:rsidRPr="004E6AA6" w:rsidRDefault="00925007" w:rsidP="0029437B">
            <w:pPr>
              <w:spacing w:line="220" w:lineRule="exact"/>
              <w:jc w:val="both"/>
              <w:rPr>
                <w:rFonts w:ascii="Times New Roman" w:hAnsi="Times New Roman" w:cs="Times New Roman"/>
                <w:i/>
                <w:sz w:val="20"/>
                <w:szCs w:val="20"/>
              </w:rPr>
            </w:pPr>
            <w:r w:rsidRPr="004E6AA6">
              <w:rPr>
                <w:rFonts w:ascii="Times New Roman" w:hAnsi="Times New Roman" w:cs="Times New Roman" w:hint="eastAsia"/>
                <w:i/>
                <w:sz w:val="20"/>
                <w:szCs w:val="20"/>
              </w:rPr>
              <w:t>GDP</w:t>
            </w:r>
          </w:p>
        </w:tc>
        <w:tc>
          <w:tcPr>
            <w:tcW w:w="1832" w:type="dxa"/>
          </w:tcPr>
          <w:p w14:paraId="05F739C2"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786F6B5D"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104</w:t>
            </w:r>
          </w:p>
        </w:tc>
        <w:tc>
          <w:tcPr>
            <w:tcW w:w="1504" w:type="dxa"/>
            <w:tcBorders>
              <w:right w:val="nil"/>
            </w:tcBorders>
          </w:tcPr>
          <w:p w14:paraId="6576CF36"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19F8315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0.598</w:t>
            </w:r>
          </w:p>
        </w:tc>
        <w:tc>
          <w:tcPr>
            <w:tcW w:w="1501" w:type="dxa"/>
            <w:vAlign w:val="center"/>
          </w:tcPr>
          <w:p w14:paraId="6189D7E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0.658</w:t>
            </w:r>
          </w:p>
        </w:tc>
        <w:tc>
          <w:tcPr>
            <w:tcW w:w="1500" w:type="dxa"/>
            <w:vAlign w:val="center"/>
          </w:tcPr>
          <w:p w14:paraId="002DB2E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0.619</w:t>
            </w:r>
          </w:p>
        </w:tc>
        <w:tc>
          <w:tcPr>
            <w:tcW w:w="1501" w:type="dxa"/>
            <w:vAlign w:val="center"/>
          </w:tcPr>
          <w:p w14:paraId="74363CC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-2.135</w:t>
            </w:r>
          </w:p>
        </w:tc>
        <w:tc>
          <w:tcPr>
            <w:tcW w:w="1501" w:type="dxa"/>
            <w:vAlign w:val="center"/>
          </w:tcPr>
          <w:p w14:paraId="5FC5D8A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1.871</w:t>
            </w:r>
          </w:p>
        </w:tc>
      </w:tr>
      <w:tr w:rsidR="00925007" w14:paraId="5A24BD4D" w14:textId="77777777" w:rsidTr="0029437B">
        <w:tc>
          <w:tcPr>
            <w:tcW w:w="1622" w:type="dxa"/>
          </w:tcPr>
          <w:p w14:paraId="33928947" w14:textId="77777777" w:rsidR="00925007" w:rsidRPr="004E6AA6"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CPI</w:t>
            </w:r>
          </w:p>
        </w:tc>
        <w:tc>
          <w:tcPr>
            <w:tcW w:w="1832" w:type="dxa"/>
          </w:tcPr>
          <w:p w14:paraId="17A949AE"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547C465E"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104</w:t>
            </w:r>
          </w:p>
        </w:tc>
        <w:tc>
          <w:tcPr>
            <w:tcW w:w="1504" w:type="dxa"/>
            <w:tcBorders>
              <w:right w:val="nil"/>
            </w:tcBorders>
          </w:tcPr>
          <w:p w14:paraId="3EA459CB"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42158BD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0.609</w:t>
            </w:r>
          </w:p>
        </w:tc>
        <w:tc>
          <w:tcPr>
            <w:tcW w:w="1501" w:type="dxa"/>
            <w:vAlign w:val="center"/>
          </w:tcPr>
          <w:p w14:paraId="4FA1F7A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0.634</w:t>
            </w:r>
          </w:p>
        </w:tc>
        <w:tc>
          <w:tcPr>
            <w:tcW w:w="1500" w:type="dxa"/>
            <w:vAlign w:val="center"/>
          </w:tcPr>
          <w:p w14:paraId="13A62E3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0.623</w:t>
            </w:r>
          </w:p>
        </w:tc>
        <w:tc>
          <w:tcPr>
            <w:tcW w:w="1501" w:type="dxa"/>
            <w:vAlign w:val="center"/>
          </w:tcPr>
          <w:p w14:paraId="6946B895"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-3.477</w:t>
            </w:r>
          </w:p>
        </w:tc>
        <w:tc>
          <w:tcPr>
            <w:tcW w:w="1501" w:type="dxa"/>
            <w:vAlign w:val="center"/>
          </w:tcPr>
          <w:p w14:paraId="5924217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2.599</w:t>
            </w:r>
          </w:p>
        </w:tc>
      </w:tr>
      <w:tr w:rsidR="00925007" w14:paraId="5C014BD0" w14:textId="77777777" w:rsidTr="0029437B">
        <w:tc>
          <w:tcPr>
            <w:tcW w:w="1622" w:type="dxa"/>
          </w:tcPr>
          <w:p w14:paraId="4E7F2277" w14:textId="77777777" w:rsidR="00925007" w:rsidRPr="007E3768"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Credit_Spr</w:t>
            </w:r>
          </w:p>
        </w:tc>
        <w:tc>
          <w:tcPr>
            <w:tcW w:w="1832" w:type="dxa"/>
          </w:tcPr>
          <w:p w14:paraId="7E5A13DB"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60B8B696"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104</w:t>
            </w:r>
          </w:p>
        </w:tc>
        <w:tc>
          <w:tcPr>
            <w:tcW w:w="1504" w:type="dxa"/>
            <w:tcBorders>
              <w:right w:val="nil"/>
            </w:tcBorders>
          </w:tcPr>
          <w:p w14:paraId="2941866A"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51CE55E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0.005</w:t>
            </w:r>
          </w:p>
        </w:tc>
        <w:tc>
          <w:tcPr>
            <w:tcW w:w="1501" w:type="dxa"/>
            <w:vAlign w:val="center"/>
          </w:tcPr>
          <w:p w14:paraId="73C1ED4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0.000</w:t>
            </w:r>
          </w:p>
        </w:tc>
        <w:tc>
          <w:tcPr>
            <w:tcW w:w="1500" w:type="dxa"/>
            <w:vAlign w:val="center"/>
          </w:tcPr>
          <w:p w14:paraId="71B9D59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0.258</w:t>
            </w:r>
          </w:p>
        </w:tc>
        <w:tc>
          <w:tcPr>
            <w:tcW w:w="1501" w:type="dxa"/>
            <w:vAlign w:val="center"/>
          </w:tcPr>
          <w:p w14:paraId="01444FF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-1.030</w:t>
            </w:r>
          </w:p>
        </w:tc>
        <w:tc>
          <w:tcPr>
            <w:tcW w:w="1501" w:type="dxa"/>
            <w:vAlign w:val="center"/>
          </w:tcPr>
          <w:p w14:paraId="34BD44B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1.720</w:t>
            </w:r>
          </w:p>
        </w:tc>
      </w:tr>
      <w:tr w:rsidR="00925007" w14:paraId="73E020DA" w14:textId="77777777" w:rsidTr="0029437B">
        <w:tc>
          <w:tcPr>
            <w:tcW w:w="1622" w:type="dxa"/>
          </w:tcPr>
          <w:p w14:paraId="38C6462A" w14:textId="77777777" w:rsidR="00925007" w:rsidRPr="005355C4" w:rsidRDefault="00925007" w:rsidP="0029437B">
            <w:pPr>
              <w:spacing w:line="220" w:lineRule="exact"/>
              <w:jc w:val="both"/>
              <w:rPr>
                <w:rFonts w:ascii="Times New Roman" w:hAnsi="Times New Roman" w:cs="Times New Roman"/>
                <w:i/>
                <w:sz w:val="20"/>
                <w:szCs w:val="20"/>
              </w:rPr>
            </w:pPr>
            <w:r w:rsidRPr="005355C4">
              <w:rPr>
                <w:rFonts w:ascii="Times New Roman" w:hAnsi="Times New Roman" w:cs="Times New Roman" w:hint="eastAsia"/>
                <w:i/>
                <w:sz w:val="20"/>
                <w:szCs w:val="20"/>
              </w:rPr>
              <w:t>Term_Spr</w:t>
            </w:r>
          </w:p>
        </w:tc>
        <w:tc>
          <w:tcPr>
            <w:tcW w:w="1832" w:type="dxa"/>
          </w:tcPr>
          <w:p w14:paraId="297E8217"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7551751C"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104</w:t>
            </w:r>
          </w:p>
        </w:tc>
        <w:tc>
          <w:tcPr>
            <w:tcW w:w="1504" w:type="dxa"/>
            <w:tcBorders>
              <w:right w:val="nil"/>
            </w:tcBorders>
          </w:tcPr>
          <w:p w14:paraId="51069B52"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0581853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0.014</w:t>
            </w:r>
          </w:p>
        </w:tc>
        <w:tc>
          <w:tcPr>
            <w:tcW w:w="1501" w:type="dxa"/>
            <w:vAlign w:val="center"/>
          </w:tcPr>
          <w:p w14:paraId="54E03C1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-0.020</w:t>
            </w:r>
          </w:p>
        </w:tc>
        <w:tc>
          <w:tcPr>
            <w:tcW w:w="1500" w:type="dxa"/>
            <w:vAlign w:val="center"/>
          </w:tcPr>
          <w:p w14:paraId="396DFF2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0.397</w:t>
            </w:r>
          </w:p>
        </w:tc>
        <w:tc>
          <w:tcPr>
            <w:tcW w:w="1501" w:type="dxa"/>
            <w:vAlign w:val="center"/>
          </w:tcPr>
          <w:p w14:paraId="4BE2F308"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-1.030</w:t>
            </w:r>
          </w:p>
        </w:tc>
        <w:tc>
          <w:tcPr>
            <w:tcW w:w="1501" w:type="dxa"/>
            <w:vAlign w:val="center"/>
          </w:tcPr>
          <w:p w14:paraId="5C924EA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1.130</w:t>
            </w:r>
          </w:p>
        </w:tc>
      </w:tr>
      <w:tr w:rsidR="00925007" w14:paraId="24FC242E" w14:textId="77777777" w:rsidTr="0029437B">
        <w:tc>
          <w:tcPr>
            <w:tcW w:w="1622" w:type="dxa"/>
          </w:tcPr>
          <w:p w14:paraId="78593045" w14:textId="77777777" w:rsidR="00925007" w:rsidRPr="005355C4"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CS</w:t>
            </w:r>
            <w:r>
              <w:rPr>
                <w:rFonts w:ascii="Times New Roman" w:hAnsi="Times New Roman" w:cs="Times New Roman"/>
                <w:i/>
                <w:sz w:val="20"/>
                <w:szCs w:val="20"/>
              </w:rPr>
              <w:t>I</w:t>
            </w:r>
          </w:p>
        </w:tc>
        <w:tc>
          <w:tcPr>
            <w:tcW w:w="1832" w:type="dxa"/>
          </w:tcPr>
          <w:p w14:paraId="109DC89F"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w:t>
            </w:r>
            <w:r w:rsidRPr="000E0D8C">
              <w:rPr>
                <w:rFonts w:ascii="Times New Roman" w:hAnsi="Times New Roman" w:cs="Times New Roman"/>
                <w:sz w:val="20"/>
                <w:szCs w:val="20"/>
              </w:rPr>
              <w:t>1</w:t>
            </w:r>
            <w:r w:rsidRPr="000E0D8C">
              <w:rPr>
                <w:rFonts w:ascii="Times New Roman" w:hAnsi="Times New Roman" w:cs="Times New Roman" w:hint="eastAsia"/>
                <w:sz w:val="20"/>
                <w:szCs w:val="20"/>
              </w:rPr>
              <w:t>-2015:4</w:t>
            </w:r>
          </w:p>
        </w:tc>
        <w:tc>
          <w:tcPr>
            <w:tcW w:w="1497" w:type="dxa"/>
          </w:tcPr>
          <w:p w14:paraId="1026317D"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w:t>
            </w:r>
            <w:r w:rsidRPr="000E0D8C">
              <w:rPr>
                <w:rFonts w:ascii="Times New Roman" w:hAnsi="Times New Roman" w:cs="Times New Roman"/>
                <w:sz w:val="20"/>
                <w:szCs w:val="20"/>
              </w:rPr>
              <w:t>4</w:t>
            </w:r>
          </w:p>
        </w:tc>
        <w:tc>
          <w:tcPr>
            <w:tcW w:w="1504" w:type="dxa"/>
            <w:tcBorders>
              <w:right w:val="nil"/>
            </w:tcBorders>
          </w:tcPr>
          <w:p w14:paraId="244544F4"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1073157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0.020</w:t>
            </w:r>
          </w:p>
        </w:tc>
        <w:tc>
          <w:tcPr>
            <w:tcW w:w="1501" w:type="dxa"/>
            <w:vAlign w:val="center"/>
          </w:tcPr>
          <w:p w14:paraId="2A0C35E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0.350</w:t>
            </w:r>
          </w:p>
        </w:tc>
        <w:tc>
          <w:tcPr>
            <w:tcW w:w="1500" w:type="dxa"/>
            <w:vAlign w:val="center"/>
          </w:tcPr>
          <w:p w14:paraId="317BA79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6.804</w:t>
            </w:r>
          </w:p>
        </w:tc>
        <w:tc>
          <w:tcPr>
            <w:tcW w:w="1501" w:type="dxa"/>
            <w:vAlign w:val="center"/>
          </w:tcPr>
          <w:p w14:paraId="6FD853A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-19.100</w:t>
            </w:r>
          </w:p>
        </w:tc>
        <w:tc>
          <w:tcPr>
            <w:tcW w:w="1501" w:type="dxa"/>
            <w:vAlign w:val="center"/>
          </w:tcPr>
          <w:p w14:paraId="590EB9D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22.200</w:t>
            </w:r>
          </w:p>
        </w:tc>
      </w:tr>
      <w:tr w:rsidR="00925007" w14:paraId="5B22742B" w14:textId="77777777" w:rsidTr="0029437B">
        <w:tc>
          <w:tcPr>
            <w:tcW w:w="1622" w:type="dxa"/>
          </w:tcPr>
          <w:p w14:paraId="7804BF97" w14:textId="77777777" w:rsidR="00925007" w:rsidRPr="0054438E" w:rsidRDefault="00925007" w:rsidP="0029437B">
            <w:pPr>
              <w:spacing w:line="220" w:lineRule="exact"/>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S</w:t>
            </w:r>
            <w:r>
              <w:rPr>
                <w:rFonts w:ascii="Times New Roman" w:hAnsi="Times New Roman" w:cs="Times New Roman"/>
                <w:i/>
                <w:iCs/>
                <w:color w:val="000000"/>
                <w:sz w:val="20"/>
                <w:szCs w:val="20"/>
              </w:rPr>
              <w:t>tandard</w:t>
            </w:r>
            <w:r w:rsidRPr="0054438E">
              <w:rPr>
                <w:rFonts w:ascii="Times New Roman" w:hAnsi="Times New Roman" w:cs="Times New Roman"/>
                <w:i/>
                <w:iCs/>
                <w:color w:val="000000"/>
                <w:sz w:val="20"/>
                <w:szCs w:val="20"/>
              </w:rPr>
              <w:t>_LM</w:t>
            </w:r>
          </w:p>
        </w:tc>
        <w:tc>
          <w:tcPr>
            <w:tcW w:w="1832" w:type="dxa"/>
          </w:tcPr>
          <w:p w14:paraId="6936FD9D"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w:t>
            </w:r>
            <w:r w:rsidRPr="000E0D8C">
              <w:rPr>
                <w:rFonts w:ascii="Times New Roman" w:hAnsi="Times New Roman" w:cs="Times New Roman"/>
                <w:sz w:val="20"/>
                <w:szCs w:val="20"/>
              </w:rPr>
              <w:t>1</w:t>
            </w:r>
            <w:r w:rsidRPr="000E0D8C">
              <w:rPr>
                <w:rFonts w:ascii="Times New Roman" w:hAnsi="Times New Roman" w:cs="Times New Roman" w:hint="eastAsia"/>
                <w:sz w:val="20"/>
                <w:szCs w:val="20"/>
              </w:rPr>
              <w:t>-2015:4</w:t>
            </w:r>
          </w:p>
        </w:tc>
        <w:tc>
          <w:tcPr>
            <w:tcW w:w="1497" w:type="dxa"/>
          </w:tcPr>
          <w:p w14:paraId="7DAC5051"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w:t>
            </w:r>
            <w:r w:rsidRPr="000E0D8C">
              <w:rPr>
                <w:rFonts w:ascii="Times New Roman" w:hAnsi="Times New Roman" w:cs="Times New Roman"/>
                <w:sz w:val="20"/>
                <w:szCs w:val="20"/>
              </w:rPr>
              <w:t>4</w:t>
            </w:r>
          </w:p>
        </w:tc>
        <w:tc>
          <w:tcPr>
            <w:tcW w:w="1504" w:type="dxa"/>
            <w:tcBorders>
              <w:right w:val="nil"/>
            </w:tcBorders>
          </w:tcPr>
          <w:p w14:paraId="56921CEC"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3E6C805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5.906</w:t>
            </w:r>
          </w:p>
        </w:tc>
        <w:tc>
          <w:tcPr>
            <w:tcW w:w="1501" w:type="dxa"/>
            <w:vAlign w:val="center"/>
          </w:tcPr>
          <w:p w14:paraId="63849E6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-2.600</w:t>
            </w:r>
          </w:p>
        </w:tc>
        <w:tc>
          <w:tcPr>
            <w:tcW w:w="1500" w:type="dxa"/>
            <w:vAlign w:val="center"/>
          </w:tcPr>
          <w:p w14:paraId="71BE184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23.189</w:t>
            </w:r>
          </w:p>
        </w:tc>
        <w:tc>
          <w:tcPr>
            <w:tcW w:w="1501" w:type="dxa"/>
            <w:vAlign w:val="center"/>
          </w:tcPr>
          <w:p w14:paraId="24B7535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-24.100</w:t>
            </w:r>
          </w:p>
        </w:tc>
        <w:tc>
          <w:tcPr>
            <w:tcW w:w="1501" w:type="dxa"/>
            <w:vAlign w:val="center"/>
          </w:tcPr>
          <w:p w14:paraId="2804CC68"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83.600</w:t>
            </w:r>
          </w:p>
        </w:tc>
      </w:tr>
      <w:tr w:rsidR="00925007" w14:paraId="309A605F" w14:textId="77777777" w:rsidTr="0029437B">
        <w:tc>
          <w:tcPr>
            <w:tcW w:w="1622" w:type="dxa"/>
          </w:tcPr>
          <w:p w14:paraId="53CF6CE9" w14:textId="77777777" w:rsidR="00925007" w:rsidRPr="0054438E" w:rsidRDefault="00925007" w:rsidP="0029437B">
            <w:pPr>
              <w:spacing w:line="220" w:lineRule="exact"/>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S</w:t>
            </w:r>
            <w:r>
              <w:rPr>
                <w:rFonts w:ascii="Times New Roman" w:hAnsi="Times New Roman" w:cs="Times New Roman"/>
                <w:i/>
                <w:iCs/>
                <w:color w:val="000000"/>
                <w:sz w:val="20"/>
                <w:szCs w:val="20"/>
              </w:rPr>
              <w:t>tandard</w:t>
            </w:r>
            <w:r w:rsidRPr="0054438E">
              <w:rPr>
                <w:rFonts w:ascii="Times New Roman" w:hAnsi="Times New Roman" w:cs="Times New Roman"/>
                <w:i/>
                <w:iCs/>
                <w:color w:val="000000"/>
                <w:sz w:val="20"/>
                <w:szCs w:val="20"/>
              </w:rPr>
              <w:t xml:space="preserve"> _S</w:t>
            </w:r>
          </w:p>
        </w:tc>
        <w:tc>
          <w:tcPr>
            <w:tcW w:w="1832" w:type="dxa"/>
          </w:tcPr>
          <w:p w14:paraId="579217EF"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w:t>
            </w:r>
            <w:r w:rsidRPr="000E0D8C">
              <w:rPr>
                <w:rFonts w:ascii="Times New Roman" w:hAnsi="Times New Roman" w:cs="Times New Roman"/>
                <w:sz w:val="20"/>
                <w:szCs w:val="20"/>
              </w:rPr>
              <w:t>1</w:t>
            </w:r>
            <w:r w:rsidRPr="000E0D8C">
              <w:rPr>
                <w:rFonts w:ascii="Times New Roman" w:hAnsi="Times New Roman" w:cs="Times New Roman" w:hint="eastAsia"/>
                <w:sz w:val="20"/>
                <w:szCs w:val="20"/>
              </w:rPr>
              <w:t>-2015:4</w:t>
            </w:r>
          </w:p>
        </w:tc>
        <w:tc>
          <w:tcPr>
            <w:tcW w:w="1497" w:type="dxa"/>
          </w:tcPr>
          <w:p w14:paraId="1AAD1E3E"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sz w:val="20"/>
                <w:szCs w:val="20"/>
              </w:rPr>
              <w:t>104</w:t>
            </w:r>
          </w:p>
        </w:tc>
        <w:tc>
          <w:tcPr>
            <w:tcW w:w="1504" w:type="dxa"/>
            <w:tcBorders>
              <w:right w:val="nil"/>
            </w:tcBorders>
          </w:tcPr>
          <w:p w14:paraId="7E6DF202"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5AEA2D7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5.515</w:t>
            </w:r>
          </w:p>
        </w:tc>
        <w:tc>
          <w:tcPr>
            <w:tcW w:w="1501" w:type="dxa"/>
            <w:vAlign w:val="center"/>
          </w:tcPr>
          <w:p w14:paraId="64DFEA8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-1.800</w:t>
            </w:r>
          </w:p>
        </w:tc>
        <w:tc>
          <w:tcPr>
            <w:tcW w:w="1500" w:type="dxa"/>
            <w:vAlign w:val="center"/>
          </w:tcPr>
          <w:p w14:paraId="7D34256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19.864</w:t>
            </w:r>
          </w:p>
        </w:tc>
        <w:tc>
          <w:tcPr>
            <w:tcW w:w="1501" w:type="dxa"/>
            <w:vAlign w:val="center"/>
          </w:tcPr>
          <w:p w14:paraId="548B2E9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-24.100</w:t>
            </w:r>
          </w:p>
        </w:tc>
        <w:tc>
          <w:tcPr>
            <w:tcW w:w="1501" w:type="dxa"/>
            <w:vAlign w:val="center"/>
          </w:tcPr>
          <w:p w14:paraId="7A8738C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74.500</w:t>
            </w:r>
          </w:p>
        </w:tc>
      </w:tr>
      <w:tr w:rsidR="00925007" w14:paraId="0E2CB1AA" w14:textId="77777777" w:rsidTr="0029437B">
        <w:tc>
          <w:tcPr>
            <w:tcW w:w="1622" w:type="dxa"/>
          </w:tcPr>
          <w:p w14:paraId="2D6FDEF9" w14:textId="77777777" w:rsidR="00925007" w:rsidRPr="0054438E" w:rsidRDefault="00925007" w:rsidP="0029437B">
            <w:pPr>
              <w:spacing w:line="220" w:lineRule="exact"/>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Demand_LM</w:t>
            </w:r>
          </w:p>
        </w:tc>
        <w:tc>
          <w:tcPr>
            <w:tcW w:w="1832" w:type="dxa"/>
          </w:tcPr>
          <w:p w14:paraId="37C9D4B8"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1991:</w:t>
            </w:r>
            <w:r w:rsidRPr="000E0D8C">
              <w:rPr>
                <w:rFonts w:ascii="Times New Roman" w:hAnsi="Times New Roman" w:cs="Times New Roman"/>
                <w:sz w:val="20"/>
                <w:szCs w:val="20"/>
              </w:rPr>
              <w:t>3</w:t>
            </w:r>
            <w:r w:rsidRPr="000E0D8C">
              <w:rPr>
                <w:rFonts w:ascii="Times New Roman" w:hAnsi="Times New Roman" w:cs="Times New Roman" w:hint="eastAsia"/>
                <w:sz w:val="20"/>
                <w:szCs w:val="20"/>
              </w:rPr>
              <w:t>-201</w:t>
            </w:r>
            <w:r w:rsidRPr="000E0D8C">
              <w:rPr>
                <w:rFonts w:ascii="Times New Roman" w:hAnsi="Times New Roman" w:cs="Times New Roman"/>
                <w:sz w:val="20"/>
                <w:szCs w:val="20"/>
              </w:rPr>
              <w:t>5:4</w:t>
            </w:r>
          </w:p>
        </w:tc>
        <w:tc>
          <w:tcPr>
            <w:tcW w:w="1497" w:type="dxa"/>
          </w:tcPr>
          <w:p w14:paraId="54F25DA6"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9</w:t>
            </w:r>
            <w:r w:rsidRPr="000E0D8C">
              <w:rPr>
                <w:rFonts w:ascii="Times New Roman" w:hAnsi="Times New Roman" w:cs="Times New Roman"/>
                <w:sz w:val="20"/>
                <w:szCs w:val="20"/>
              </w:rPr>
              <w:t>8</w:t>
            </w:r>
          </w:p>
        </w:tc>
        <w:tc>
          <w:tcPr>
            <w:tcW w:w="1504" w:type="dxa"/>
            <w:tcBorders>
              <w:right w:val="nil"/>
            </w:tcBorders>
          </w:tcPr>
          <w:p w14:paraId="70FF9C18"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1914290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-0.203</w:t>
            </w:r>
          </w:p>
        </w:tc>
        <w:tc>
          <w:tcPr>
            <w:tcW w:w="1501" w:type="dxa"/>
            <w:vAlign w:val="center"/>
          </w:tcPr>
          <w:p w14:paraId="3577939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3.200</w:t>
            </w:r>
          </w:p>
        </w:tc>
        <w:tc>
          <w:tcPr>
            <w:tcW w:w="1500" w:type="dxa"/>
            <w:vAlign w:val="center"/>
          </w:tcPr>
          <w:p w14:paraId="4765E6B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25.788</w:t>
            </w:r>
          </w:p>
        </w:tc>
        <w:tc>
          <w:tcPr>
            <w:tcW w:w="1501" w:type="dxa"/>
            <w:vAlign w:val="center"/>
          </w:tcPr>
          <w:p w14:paraId="2B50D2A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-70.200</w:t>
            </w:r>
          </w:p>
        </w:tc>
        <w:tc>
          <w:tcPr>
            <w:tcW w:w="1501" w:type="dxa"/>
            <w:vAlign w:val="center"/>
          </w:tcPr>
          <w:p w14:paraId="56AEE24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45.500</w:t>
            </w:r>
          </w:p>
        </w:tc>
      </w:tr>
      <w:tr w:rsidR="00925007" w14:paraId="429BED66" w14:textId="77777777" w:rsidTr="0029437B">
        <w:tc>
          <w:tcPr>
            <w:tcW w:w="1622" w:type="dxa"/>
          </w:tcPr>
          <w:p w14:paraId="63A88CBD" w14:textId="77777777" w:rsidR="00925007" w:rsidRPr="0054438E" w:rsidRDefault="00925007" w:rsidP="0029437B">
            <w:pPr>
              <w:spacing w:line="220" w:lineRule="exact"/>
              <w:jc w:val="both"/>
              <w:rPr>
                <w:rFonts w:ascii="Times New Roman" w:hAnsi="Times New Roman" w:cs="Times New Roman"/>
                <w:i/>
                <w:iCs/>
                <w:color w:val="000000"/>
                <w:sz w:val="20"/>
                <w:szCs w:val="20"/>
              </w:rPr>
            </w:pPr>
            <w:r w:rsidRPr="0054438E">
              <w:rPr>
                <w:rFonts w:ascii="Times New Roman" w:hAnsi="Times New Roman" w:cs="Times New Roman"/>
                <w:i/>
                <w:iCs/>
                <w:color w:val="000000"/>
                <w:sz w:val="20"/>
                <w:szCs w:val="20"/>
              </w:rPr>
              <w:t>Demand_S</w:t>
            </w:r>
          </w:p>
        </w:tc>
        <w:tc>
          <w:tcPr>
            <w:tcW w:w="1832" w:type="dxa"/>
          </w:tcPr>
          <w:p w14:paraId="542C2186"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1991:</w:t>
            </w:r>
            <w:r w:rsidRPr="000E0D8C">
              <w:rPr>
                <w:rFonts w:ascii="Times New Roman" w:hAnsi="Times New Roman" w:cs="Times New Roman"/>
                <w:sz w:val="20"/>
                <w:szCs w:val="20"/>
              </w:rPr>
              <w:t>3</w:t>
            </w:r>
            <w:r w:rsidRPr="000E0D8C">
              <w:rPr>
                <w:rFonts w:ascii="Times New Roman" w:hAnsi="Times New Roman" w:cs="Times New Roman" w:hint="eastAsia"/>
                <w:sz w:val="20"/>
                <w:szCs w:val="20"/>
              </w:rPr>
              <w:t>-201</w:t>
            </w:r>
            <w:r w:rsidRPr="000E0D8C">
              <w:rPr>
                <w:rFonts w:ascii="Times New Roman" w:hAnsi="Times New Roman" w:cs="Times New Roman"/>
                <w:sz w:val="20"/>
                <w:szCs w:val="20"/>
              </w:rPr>
              <w:t>5:4</w:t>
            </w:r>
          </w:p>
        </w:tc>
        <w:tc>
          <w:tcPr>
            <w:tcW w:w="1497" w:type="dxa"/>
          </w:tcPr>
          <w:p w14:paraId="3C0EFCFA"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sz w:val="20"/>
                <w:szCs w:val="20"/>
              </w:rPr>
              <w:t>98</w:t>
            </w:r>
          </w:p>
        </w:tc>
        <w:tc>
          <w:tcPr>
            <w:tcW w:w="1504" w:type="dxa"/>
            <w:tcBorders>
              <w:right w:val="nil"/>
            </w:tcBorders>
          </w:tcPr>
          <w:p w14:paraId="260BE0DB"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30BE09D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0.515</w:t>
            </w:r>
          </w:p>
        </w:tc>
        <w:tc>
          <w:tcPr>
            <w:tcW w:w="1501" w:type="dxa"/>
            <w:vAlign w:val="center"/>
          </w:tcPr>
          <w:p w14:paraId="058BBC7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5.300</w:t>
            </w:r>
          </w:p>
        </w:tc>
        <w:tc>
          <w:tcPr>
            <w:tcW w:w="1500" w:type="dxa"/>
            <w:vAlign w:val="center"/>
          </w:tcPr>
          <w:p w14:paraId="5CC91E4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22.974</w:t>
            </w:r>
          </w:p>
        </w:tc>
        <w:tc>
          <w:tcPr>
            <w:tcW w:w="1501" w:type="dxa"/>
            <w:vAlign w:val="center"/>
          </w:tcPr>
          <w:p w14:paraId="2A9A905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-63.500</w:t>
            </w:r>
          </w:p>
        </w:tc>
        <w:tc>
          <w:tcPr>
            <w:tcW w:w="1501" w:type="dxa"/>
            <w:vAlign w:val="center"/>
          </w:tcPr>
          <w:p w14:paraId="069FFC3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38.900</w:t>
            </w:r>
          </w:p>
        </w:tc>
      </w:tr>
      <w:tr w:rsidR="00925007" w14:paraId="77B0EAEC" w14:textId="77777777" w:rsidTr="0029437B">
        <w:tc>
          <w:tcPr>
            <w:tcW w:w="1622" w:type="dxa"/>
          </w:tcPr>
          <w:p w14:paraId="72EF41F6" w14:textId="77777777" w:rsidR="00925007" w:rsidRPr="0054438E" w:rsidRDefault="00925007" w:rsidP="0029437B">
            <w:pPr>
              <w:spacing w:line="220" w:lineRule="exact"/>
              <w:jc w:val="both"/>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Spr_LM</w:t>
            </w:r>
          </w:p>
        </w:tc>
        <w:tc>
          <w:tcPr>
            <w:tcW w:w="1832" w:type="dxa"/>
          </w:tcPr>
          <w:p w14:paraId="5FC26763"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w:t>
            </w:r>
            <w:r w:rsidRPr="000E0D8C">
              <w:rPr>
                <w:rFonts w:ascii="Times New Roman" w:hAnsi="Times New Roman" w:cs="Times New Roman"/>
                <w:sz w:val="20"/>
                <w:szCs w:val="20"/>
              </w:rPr>
              <w:t>1</w:t>
            </w:r>
            <w:r w:rsidRPr="000E0D8C">
              <w:rPr>
                <w:rFonts w:ascii="Times New Roman" w:hAnsi="Times New Roman" w:cs="Times New Roman" w:hint="eastAsia"/>
                <w:sz w:val="20"/>
                <w:szCs w:val="20"/>
              </w:rPr>
              <w:t>-2015:4</w:t>
            </w:r>
          </w:p>
        </w:tc>
        <w:tc>
          <w:tcPr>
            <w:tcW w:w="1497" w:type="dxa"/>
          </w:tcPr>
          <w:p w14:paraId="400525E5"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w:t>
            </w:r>
            <w:r w:rsidRPr="000E0D8C">
              <w:rPr>
                <w:rFonts w:ascii="Times New Roman" w:hAnsi="Times New Roman" w:cs="Times New Roman"/>
                <w:sz w:val="20"/>
                <w:szCs w:val="20"/>
              </w:rPr>
              <w:t>4</w:t>
            </w:r>
          </w:p>
        </w:tc>
        <w:tc>
          <w:tcPr>
            <w:tcW w:w="1504" w:type="dxa"/>
            <w:tcBorders>
              <w:right w:val="nil"/>
            </w:tcBorders>
          </w:tcPr>
          <w:p w14:paraId="208B8F5F"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2507E67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-10.574</w:t>
            </w:r>
          </w:p>
        </w:tc>
        <w:tc>
          <w:tcPr>
            <w:tcW w:w="1501" w:type="dxa"/>
            <w:vAlign w:val="center"/>
          </w:tcPr>
          <w:p w14:paraId="3B200FA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-30.150</w:t>
            </w:r>
          </w:p>
        </w:tc>
        <w:tc>
          <w:tcPr>
            <w:tcW w:w="1500" w:type="dxa"/>
            <w:vAlign w:val="center"/>
          </w:tcPr>
          <w:p w14:paraId="5804957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43.532</w:t>
            </w:r>
          </w:p>
        </w:tc>
        <w:tc>
          <w:tcPr>
            <w:tcW w:w="1501" w:type="dxa"/>
            <w:vAlign w:val="center"/>
          </w:tcPr>
          <w:p w14:paraId="42E7BBD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-70.400</w:t>
            </w:r>
          </w:p>
        </w:tc>
        <w:tc>
          <w:tcPr>
            <w:tcW w:w="1501" w:type="dxa"/>
            <w:vAlign w:val="center"/>
          </w:tcPr>
          <w:p w14:paraId="4F1F1D3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98.200</w:t>
            </w:r>
          </w:p>
        </w:tc>
      </w:tr>
      <w:tr w:rsidR="00925007" w14:paraId="412B37B6" w14:textId="77777777" w:rsidTr="0029437B">
        <w:tc>
          <w:tcPr>
            <w:tcW w:w="1622" w:type="dxa"/>
          </w:tcPr>
          <w:p w14:paraId="59314A0E" w14:textId="77777777" w:rsidR="00925007" w:rsidRPr="0054438E" w:rsidRDefault="00925007" w:rsidP="0029437B">
            <w:pPr>
              <w:spacing w:line="220" w:lineRule="exact"/>
              <w:jc w:val="both"/>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Spr_S</w:t>
            </w:r>
          </w:p>
        </w:tc>
        <w:tc>
          <w:tcPr>
            <w:tcW w:w="1832" w:type="dxa"/>
          </w:tcPr>
          <w:p w14:paraId="52F2F1B2"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4D2F281C"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104</w:t>
            </w:r>
          </w:p>
        </w:tc>
        <w:tc>
          <w:tcPr>
            <w:tcW w:w="1504" w:type="dxa"/>
            <w:tcBorders>
              <w:right w:val="nil"/>
            </w:tcBorders>
          </w:tcPr>
          <w:p w14:paraId="252289F9"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3913DA18"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-8.139</w:t>
            </w:r>
          </w:p>
        </w:tc>
        <w:tc>
          <w:tcPr>
            <w:tcW w:w="1501" w:type="dxa"/>
            <w:vAlign w:val="center"/>
          </w:tcPr>
          <w:p w14:paraId="49A28CE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-17.150</w:t>
            </w:r>
          </w:p>
        </w:tc>
        <w:tc>
          <w:tcPr>
            <w:tcW w:w="1500" w:type="dxa"/>
            <w:vAlign w:val="center"/>
          </w:tcPr>
          <w:p w14:paraId="7C037C7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33.920</w:t>
            </w:r>
          </w:p>
        </w:tc>
        <w:tc>
          <w:tcPr>
            <w:tcW w:w="1501" w:type="dxa"/>
            <w:vAlign w:val="center"/>
          </w:tcPr>
          <w:p w14:paraId="2CCB9EB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-57.800</w:t>
            </w:r>
          </w:p>
        </w:tc>
        <w:tc>
          <w:tcPr>
            <w:tcW w:w="1501" w:type="dxa"/>
            <w:vAlign w:val="center"/>
          </w:tcPr>
          <w:p w14:paraId="1A942A65"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92.700</w:t>
            </w:r>
          </w:p>
        </w:tc>
      </w:tr>
      <w:tr w:rsidR="00925007" w14:paraId="0D3A6523" w14:textId="77777777" w:rsidTr="0029437B">
        <w:tc>
          <w:tcPr>
            <w:tcW w:w="1622" w:type="dxa"/>
          </w:tcPr>
          <w:p w14:paraId="320524D9"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LoanSize</w:t>
            </w:r>
            <w:r>
              <w:rPr>
                <w:rFonts w:ascii="Times New Roman" w:hAnsi="Times New Roman" w:cs="Times New Roman"/>
                <w:i/>
                <w:sz w:val="20"/>
                <w:szCs w:val="20"/>
              </w:rPr>
              <w:t>_LM</w:t>
            </w:r>
          </w:p>
        </w:tc>
        <w:tc>
          <w:tcPr>
            <w:tcW w:w="1832" w:type="dxa"/>
          </w:tcPr>
          <w:p w14:paraId="0A63699C"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w:t>
            </w:r>
            <w:r w:rsidRPr="000E0D8C">
              <w:rPr>
                <w:rFonts w:ascii="Times New Roman" w:hAnsi="Times New Roman" w:cs="Times New Roman"/>
                <w:sz w:val="20"/>
                <w:szCs w:val="20"/>
              </w:rPr>
              <w:t>1</w:t>
            </w:r>
            <w:r w:rsidRPr="000E0D8C">
              <w:rPr>
                <w:rFonts w:ascii="Times New Roman" w:hAnsi="Times New Roman" w:cs="Times New Roman" w:hint="eastAsia"/>
                <w:sz w:val="20"/>
                <w:szCs w:val="20"/>
              </w:rPr>
              <w:t>-2015:4</w:t>
            </w:r>
          </w:p>
        </w:tc>
        <w:tc>
          <w:tcPr>
            <w:tcW w:w="1497" w:type="dxa"/>
          </w:tcPr>
          <w:p w14:paraId="22D731CF"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349E8527"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4066F06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2.123</w:t>
            </w:r>
          </w:p>
        </w:tc>
        <w:tc>
          <w:tcPr>
            <w:tcW w:w="1501" w:type="dxa"/>
            <w:vAlign w:val="center"/>
          </w:tcPr>
          <w:p w14:paraId="4822557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-5.400</w:t>
            </w:r>
          </w:p>
        </w:tc>
        <w:tc>
          <w:tcPr>
            <w:tcW w:w="1500" w:type="dxa"/>
            <w:vAlign w:val="center"/>
          </w:tcPr>
          <w:p w14:paraId="6835CE8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21.068</w:t>
            </w:r>
          </w:p>
        </w:tc>
        <w:tc>
          <w:tcPr>
            <w:tcW w:w="1501" w:type="dxa"/>
            <w:vAlign w:val="center"/>
          </w:tcPr>
          <w:p w14:paraId="7342285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-30.900</w:t>
            </w:r>
          </w:p>
        </w:tc>
        <w:tc>
          <w:tcPr>
            <w:tcW w:w="1501" w:type="dxa"/>
            <w:vAlign w:val="center"/>
          </w:tcPr>
          <w:p w14:paraId="4C12EDD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69.100</w:t>
            </w:r>
          </w:p>
        </w:tc>
      </w:tr>
      <w:tr w:rsidR="00925007" w14:paraId="2FD5BDE2" w14:textId="77777777" w:rsidTr="0029437B">
        <w:tc>
          <w:tcPr>
            <w:tcW w:w="1622" w:type="dxa"/>
          </w:tcPr>
          <w:p w14:paraId="1446AD02" w14:textId="77777777" w:rsidR="00925007" w:rsidRDefault="00925007" w:rsidP="0029437B">
            <w:pPr>
              <w:spacing w:line="220" w:lineRule="exact"/>
              <w:jc w:val="both"/>
              <w:rPr>
                <w:rFonts w:ascii="Times New Roman" w:hAnsi="Times New Roman" w:cs="Times New Roman"/>
                <w:i/>
                <w:sz w:val="20"/>
                <w:szCs w:val="20"/>
              </w:rPr>
            </w:pPr>
            <w:r w:rsidRPr="002040A3">
              <w:rPr>
                <w:rFonts w:ascii="Times New Roman" w:hAnsi="Times New Roman" w:cs="Times New Roman"/>
                <w:i/>
                <w:sz w:val="20"/>
                <w:szCs w:val="20"/>
              </w:rPr>
              <w:t>Maturity_LM</w:t>
            </w:r>
          </w:p>
        </w:tc>
        <w:tc>
          <w:tcPr>
            <w:tcW w:w="1832" w:type="dxa"/>
          </w:tcPr>
          <w:p w14:paraId="7667EF87" w14:textId="77777777" w:rsidR="00925007" w:rsidRPr="000E0D8C" w:rsidRDefault="00925007" w:rsidP="0029437B">
            <w:pPr>
              <w:spacing w:line="220" w:lineRule="exact"/>
              <w:jc w:val="center"/>
              <w:rPr>
                <w:rFonts w:ascii="Times New Roman" w:hAnsi="Times New Roman" w:cs="Times New Roman"/>
                <w:sz w:val="20"/>
                <w:szCs w:val="20"/>
              </w:rPr>
            </w:pPr>
            <w:r>
              <w:rPr>
                <w:rFonts w:ascii="Times New Roman" w:hAnsi="Times New Roman" w:cs="Times New Roman"/>
                <w:sz w:val="20"/>
                <w:szCs w:val="20"/>
              </w:rPr>
              <w:t>2005</w:t>
            </w:r>
            <w:r w:rsidRPr="000E0D8C">
              <w:rPr>
                <w:rFonts w:ascii="Times New Roman" w:hAnsi="Times New Roman" w:cs="Times New Roman" w:hint="eastAsia"/>
                <w:sz w:val="20"/>
                <w:szCs w:val="20"/>
              </w:rPr>
              <w:t>:</w:t>
            </w:r>
            <w:r>
              <w:rPr>
                <w:rFonts w:ascii="Times New Roman" w:hAnsi="Times New Roman" w:cs="Times New Roman"/>
                <w:sz w:val="20"/>
                <w:szCs w:val="20"/>
              </w:rPr>
              <w:t>2</w:t>
            </w:r>
            <w:r w:rsidRPr="000E0D8C">
              <w:rPr>
                <w:rFonts w:ascii="Times New Roman" w:hAnsi="Times New Roman" w:cs="Times New Roman" w:hint="eastAsia"/>
                <w:sz w:val="20"/>
                <w:szCs w:val="20"/>
              </w:rPr>
              <w:t>-2015:4</w:t>
            </w:r>
          </w:p>
        </w:tc>
        <w:tc>
          <w:tcPr>
            <w:tcW w:w="1497" w:type="dxa"/>
          </w:tcPr>
          <w:p w14:paraId="0C5D0B07"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sz w:val="20"/>
                <w:szCs w:val="20"/>
              </w:rPr>
              <w:t>43</w:t>
            </w:r>
          </w:p>
        </w:tc>
        <w:tc>
          <w:tcPr>
            <w:tcW w:w="1504" w:type="dxa"/>
            <w:tcBorders>
              <w:right w:val="nil"/>
            </w:tcBorders>
          </w:tcPr>
          <w:p w14:paraId="687CBE1E"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1496760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-3.619</w:t>
            </w:r>
          </w:p>
        </w:tc>
        <w:tc>
          <w:tcPr>
            <w:tcW w:w="1501" w:type="dxa"/>
            <w:vAlign w:val="center"/>
          </w:tcPr>
          <w:p w14:paraId="6B3B421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-8.600</w:t>
            </w:r>
          </w:p>
        </w:tc>
        <w:tc>
          <w:tcPr>
            <w:tcW w:w="1500" w:type="dxa"/>
            <w:vAlign w:val="center"/>
          </w:tcPr>
          <w:p w14:paraId="5B641C4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19.707</w:t>
            </w:r>
          </w:p>
        </w:tc>
        <w:tc>
          <w:tcPr>
            <w:tcW w:w="1501" w:type="dxa"/>
            <w:vAlign w:val="center"/>
          </w:tcPr>
          <w:p w14:paraId="2A9D2C5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-25.500</w:t>
            </w:r>
          </w:p>
        </w:tc>
        <w:tc>
          <w:tcPr>
            <w:tcW w:w="1501" w:type="dxa"/>
            <w:vAlign w:val="center"/>
          </w:tcPr>
          <w:p w14:paraId="6ABB55C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61.800</w:t>
            </w:r>
          </w:p>
        </w:tc>
      </w:tr>
      <w:tr w:rsidR="00925007" w14:paraId="3101A4BE" w14:textId="77777777" w:rsidTr="0029437B">
        <w:tc>
          <w:tcPr>
            <w:tcW w:w="1622" w:type="dxa"/>
          </w:tcPr>
          <w:p w14:paraId="35E248BD" w14:textId="77777777" w:rsidR="00925007" w:rsidRPr="002040A3" w:rsidRDefault="00925007" w:rsidP="0029437B">
            <w:pPr>
              <w:spacing w:line="220" w:lineRule="exact"/>
              <w:jc w:val="both"/>
              <w:rPr>
                <w:rFonts w:ascii="Times New Roman" w:hAnsi="Times New Roman" w:cs="Times New Roman"/>
                <w:i/>
                <w:sz w:val="20"/>
                <w:szCs w:val="20"/>
              </w:rPr>
            </w:pPr>
            <w:r w:rsidRPr="002040A3">
              <w:rPr>
                <w:rFonts w:ascii="Times New Roman" w:hAnsi="Times New Roman" w:cs="Times New Roman"/>
                <w:i/>
                <w:sz w:val="20"/>
                <w:szCs w:val="20"/>
              </w:rPr>
              <w:t>Secured_LM</w:t>
            </w:r>
          </w:p>
        </w:tc>
        <w:tc>
          <w:tcPr>
            <w:tcW w:w="1832" w:type="dxa"/>
          </w:tcPr>
          <w:p w14:paraId="450D58FF"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w:t>
            </w:r>
            <w:r w:rsidRPr="000E0D8C">
              <w:rPr>
                <w:rFonts w:ascii="Times New Roman" w:hAnsi="Times New Roman" w:cs="Times New Roman"/>
                <w:sz w:val="20"/>
                <w:szCs w:val="20"/>
              </w:rPr>
              <w:t>1</w:t>
            </w:r>
            <w:r w:rsidRPr="000E0D8C">
              <w:rPr>
                <w:rFonts w:ascii="Times New Roman" w:hAnsi="Times New Roman" w:cs="Times New Roman" w:hint="eastAsia"/>
                <w:sz w:val="20"/>
                <w:szCs w:val="20"/>
              </w:rPr>
              <w:t>-2015:4</w:t>
            </w:r>
          </w:p>
        </w:tc>
        <w:tc>
          <w:tcPr>
            <w:tcW w:w="1497" w:type="dxa"/>
          </w:tcPr>
          <w:p w14:paraId="2C1BFC6A"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48AF36D0"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04D6AE45"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6.463</w:t>
            </w:r>
          </w:p>
        </w:tc>
        <w:tc>
          <w:tcPr>
            <w:tcW w:w="1501" w:type="dxa"/>
            <w:vAlign w:val="center"/>
          </w:tcPr>
          <w:p w14:paraId="3AE8455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0.000</w:t>
            </w:r>
          </w:p>
        </w:tc>
        <w:tc>
          <w:tcPr>
            <w:tcW w:w="1500" w:type="dxa"/>
            <w:vAlign w:val="center"/>
          </w:tcPr>
          <w:p w14:paraId="7BB8DDE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17.793</w:t>
            </w:r>
          </w:p>
        </w:tc>
        <w:tc>
          <w:tcPr>
            <w:tcW w:w="1501" w:type="dxa"/>
            <w:vAlign w:val="center"/>
          </w:tcPr>
          <w:p w14:paraId="7E25520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-16.700</w:t>
            </w:r>
          </w:p>
        </w:tc>
        <w:tc>
          <w:tcPr>
            <w:tcW w:w="1501" w:type="dxa"/>
            <w:vAlign w:val="center"/>
          </w:tcPr>
          <w:p w14:paraId="78C8235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60.000</w:t>
            </w:r>
          </w:p>
        </w:tc>
      </w:tr>
      <w:tr w:rsidR="00925007" w14:paraId="14E24DE6" w14:textId="77777777" w:rsidTr="0029437B">
        <w:tc>
          <w:tcPr>
            <w:tcW w:w="1622" w:type="dxa"/>
          </w:tcPr>
          <w:p w14:paraId="2719CD8A" w14:textId="77777777" w:rsidR="00925007" w:rsidRPr="004E6AA6"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Loan_Spr</w:t>
            </w:r>
          </w:p>
        </w:tc>
        <w:tc>
          <w:tcPr>
            <w:tcW w:w="1832" w:type="dxa"/>
          </w:tcPr>
          <w:p w14:paraId="23EEE9AC"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1F872A5A"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1F708162"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3A20596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2.291</w:t>
            </w:r>
          </w:p>
        </w:tc>
        <w:tc>
          <w:tcPr>
            <w:tcW w:w="1501" w:type="dxa"/>
            <w:vAlign w:val="center"/>
          </w:tcPr>
          <w:p w14:paraId="0612A53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2.180</w:t>
            </w:r>
          </w:p>
        </w:tc>
        <w:tc>
          <w:tcPr>
            <w:tcW w:w="1500" w:type="dxa"/>
            <w:vAlign w:val="center"/>
          </w:tcPr>
          <w:p w14:paraId="14596FA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0.500</w:t>
            </w:r>
          </w:p>
        </w:tc>
        <w:tc>
          <w:tcPr>
            <w:tcW w:w="1501" w:type="dxa"/>
            <w:vAlign w:val="center"/>
          </w:tcPr>
          <w:p w14:paraId="461C008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1.560</w:t>
            </w:r>
          </w:p>
        </w:tc>
        <w:tc>
          <w:tcPr>
            <w:tcW w:w="1501" w:type="dxa"/>
            <w:vAlign w:val="center"/>
          </w:tcPr>
          <w:p w14:paraId="3B4D05B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3.490</w:t>
            </w:r>
          </w:p>
        </w:tc>
      </w:tr>
      <w:tr w:rsidR="00925007" w14:paraId="3E419415" w14:textId="77777777" w:rsidTr="0029437B">
        <w:tc>
          <w:tcPr>
            <w:tcW w:w="1622" w:type="dxa"/>
          </w:tcPr>
          <w:p w14:paraId="48D33E68" w14:textId="77777777" w:rsidR="00925007" w:rsidRDefault="00925007" w:rsidP="0029437B">
            <w:pPr>
              <w:spacing w:line="220" w:lineRule="exact"/>
              <w:jc w:val="both"/>
              <w:rPr>
                <w:rFonts w:ascii="Times New Roman" w:hAnsi="Times New Roman" w:cs="Times New Roman"/>
                <w:i/>
                <w:sz w:val="20"/>
                <w:szCs w:val="20"/>
              </w:rPr>
            </w:pPr>
            <w:r w:rsidRPr="004E6AA6">
              <w:rPr>
                <w:rFonts w:ascii="Times New Roman" w:hAnsi="Times New Roman" w:cs="Times New Roman"/>
                <w:i/>
                <w:sz w:val="20"/>
                <w:szCs w:val="20"/>
              </w:rPr>
              <w:t>∆</w:t>
            </w:r>
            <w:r>
              <w:rPr>
                <w:rFonts w:ascii="Times New Roman" w:hAnsi="Times New Roman" w:cs="Times New Roman" w:hint="eastAsia"/>
                <w:i/>
                <w:sz w:val="20"/>
                <w:szCs w:val="20"/>
              </w:rPr>
              <w:t>Loan_FoF</w:t>
            </w:r>
          </w:p>
        </w:tc>
        <w:tc>
          <w:tcPr>
            <w:tcW w:w="1832" w:type="dxa"/>
          </w:tcPr>
          <w:p w14:paraId="6B0DEB0E" w14:textId="77777777" w:rsidR="00925007" w:rsidRDefault="00925007" w:rsidP="0029437B">
            <w:pPr>
              <w:spacing w:line="220" w:lineRule="exact"/>
              <w:jc w:val="center"/>
            </w:pPr>
            <w:r w:rsidRPr="00EE6F5B">
              <w:rPr>
                <w:rFonts w:ascii="Times New Roman" w:hAnsi="Times New Roman" w:cs="Times New Roman" w:hint="eastAsia"/>
                <w:sz w:val="20"/>
                <w:szCs w:val="20"/>
              </w:rPr>
              <w:t>1990:1-2015:4</w:t>
            </w:r>
          </w:p>
        </w:tc>
        <w:tc>
          <w:tcPr>
            <w:tcW w:w="1497" w:type="dxa"/>
          </w:tcPr>
          <w:p w14:paraId="0FFF58AC" w14:textId="77777777" w:rsidR="00925007" w:rsidRDefault="00925007" w:rsidP="0029437B">
            <w:pPr>
              <w:spacing w:line="220" w:lineRule="exact"/>
              <w:jc w:val="right"/>
            </w:pPr>
            <w:r w:rsidRPr="00A50703">
              <w:rPr>
                <w:rFonts w:ascii="Times New Roman" w:hAnsi="Times New Roman" w:cs="Times New Roman" w:hint="eastAsia"/>
                <w:sz w:val="20"/>
                <w:szCs w:val="20"/>
              </w:rPr>
              <w:t>104</w:t>
            </w:r>
          </w:p>
        </w:tc>
        <w:tc>
          <w:tcPr>
            <w:tcW w:w="1504" w:type="dxa"/>
            <w:tcBorders>
              <w:right w:val="nil"/>
            </w:tcBorders>
          </w:tcPr>
          <w:p w14:paraId="51F97734"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sz w:val="20"/>
                <w:szCs w:val="20"/>
              </w:rPr>
              <w:t>B</w:t>
            </w:r>
            <w:r w:rsidRPr="000E0D8C">
              <w:rPr>
                <w:rFonts w:ascii="Times New Roman" w:hAnsi="Times New Roman" w:cs="Times New Roman" w:hint="eastAsia"/>
                <w:sz w:val="20"/>
                <w:szCs w:val="20"/>
              </w:rPr>
              <w:t>illions</w:t>
            </w:r>
          </w:p>
        </w:tc>
        <w:tc>
          <w:tcPr>
            <w:tcW w:w="1500" w:type="dxa"/>
            <w:tcBorders>
              <w:left w:val="nil"/>
            </w:tcBorders>
            <w:vAlign w:val="center"/>
          </w:tcPr>
          <w:p w14:paraId="6A5EF2F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9.974</w:t>
            </w:r>
          </w:p>
        </w:tc>
        <w:tc>
          <w:tcPr>
            <w:tcW w:w="1501" w:type="dxa"/>
            <w:vAlign w:val="center"/>
          </w:tcPr>
          <w:p w14:paraId="579C995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13.960</w:t>
            </w:r>
          </w:p>
        </w:tc>
        <w:tc>
          <w:tcPr>
            <w:tcW w:w="1500" w:type="dxa"/>
            <w:vAlign w:val="center"/>
          </w:tcPr>
          <w:p w14:paraId="2DB4939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44.729</w:t>
            </w:r>
          </w:p>
        </w:tc>
        <w:tc>
          <w:tcPr>
            <w:tcW w:w="1501" w:type="dxa"/>
            <w:vAlign w:val="center"/>
          </w:tcPr>
          <w:p w14:paraId="038F365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-149.850</w:t>
            </w:r>
          </w:p>
        </w:tc>
        <w:tc>
          <w:tcPr>
            <w:tcW w:w="1501" w:type="dxa"/>
            <w:vAlign w:val="center"/>
          </w:tcPr>
          <w:p w14:paraId="28256933"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146.370</w:t>
            </w:r>
          </w:p>
        </w:tc>
      </w:tr>
      <w:tr w:rsidR="00925007" w14:paraId="7A371D6D" w14:textId="77777777" w:rsidTr="0029437B">
        <w:tc>
          <w:tcPr>
            <w:tcW w:w="1622" w:type="dxa"/>
          </w:tcPr>
          <w:p w14:paraId="74DAB933" w14:textId="77777777" w:rsidR="00925007" w:rsidRDefault="00925007" w:rsidP="0029437B">
            <w:pPr>
              <w:spacing w:line="220" w:lineRule="exact"/>
              <w:jc w:val="both"/>
              <w:rPr>
                <w:rFonts w:ascii="Times New Roman" w:hAnsi="Times New Roman" w:cs="Times New Roman"/>
                <w:i/>
                <w:sz w:val="20"/>
                <w:szCs w:val="20"/>
              </w:rPr>
            </w:pPr>
            <w:r w:rsidRPr="004E6AA6">
              <w:rPr>
                <w:rFonts w:ascii="Times New Roman" w:hAnsi="Times New Roman" w:cs="Times New Roman"/>
                <w:i/>
                <w:sz w:val="20"/>
                <w:szCs w:val="20"/>
              </w:rPr>
              <w:t>∆</w:t>
            </w:r>
            <w:r>
              <w:rPr>
                <w:rFonts w:ascii="Times New Roman" w:hAnsi="Times New Roman" w:cs="Times New Roman"/>
                <w:i/>
                <w:sz w:val="20"/>
                <w:szCs w:val="20"/>
              </w:rPr>
              <w:t>Bond</w:t>
            </w:r>
            <w:r>
              <w:rPr>
                <w:rFonts w:ascii="Times New Roman" w:hAnsi="Times New Roman" w:cs="Times New Roman" w:hint="eastAsia"/>
                <w:i/>
                <w:sz w:val="20"/>
                <w:szCs w:val="20"/>
              </w:rPr>
              <w:t>_FoF</w:t>
            </w:r>
          </w:p>
        </w:tc>
        <w:tc>
          <w:tcPr>
            <w:tcW w:w="1832" w:type="dxa"/>
          </w:tcPr>
          <w:p w14:paraId="05FFD5FD" w14:textId="77777777" w:rsidR="00925007" w:rsidRDefault="00925007" w:rsidP="0029437B">
            <w:pPr>
              <w:spacing w:line="220" w:lineRule="exact"/>
              <w:jc w:val="center"/>
            </w:pPr>
            <w:r w:rsidRPr="00EE6F5B">
              <w:rPr>
                <w:rFonts w:ascii="Times New Roman" w:hAnsi="Times New Roman" w:cs="Times New Roman" w:hint="eastAsia"/>
                <w:sz w:val="20"/>
                <w:szCs w:val="20"/>
              </w:rPr>
              <w:t>1990:1-2015:4</w:t>
            </w:r>
          </w:p>
        </w:tc>
        <w:tc>
          <w:tcPr>
            <w:tcW w:w="1497" w:type="dxa"/>
          </w:tcPr>
          <w:p w14:paraId="42C0F326" w14:textId="77777777" w:rsidR="00925007" w:rsidRDefault="00925007" w:rsidP="0029437B">
            <w:pPr>
              <w:spacing w:line="220" w:lineRule="exact"/>
              <w:jc w:val="right"/>
            </w:pPr>
            <w:r w:rsidRPr="00A50703">
              <w:rPr>
                <w:rFonts w:ascii="Times New Roman" w:hAnsi="Times New Roman" w:cs="Times New Roman" w:hint="eastAsia"/>
                <w:sz w:val="20"/>
                <w:szCs w:val="20"/>
              </w:rPr>
              <w:t>104</w:t>
            </w:r>
          </w:p>
        </w:tc>
        <w:tc>
          <w:tcPr>
            <w:tcW w:w="1504" w:type="dxa"/>
            <w:tcBorders>
              <w:right w:val="nil"/>
            </w:tcBorders>
          </w:tcPr>
          <w:p w14:paraId="7F3CC108"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sz w:val="20"/>
                <w:szCs w:val="20"/>
              </w:rPr>
              <w:t>B</w:t>
            </w:r>
            <w:r w:rsidRPr="000E0D8C">
              <w:rPr>
                <w:rFonts w:ascii="Times New Roman" w:hAnsi="Times New Roman" w:cs="Times New Roman" w:hint="eastAsia"/>
                <w:sz w:val="20"/>
                <w:szCs w:val="20"/>
              </w:rPr>
              <w:t>illions</w:t>
            </w:r>
          </w:p>
        </w:tc>
        <w:tc>
          <w:tcPr>
            <w:tcW w:w="1500" w:type="dxa"/>
            <w:tcBorders>
              <w:left w:val="nil"/>
            </w:tcBorders>
            <w:vAlign w:val="center"/>
          </w:tcPr>
          <w:p w14:paraId="58C6540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37.671</w:t>
            </w:r>
          </w:p>
        </w:tc>
        <w:tc>
          <w:tcPr>
            <w:tcW w:w="1501" w:type="dxa"/>
            <w:vAlign w:val="center"/>
          </w:tcPr>
          <w:p w14:paraId="4B918D3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30.555</w:t>
            </w:r>
          </w:p>
        </w:tc>
        <w:tc>
          <w:tcPr>
            <w:tcW w:w="1500" w:type="dxa"/>
            <w:vAlign w:val="center"/>
          </w:tcPr>
          <w:p w14:paraId="29E2810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35.680</w:t>
            </w:r>
          </w:p>
        </w:tc>
        <w:tc>
          <w:tcPr>
            <w:tcW w:w="1501" w:type="dxa"/>
            <w:vAlign w:val="center"/>
          </w:tcPr>
          <w:p w14:paraId="717D609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-38.340</w:t>
            </w:r>
          </w:p>
        </w:tc>
        <w:tc>
          <w:tcPr>
            <w:tcW w:w="1501" w:type="dxa"/>
            <w:vAlign w:val="center"/>
          </w:tcPr>
          <w:p w14:paraId="71EF08F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142.980</w:t>
            </w:r>
          </w:p>
        </w:tc>
      </w:tr>
      <w:tr w:rsidR="00925007" w14:paraId="317EF10F" w14:textId="77777777" w:rsidTr="0029437B">
        <w:tc>
          <w:tcPr>
            <w:tcW w:w="1622" w:type="dxa"/>
          </w:tcPr>
          <w:p w14:paraId="2F70E5FF" w14:textId="77777777" w:rsidR="00925007" w:rsidRPr="002040A3"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Loan-Bond</w:t>
            </w:r>
          </w:p>
        </w:tc>
        <w:tc>
          <w:tcPr>
            <w:tcW w:w="1832" w:type="dxa"/>
          </w:tcPr>
          <w:p w14:paraId="193423CF" w14:textId="77777777" w:rsidR="00925007" w:rsidRDefault="00925007" w:rsidP="0029437B">
            <w:pPr>
              <w:spacing w:line="220" w:lineRule="exact"/>
              <w:jc w:val="center"/>
            </w:pPr>
            <w:r w:rsidRPr="00EE6F5B">
              <w:rPr>
                <w:rFonts w:ascii="Times New Roman" w:hAnsi="Times New Roman" w:cs="Times New Roman" w:hint="eastAsia"/>
                <w:sz w:val="20"/>
                <w:szCs w:val="20"/>
              </w:rPr>
              <w:t>1990:1-2015:4</w:t>
            </w:r>
          </w:p>
        </w:tc>
        <w:tc>
          <w:tcPr>
            <w:tcW w:w="1497" w:type="dxa"/>
          </w:tcPr>
          <w:p w14:paraId="004E6A36" w14:textId="77777777" w:rsidR="00925007" w:rsidRDefault="00925007" w:rsidP="0029437B">
            <w:pPr>
              <w:spacing w:line="220" w:lineRule="exact"/>
              <w:jc w:val="right"/>
            </w:pPr>
            <w:r w:rsidRPr="00A50703">
              <w:rPr>
                <w:rFonts w:ascii="Times New Roman" w:hAnsi="Times New Roman" w:cs="Times New Roman" w:hint="eastAsia"/>
                <w:sz w:val="20"/>
                <w:szCs w:val="20"/>
              </w:rPr>
              <w:t>104</w:t>
            </w:r>
          </w:p>
        </w:tc>
        <w:tc>
          <w:tcPr>
            <w:tcW w:w="1504" w:type="dxa"/>
            <w:tcBorders>
              <w:right w:val="nil"/>
            </w:tcBorders>
          </w:tcPr>
          <w:p w14:paraId="5B4D3AF5"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w:t>
            </w:r>
          </w:p>
        </w:tc>
        <w:tc>
          <w:tcPr>
            <w:tcW w:w="1500" w:type="dxa"/>
            <w:tcBorders>
              <w:left w:val="nil"/>
            </w:tcBorders>
            <w:vAlign w:val="center"/>
          </w:tcPr>
          <w:p w14:paraId="3CDBC2B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-0.801</w:t>
            </w:r>
          </w:p>
        </w:tc>
        <w:tc>
          <w:tcPr>
            <w:tcW w:w="1501" w:type="dxa"/>
            <w:vAlign w:val="center"/>
          </w:tcPr>
          <w:p w14:paraId="55C8C19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-0.439</w:t>
            </w:r>
          </w:p>
        </w:tc>
        <w:tc>
          <w:tcPr>
            <w:tcW w:w="1500" w:type="dxa"/>
            <w:vAlign w:val="center"/>
          </w:tcPr>
          <w:p w14:paraId="11B6932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3.024</w:t>
            </w:r>
          </w:p>
        </w:tc>
        <w:tc>
          <w:tcPr>
            <w:tcW w:w="1501" w:type="dxa"/>
            <w:vAlign w:val="center"/>
          </w:tcPr>
          <w:p w14:paraId="2438BB0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-8.949</w:t>
            </w:r>
          </w:p>
        </w:tc>
        <w:tc>
          <w:tcPr>
            <w:tcW w:w="1501" w:type="dxa"/>
            <w:vAlign w:val="center"/>
          </w:tcPr>
          <w:p w14:paraId="2F6ADBC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8.225</w:t>
            </w:r>
          </w:p>
        </w:tc>
      </w:tr>
      <w:tr w:rsidR="00925007" w14:paraId="7BCAA99D" w14:textId="77777777" w:rsidTr="0029437B">
        <w:tc>
          <w:tcPr>
            <w:tcW w:w="1622" w:type="dxa"/>
          </w:tcPr>
          <w:p w14:paraId="6DF29F05" w14:textId="77777777" w:rsidR="00925007" w:rsidRPr="004E6AA6"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Loan/Debt</w:t>
            </w:r>
          </w:p>
        </w:tc>
        <w:tc>
          <w:tcPr>
            <w:tcW w:w="1832" w:type="dxa"/>
          </w:tcPr>
          <w:p w14:paraId="0FCB631A" w14:textId="77777777" w:rsidR="00925007" w:rsidRDefault="00925007" w:rsidP="0029437B">
            <w:pPr>
              <w:spacing w:line="220" w:lineRule="exact"/>
              <w:jc w:val="center"/>
            </w:pPr>
            <w:r w:rsidRPr="00EE6F5B">
              <w:rPr>
                <w:rFonts w:ascii="Times New Roman" w:hAnsi="Times New Roman" w:cs="Times New Roman" w:hint="eastAsia"/>
                <w:sz w:val="20"/>
                <w:szCs w:val="20"/>
              </w:rPr>
              <w:t>1990:1-2015:4</w:t>
            </w:r>
          </w:p>
        </w:tc>
        <w:tc>
          <w:tcPr>
            <w:tcW w:w="1497" w:type="dxa"/>
          </w:tcPr>
          <w:p w14:paraId="08A59FA9" w14:textId="77777777" w:rsidR="00925007" w:rsidRDefault="00925007" w:rsidP="0029437B">
            <w:pPr>
              <w:spacing w:line="220" w:lineRule="exact"/>
              <w:jc w:val="right"/>
            </w:pPr>
            <w:r w:rsidRPr="00A50703">
              <w:rPr>
                <w:rFonts w:ascii="Times New Roman" w:hAnsi="Times New Roman" w:cs="Times New Roman" w:hint="eastAsia"/>
                <w:sz w:val="20"/>
                <w:szCs w:val="20"/>
              </w:rPr>
              <w:t>104</w:t>
            </w:r>
          </w:p>
        </w:tc>
        <w:tc>
          <w:tcPr>
            <w:tcW w:w="1504" w:type="dxa"/>
            <w:tcBorders>
              <w:right w:val="nil"/>
            </w:tcBorders>
          </w:tcPr>
          <w:p w14:paraId="54EAC73F"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w:t>
            </w:r>
          </w:p>
        </w:tc>
        <w:tc>
          <w:tcPr>
            <w:tcW w:w="1500" w:type="dxa"/>
            <w:tcBorders>
              <w:left w:val="nil"/>
            </w:tcBorders>
            <w:vAlign w:val="center"/>
          </w:tcPr>
          <w:p w14:paraId="4DEAA63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-0.187</w:t>
            </w:r>
          </w:p>
        </w:tc>
        <w:tc>
          <w:tcPr>
            <w:tcW w:w="1501" w:type="dxa"/>
            <w:vAlign w:val="center"/>
          </w:tcPr>
          <w:p w14:paraId="3DF735C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-0.106</w:t>
            </w:r>
          </w:p>
        </w:tc>
        <w:tc>
          <w:tcPr>
            <w:tcW w:w="1500" w:type="dxa"/>
            <w:vAlign w:val="center"/>
          </w:tcPr>
          <w:p w14:paraId="4FD76DD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0.699</w:t>
            </w:r>
          </w:p>
        </w:tc>
        <w:tc>
          <w:tcPr>
            <w:tcW w:w="1501" w:type="dxa"/>
            <w:vAlign w:val="center"/>
          </w:tcPr>
          <w:p w14:paraId="169E64D8"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-2.146</w:t>
            </w:r>
          </w:p>
        </w:tc>
        <w:tc>
          <w:tcPr>
            <w:tcW w:w="1501" w:type="dxa"/>
            <w:vAlign w:val="center"/>
          </w:tcPr>
          <w:p w14:paraId="558F76B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1.944</w:t>
            </w:r>
          </w:p>
        </w:tc>
      </w:tr>
      <w:tr w:rsidR="00925007" w14:paraId="33E67232" w14:textId="77777777" w:rsidTr="0029437B">
        <w:tc>
          <w:tcPr>
            <w:tcW w:w="1622" w:type="dxa"/>
          </w:tcPr>
          <w:p w14:paraId="28D9E964"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LoanSize</w:t>
            </w:r>
          </w:p>
        </w:tc>
        <w:tc>
          <w:tcPr>
            <w:tcW w:w="1832" w:type="dxa"/>
          </w:tcPr>
          <w:p w14:paraId="4ADB76D2" w14:textId="77777777" w:rsidR="00925007" w:rsidRPr="000E0D8C" w:rsidRDefault="00925007" w:rsidP="0029437B">
            <w:pPr>
              <w:spacing w:line="220" w:lineRule="exact"/>
              <w:jc w:val="center"/>
              <w:rPr>
                <w:sz w:val="20"/>
                <w:szCs w:val="20"/>
              </w:rPr>
            </w:pPr>
            <w:r w:rsidRPr="000E0D8C">
              <w:rPr>
                <w:rFonts w:ascii="Times New Roman" w:hAnsi="Times New Roman" w:cs="Times New Roman" w:hint="eastAsia"/>
                <w:sz w:val="20"/>
                <w:szCs w:val="20"/>
              </w:rPr>
              <w:t>1997:2-2015:4</w:t>
            </w:r>
          </w:p>
        </w:tc>
        <w:tc>
          <w:tcPr>
            <w:tcW w:w="1497" w:type="dxa"/>
          </w:tcPr>
          <w:p w14:paraId="606A39CB"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75</w:t>
            </w:r>
          </w:p>
        </w:tc>
        <w:tc>
          <w:tcPr>
            <w:tcW w:w="1504" w:type="dxa"/>
            <w:tcBorders>
              <w:right w:val="nil"/>
            </w:tcBorders>
          </w:tcPr>
          <w:p w14:paraId="663802FA"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sz w:val="20"/>
                <w:szCs w:val="20"/>
              </w:rPr>
              <w:t>T</w:t>
            </w:r>
            <w:r w:rsidRPr="000E0D8C">
              <w:rPr>
                <w:rFonts w:ascii="Times New Roman" w:hAnsi="Times New Roman" w:cs="Times New Roman" w:hint="eastAsia"/>
                <w:sz w:val="20"/>
                <w:szCs w:val="20"/>
              </w:rPr>
              <w:t>housands</w:t>
            </w:r>
          </w:p>
        </w:tc>
        <w:tc>
          <w:tcPr>
            <w:tcW w:w="1500" w:type="dxa"/>
            <w:tcBorders>
              <w:left w:val="nil"/>
            </w:tcBorders>
            <w:vAlign w:val="center"/>
          </w:tcPr>
          <w:p w14:paraId="0DD70FA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379.587</w:t>
            </w:r>
          </w:p>
        </w:tc>
        <w:tc>
          <w:tcPr>
            <w:tcW w:w="1501" w:type="dxa"/>
            <w:vAlign w:val="center"/>
          </w:tcPr>
          <w:p w14:paraId="0E815E68"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362.000</w:t>
            </w:r>
          </w:p>
        </w:tc>
        <w:tc>
          <w:tcPr>
            <w:tcW w:w="1500" w:type="dxa"/>
            <w:vAlign w:val="center"/>
          </w:tcPr>
          <w:p w14:paraId="140F673E"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86.757</w:t>
            </w:r>
          </w:p>
        </w:tc>
        <w:tc>
          <w:tcPr>
            <w:tcW w:w="1501" w:type="dxa"/>
            <w:vAlign w:val="center"/>
          </w:tcPr>
          <w:p w14:paraId="2DF8767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228.000</w:t>
            </w:r>
          </w:p>
        </w:tc>
        <w:tc>
          <w:tcPr>
            <w:tcW w:w="1501" w:type="dxa"/>
            <w:vAlign w:val="center"/>
          </w:tcPr>
          <w:p w14:paraId="2FE65F65"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666.000</w:t>
            </w:r>
          </w:p>
        </w:tc>
      </w:tr>
      <w:tr w:rsidR="00925007" w14:paraId="2047CE87" w14:textId="77777777" w:rsidTr="0029437B">
        <w:tc>
          <w:tcPr>
            <w:tcW w:w="1622" w:type="dxa"/>
          </w:tcPr>
          <w:p w14:paraId="2AB7AD1A"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Maturity</w:t>
            </w:r>
          </w:p>
        </w:tc>
        <w:tc>
          <w:tcPr>
            <w:tcW w:w="1832" w:type="dxa"/>
          </w:tcPr>
          <w:p w14:paraId="6378761D" w14:textId="77777777" w:rsidR="00925007" w:rsidRPr="000E0D8C" w:rsidRDefault="00925007" w:rsidP="0029437B">
            <w:pPr>
              <w:spacing w:line="220" w:lineRule="exact"/>
              <w:jc w:val="center"/>
              <w:rPr>
                <w:sz w:val="20"/>
                <w:szCs w:val="20"/>
              </w:rPr>
            </w:pPr>
            <w:r w:rsidRPr="000E0D8C">
              <w:rPr>
                <w:rFonts w:ascii="Times New Roman" w:hAnsi="Times New Roman" w:cs="Times New Roman" w:hint="eastAsia"/>
                <w:sz w:val="20"/>
                <w:szCs w:val="20"/>
              </w:rPr>
              <w:t>1997:2-2015:4</w:t>
            </w:r>
          </w:p>
        </w:tc>
        <w:tc>
          <w:tcPr>
            <w:tcW w:w="1497" w:type="dxa"/>
          </w:tcPr>
          <w:p w14:paraId="1F58352B"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75</w:t>
            </w:r>
          </w:p>
        </w:tc>
        <w:tc>
          <w:tcPr>
            <w:tcW w:w="1504" w:type="dxa"/>
            <w:tcBorders>
              <w:right w:val="nil"/>
            </w:tcBorders>
          </w:tcPr>
          <w:p w14:paraId="15FC650D"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Days</w:t>
            </w:r>
          </w:p>
        </w:tc>
        <w:tc>
          <w:tcPr>
            <w:tcW w:w="1500" w:type="dxa"/>
            <w:tcBorders>
              <w:left w:val="nil"/>
            </w:tcBorders>
            <w:vAlign w:val="center"/>
          </w:tcPr>
          <w:p w14:paraId="0EBD609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661.773</w:t>
            </w:r>
          </w:p>
        </w:tc>
        <w:tc>
          <w:tcPr>
            <w:tcW w:w="1501" w:type="dxa"/>
            <w:vAlign w:val="center"/>
          </w:tcPr>
          <w:p w14:paraId="122E610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633.000</w:t>
            </w:r>
          </w:p>
        </w:tc>
        <w:tc>
          <w:tcPr>
            <w:tcW w:w="1500" w:type="dxa"/>
            <w:vAlign w:val="center"/>
          </w:tcPr>
          <w:p w14:paraId="184D5F4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142.889</w:t>
            </w:r>
          </w:p>
        </w:tc>
        <w:tc>
          <w:tcPr>
            <w:tcW w:w="1501" w:type="dxa"/>
            <w:vAlign w:val="center"/>
          </w:tcPr>
          <w:p w14:paraId="6B4BF0F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404.000</w:t>
            </w:r>
          </w:p>
        </w:tc>
        <w:tc>
          <w:tcPr>
            <w:tcW w:w="1501" w:type="dxa"/>
            <w:vAlign w:val="center"/>
          </w:tcPr>
          <w:p w14:paraId="5B672D75"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050.000</w:t>
            </w:r>
          </w:p>
        </w:tc>
      </w:tr>
      <w:tr w:rsidR="00925007" w14:paraId="5A2AB892" w14:textId="77777777" w:rsidTr="0029437B">
        <w:tc>
          <w:tcPr>
            <w:tcW w:w="1622" w:type="dxa"/>
          </w:tcPr>
          <w:p w14:paraId="7DCACF88"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Secured</w:t>
            </w:r>
          </w:p>
        </w:tc>
        <w:tc>
          <w:tcPr>
            <w:tcW w:w="1832" w:type="dxa"/>
          </w:tcPr>
          <w:p w14:paraId="688880FA" w14:textId="77777777" w:rsidR="00925007" w:rsidRPr="000E0D8C" w:rsidRDefault="00925007" w:rsidP="0029437B">
            <w:pPr>
              <w:spacing w:line="220" w:lineRule="exact"/>
              <w:jc w:val="center"/>
              <w:rPr>
                <w:sz w:val="20"/>
                <w:szCs w:val="20"/>
              </w:rPr>
            </w:pPr>
            <w:r w:rsidRPr="000E0D8C">
              <w:rPr>
                <w:rFonts w:ascii="Times New Roman" w:hAnsi="Times New Roman" w:cs="Times New Roman" w:hint="eastAsia"/>
                <w:sz w:val="20"/>
                <w:szCs w:val="20"/>
              </w:rPr>
              <w:t>1997:2-2015:4</w:t>
            </w:r>
          </w:p>
        </w:tc>
        <w:tc>
          <w:tcPr>
            <w:tcW w:w="1497" w:type="dxa"/>
          </w:tcPr>
          <w:p w14:paraId="57C8D84D" w14:textId="77777777" w:rsidR="00925007" w:rsidRPr="000E0D8C" w:rsidRDefault="00925007" w:rsidP="0029437B">
            <w:pPr>
              <w:spacing w:line="220" w:lineRule="exact"/>
              <w:jc w:val="right"/>
              <w:rPr>
                <w:sz w:val="20"/>
                <w:szCs w:val="20"/>
              </w:rPr>
            </w:pPr>
            <w:r w:rsidRPr="000E0D8C">
              <w:rPr>
                <w:rFonts w:ascii="Times New Roman" w:hAnsi="Times New Roman" w:cs="Times New Roman" w:hint="eastAsia"/>
                <w:sz w:val="20"/>
                <w:szCs w:val="20"/>
              </w:rPr>
              <w:t>75</w:t>
            </w:r>
          </w:p>
        </w:tc>
        <w:tc>
          <w:tcPr>
            <w:tcW w:w="1504" w:type="dxa"/>
            <w:tcBorders>
              <w:right w:val="nil"/>
            </w:tcBorders>
          </w:tcPr>
          <w:p w14:paraId="4F1EE7E0"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hint="eastAsia"/>
                <w:sz w:val="20"/>
                <w:szCs w:val="20"/>
              </w:rPr>
              <w:t>%</w:t>
            </w:r>
          </w:p>
        </w:tc>
        <w:tc>
          <w:tcPr>
            <w:tcW w:w="1500" w:type="dxa"/>
            <w:tcBorders>
              <w:left w:val="nil"/>
            </w:tcBorders>
            <w:vAlign w:val="center"/>
          </w:tcPr>
          <w:p w14:paraId="6FB2576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49.109</w:t>
            </w:r>
          </w:p>
        </w:tc>
        <w:tc>
          <w:tcPr>
            <w:tcW w:w="1501" w:type="dxa"/>
            <w:vAlign w:val="center"/>
          </w:tcPr>
          <w:p w14:paraId="27D04B9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48.000</w:t>
            </w:r>
          </w:p>
        </w:tc>
        <w:tc>
          <w:tcPr>
            <w:tcW w:w="1500" w:type="dxa"/>
            <w:vAlign w:val="center"/>
          </w:tcPr>
          <w:p w14:paraId="7CF0777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7.968</w:t>
            </w:r>
          </w:p>
        </w:tc>
        <w:tc>
          <w:tcPr>
            <w:tcW w:w="1501" w:type="dxa"/>
            <w:vAlign w:val="center"/>
          </w:tcPr>
          <w:p w14:paraId="3023A5A9"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31.200</w:t>
            </w:r>
          </w:p>
        </w:tc>
        <w:tc>
          <w:tcPr>
            <w:tcW w:w="1501" w:type="dxa"/>
            <w:vAlign w:val="center"/>
          </w:tcPr>
          <w:p w14:paraId="62971C6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66.100</w:t>
            </w:r>
          </w:p>
        </w:tc>
      </w:tr>
      <w:tr w:rsidR="00925007" w14:paraId="3DA50626" w14:textId="77777777" w:rsidTr="0029437B">
        <w:tc>
          <w:tcPr>
            <w:tcW w:w="1622" w:type="dxa"/>
          </w:tcPr>
          <w:p w14:paraId="33F7A89C"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Synd_Loan</w:t>
            </w:r>
          </w:p>
        </w:tc>
        <w:tc>
          <w:tcPr>
            <w:tcW w:w="1832" w:type="dxa"/>
          </w:tcPr>
          <w:p w14:paraId="3F0C2DE8"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5149F0D3"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1CA8BCCD" w14:textId="77777777" w:rsidR="00925007" w:rsidRPr="000E0D8C" w:rsidRDefault="00925007" w:rsidP="0029437B">
            <w:pPr>
              <w:spacing w:line="220" w:lineRule="exact"/>
              <w:jc w:val="right"/>
              <w:rPr>
                <w:rFonts w:ascii="Times New Roman" w:hAnsi="Times New Roman" w:cs="Times New Roman"/>
                <w:sz w:val="20"/>
                <w:szCs w:val="20"/>
              </w:rPr>
            </w:pPr>
            <w:r w:rsidRPr="000E0D8C">
              <w:rPr>
                <w:rFonts w:ascii="Times New Roman" w:hAnsi="Times New Roman" w:cs="Times New Roman"/>
                <w:sz w:val="20"/>
                <w:szCs w:val="20"/>
              </w:rPr>
              <w:t>B</w:t>
            </w:r>
            <w:r w:rsidRPr="000E0D8C">
              <w:rPr>
                <w:rFonts w:ascii="Times New Roman" w:hAnsi="Times New Roman" w:cs="Times New Roman" w:hint="eastAsia"/>
                <w:sz w:val="20"/>
                <w:szCs w:val="20"/>
              </w:rPr>
              <w:t>illions</w:t>
            </w:r>
          </w:p>
        </w:tc>
        <w:tc>
          <w:tcPr>
            <w:tcW w:w="1500" w:type="dxa"/>
            <w:tcBorders>
              <w:left w:val="nil"/>
            </w:tcBorders>
            <w:vAlign w:val="center"/>
          </w:tcPr>
          <w:p w14:paraId="105FB86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198.179</w:t>
            </w:r>
          </w:p>
        </w:tc>
        <w:tc>
          <w:tcPr>
            <w:tcW w:w="1501" w:type="dxa"/>
            <w:vAlign w:val="center"/>
          </w:tcPr>
          <w:p w14:paraId="4331F62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168.924</w:t>
            </w:r>
          </w:p>
        </w:tc>
        <w:tc>
          <w:tcPr>
            <w:tcW w:w="1500" w:type="dxa"/>
            <w:vAlign w:val="center"/>
          </w:tcPr>
          <w:p w14:paraId="6EBDDD0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123.184</w:t>
            </w:r>
          </w:p>
        </w:tc>
        <w:tc>
          <w:tcPr>
            <w:tcW w:w="1501" w:type="dxa"/>
            <w:vAlign w:val="center"/>
          </w:tcPr>
          <w:p w14:paraId="04D48C91"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25.448</w:t>
            </w:r>
          </w:p>
        </w:tc>
        <w:tc>
          <w:tcPr>
            <w:tcW w:w="1501" w:type="dxa"/>
            <w:vAlign w:val="center"/>
          </w:tcPr>
          <w:p w14:paraId="69214D72"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517.754</w:t>
            </w:r>
          </w:p>
        </w:tc>
      </w:tr>
      <w:tr w:rsidR="00925007" w14:paraId="236EE9A7" w14:textId="77777777" w:rsidTr="0029437B">
        <w:tc>
          <w:tcPr>
            <w:tcW w:w="1622" w:type="dxa"/>
          </w:tcPr>
          <w:p w14:paraId="7EE9C3AE"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Spr_Synd</w:t>
            </w:r>
          </w:p>
        </w:tc>
        <w:tc>
          <w:tcPr>
            <w:tcW w:w="1832" w:type="dxa"/>
          </w:tcPr>
          <w:p w14:paraId="6904EF48"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7D5C8DC5"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62B7BEFE"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1500" w:type="dxa"/>
            <w:tcBorders>
              <w:left w:val="nil"/>
            </w:tcBorders>
            <w:vAlign w:val="center"/>
          </w:tcPr>
          <w:p w14:paraId="3E26FD0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1.612</w:t>
            </w:r>
          </w:p>
        </w:tc>
        <w:tc>
          <w:tcPr>
            <w:tcW w:w="1501" w:type="dxa"/>
            <w:vAlign w:val="center"/>
          </w:tcPr>
          <w:p w14:paraId="78C4C3F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1.507</w:t>
            </w:r>
          </w:p>
        </w:tc>
        <w:tc>
          <w:tcPr>
            <w:tcW w:w="1500" w:type="dxa"/>
            <w:vAlign w:val="center"/>
          </w:tcPr>
          <w:p w14:paraId="2F9EA1D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0.616</w:t>
            </w:r>
          </w:p>
        </w:tc>
        <w:tc>
          <w:tcPr>
            <w:tcW w:w="1501" w:type="dxa"/>
            <w:vAlign w:val="center"/>
          </w:tcPr>
          <w:p w14:paraId="73B3771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0.774</w:t>
            </w:r>
          </w:p>
        </w:tc>
        <w:tc>
          <w:tcPr>
            <w:tcW w:w="1501" w:type="dxa"/>
            <w:vAlign w:val="center"/>
          </w:tcPr>
          <w:p w14:paraId="46ED94B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3.740</w:t>
            </w:r>
          </w:p>
        </w:tc>
      </w:tr>
      <w:tr w:rsidR="00925007" w14:paraId="0528B926" w14:textId="77777777" w:rsidTr="0029437B">
        <w:tc>
          <w:tcPr>
            <w:tcW w:w="1622" w:type="dxa"/>
          </w:tcPr>
          <w:p w14:paraId="710675D8"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LoanSize</w:t>
            </w:r>
            <w:r>
              <w:rPr>
                <w:rFonts w:ascii="Times New Roman" w:hAnsi="Times New Roman" w:cs="Times New Roman"/>
                <w:i/>
                <w:sz w:val="20"/>
                <w:szCs w:val="20"/>
              </w:rPr>
              <w:t>_Synd</w:t>
            </w:r>
          </w:p>
        </w:tc>
        <w:tc>
          <w:tcPr>
            <w:tcW w:w="1832" w:type="dxa"/>
          </w:tcPr>
          <w:p w14:paraId="1FE3D8EE"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0305E6E0"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1476CCA2"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Millions</w:t>
            </w:r>
          </w:p>
        </w:tc>
        <w:tc>
          <w:tcPr>
            <w:tcW w:w="1500" w:type="dxa"/>
            <w:tcBorders>
              <w:left w:val="nil"/>
            </w:tcBorders>
            <w:vAlign w:val="center"/>
          </w:tcPr>
          <w:p w14:paraId="2C95319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206.685</w:t>
            </w:r>
          </w:p>
        </w:tc>
        <w:tc>
          <w:tcPr>
            <w:tcW w:w="1501" w:type="dxa"/>
            <w:vAlign w:val="center"/>
          </w:tcPr>
          <w:p w14:paraId="729CCE1D"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199.464</w:t>
            </w:r>
          </w:p>
        </w:tc>
        <w:tc>
          <w:tcPr>
            <w:tcW w:w="1500" w:type="dxa"/>
            <w:vAlign w:val="center"/>
          </w:tcPr>
          <w:p w14:paraId="049C215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58.695</w:t>
            </w:r>
          </w:p>
        </w:tc>
        <w:tc>
          <w:tcPr>
            <w:tcW w:w="1501" w:type="dxa"/>
            <w:vAlign w:val="center"/>
          </w:tcPr>
          <w:p w14:paraId="74B7517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116.593</w:t>
            </w:r>
          </w:p>
        </w:tc>
        <w:tc>
          <w:tcPr>
            <w:tcW w:w="1501" w:type="dxa"/>
            <w:vAlign w:val="center"/>
          </w:tcPr>
          <w:p w14:paraId="37BDBDD7"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357.316</w:t>
            </w:r>
          </w:p>
        </w:tc>
      </w:tr>
      <w:tr w:rsidR="00925007" w14:paraId="74AB55F2" w14:textId="77777777" w:rsidTr="0029437B">
        <w:tc>
          <w:tcPr>
            <w:tcW w:w="1622" w:type="dxa"/>
          </w:tcPr>
          <w:p w14:paraId="0653AAB2" w14:textId="77777777" w:rsidR="00925007"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i/>
                <w:sz w:val="20"/>
                <w:szCs w:val="20"/>
              </w:rPr>
              <w:t>Maturity</w:t>
            </w:r>
            <w:r>
              <w:rPr>
                <w:rFonts w:ascii="Times New Roman" w:hAnsi="Times New Roman" w:cs="Times New Roman" w:hint="eastAsia"/>
                <w:i/>
                <w:sz w:val="20"/>
                <w:szCs w:val="20"/>
              </w:rPr>
              <w:t>_</w:t>
            </w:r>
            <w:r>
              <w:rPr>
                <w:rFonts w:ascii="Times New Roman" w:hAnsi="Times New Roman" w:cs="Times New Roman"/>
                <w:i/>
                <w:sz w:val="20"/>
                <w:szCs w:val="20"/>
              </w:rPr>
              <w:t>Synd</w:t>
            </w:r>
          </w:p>
        </w:tc>
        <w:tc>
          <w:tcPr>
            <w:tcW w:w="1832" w:type="dxa"/>
          </w:tcPr>
          <w:p w14:paraId="52C81181"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60546D75"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right w:val="nil"/>
            </w:tcBorders>
          </w:tcPr>
          <w:p w14:paraId="21F81B6A"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Months</w:t>
            </w:r>
          </w:p>
        </w:tc>
        <w:tc>
          <w:tcPr>
            <w:tcW w:w="1500" w:type="dxa"/>
            <w:tcBorders>
              <w:left w:val="nil"/>
            </w:tcBorders>
            <w:vAlign w:val="center"/>
          </w:tcPr>
          <w:p w14:paraId="4640794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51.326</w:t>
            </w:r>
          </w:p>
        </w:tc>
        <w:tc>
          <w:tcPr>
            <w:tcW w:w="1501" w:type="dxa"/>
            <w:vAlign w:val="center"/>
          </w:tcPr>
          <w:p w14:paraId="3279E62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52.917</w:t>
            </w:r>
          </w:p>
        </w:tc>
        <w:tc>
          <w:tcPr>
            <w:tcW w:w="1500" w:type="dxa"/>
            <w:vAlign w:val="center"/>
          </w:tcPr>
          <w:p w14:paraId="097FFB1B"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6.700</w:t>
            </w:r>
          </w:p>
        </w:tc>
        <w:tc>
          <w:tcPr>
            <w:tcW w:w="1501" w:type="dxa"/>
            <w:vAlign w:val="center"/>
          </w:tcPr>
          <w:p w14:paraId="0DD0FB7A"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29.847</w:t>
            </w:r>
          </w:p>
        </w:tc>
        <w:tc>
          <w:tcPr>
            <w:tcW w:w="1501" w:type="dxa"/>
            <w:vAlign w:val="center"/>
          </w:tcPr>
          <w:p w14:paraId="254C216F"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69.698</w:t>
            </w:r>
          </w:p>
        </w:tc>
      </w:tr>
      <w:tr w:rsidR="00925007" w14:paraId="44B51F1A" w14:textId="77777777" w:rsidTr="0029437B">
        <w:tc>
          <w:tcPr>
            <w:tcW w:w="1622" w:type="dxa"/>
          </w:tcPr>
          <w:p w14:paraId="6C0D0EB6" w14:textId="77777777" w:rsidR="00925007" w:rsidRPr="002040A3" w:rsidRDefault="00925007" w:rsidP="0029437B">
            <w:pPr>
              <w:spacing w:line="220" w:lineRule="exact"/>
              <w:jc w:val="both"/>
              <w:rPr>
                <w:rFonts w:ascii="Times New Roman" w:hAnsi="Times New Roman" w:cs="Times New Roman"/>
                <w:i/>
                <w:sz w:val="20"/>
                <w:szCs w:val="20"/>
              </w:rPr>
            </w:pPr>
            <w:r>
              <w:rPr>
                <w:rFonts w:ascii="Times New Roman" w:hAnsi="Times New Roman" w:cs="Times New Roman" w:hint="eastAsia"/>
                <w:i/>
                <w:sz w:val="20"/>
                <w:szCs w:val="20"/>
              </w:rPr>
              <w:t>Secured_Synd</w:t>
            </w:r>
          </w:p>
        </w:tc>
        <w:tc>
          <w:tcPr>
            <w:tcW w:w="1832" w:type="dxa"/>
          </w:tcPr>
          <w:p w14:paraId="4BFA483D" w14:textId="77777777" w:rsidR="00925007" w:rsidRPr="000E0D8C" w:rsidRDefault="00925007" w:rsidP="0029437B">
            <w:pPr>
              <w:spacing w:line="220" w:lineRule="exact"/>
              <w:jc w:val="center"/>
              <w:rPr>
                <w:rFonts w:ascii="Times New Roman" w:hAnsi="Times New Roman" w:cs="Times New Roman"/>
                <w:sz w:val="20"/>
                <w:szCs w:val="20"/>
              </w:rPr>
            </w:pPr>
            <w:r w:rsidRPr="000E0D8C">
              <w:rPr>
                <w:rFonts w:ascii="Times New Roman" w:hAnsi="Times New Roman" w:cs="Times New Roman" w:hint="eastAsia"/>
                <w:sz w:val="20"/>
                <w:szCs w:val="20"/>
              </w:rPr>
              <w:t>1990:1-2015:4</w:t>
            </w:r>
          </w:p>
        </w:tc>
        <w:tc>
          <w:tcPr>
            <w:tcW w:w="1497" w:type="dxa"/>
          </w:tcPr>
          <w:p w14:paraId="5BB22A32"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104</w:t>
            </w:r>
          </w:p>
        </w:tc>
        <w:tc>
          <w:tcPr>
            <w:tcW w:w="1504" w:type="dxa"/>
            <w:tcBorders>
              <w:bottom w:val="single" w:sz="4" w:space="0" w:color="auto"/>
              <w:right w:val="nil"/>
            </w:tcBorders>
          </w:tcPr>
          <w:p w14:paraId="5D09986E" w14:textId="77777777" w:rsidR="00925007" w:rsidRPr="000E0D8C" w:rsidRDefault="00925007" w:rsidP="0029437B">
            <w:pPr>
              <w:spacing w:line="220" w:lineRule="exact"/>
              <w:jc w:val="right"/>
              <w:rPr>
                <w:rFonts w:ascii="Times New Roman" w:hAnsi="Times New Roman" w:cs="Times New Roman"/>
                <w:sz w:val="20"/>
                <w:szCs w:val="20"/>
              </w:rPr>
            </w:pPr>
            <w:r>
              <w:rPr>
                <w:rFonts w:ascii="Times New Roman" w:hAnsi="Times New Roman" w:cs="Times New Roman" w:hint="eastAsia"/>
                <w:sz w:val="20"/>
                <w:szCs w:val="20"/>
              </w:rPr>
              <w:t>%</w:t>
            </w:r>
          </w:p>
        </w:tc>
        <w:tc>
          <w:tcPr>
            <w:tcW w:w="1500" w:type="dxa"/>
            <w:tcBorders>
              <w:left w:val="nil"/>
            </w:tcBorders>
            <w:vAlign w:val="center"/>
          </w:tcPr>
          <w:p w14:paraId="54298CC0"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30.067</w:t>
            </w:r>
          </w:p>
        </w:tc>
        <w:tc>
          <w:tcPr>
            <w:tcW w:w="1501" w:type="dxa"/>
            <w:vAlign w:val="center"/>
          </w:tcPr>
          <w:p w14:paraId="590984F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29.628</w:t>
            </w:r>
          </w:p>
        </w:tc>
        <w:tc>
          <w:tcPr>
            <w:tcW w:w="1500" w:type="dxa"/>
            <w:vAlign w:val="center"/>
          </w:tcPr>
          <w:p w14:paraId="5D3E715C"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8.140</w:t>
            </w:r>
          </w:p>
        </w:tc>
        <w:tc>
          <w:tcPr>
            <w:tcW w:w="1501" w:type="dxa"/>
            <w:vAlign w:val="center"/>
          </w:tcPr>
          <w:p w14:paraId="3F8FC5C4"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12.072</w:t>
            </w:r>
          </w:p>
        </w:tc>
        <w:tc>
          <w:tcPr>
            <w:tcW w:w="1501" w:type="dxa"/>
            <w:vAlign w:val="center"/>
          </w:tcPr>
          <w:p w14:paraId="09A2C6E6" w14:textId="77777777" w:rsidR="00925007" w:rsidRDefault="00925007" w:rsidP="0029437B">
            <w:pPr>
              <w:spacing w:line="220" w:lineRule="exact"/>
              <w:jc w:val="right"/>
              <w:rPr>
                <w:rFonts w:ascii="Times New Roman" w:hAnsi="Times New Roman" w:cs="Times New Roman"/>
                <w:color w:val="000000"/>
                <w:sz w:val="20"/>
                <w:szCs w:val="20"/>
              </w:rPr>
            </w:pPr>
            <w:r>
              <w:rPr>
                <w:rFonts w:ascii="Times New Roman" w:hAnsi="Times New Roman" w:cs="Times New Roman"/>
                <w:color w:val="000000"/>
                <w:sz w:val="20"/>
                <w:szCs w:val="20"/>
              </w:rPr>
              <w:t>55.524</w:t>
            </w:r>
          </w:p>
        </w:tc>
      </w:tr>
    </w:tbl>
    <w:p w14:paraId="7376EF1A" w14:textId="77777777" w:rsidR="00925007" w:rsidRPr="00FF4169" w:rsidRDefault="00925007" w:rsidP="00925007">
      <w:pPr>
        <w:spacing w:after="0" w:line="240" w:lineRule="auto"/>
        <w:rPr>
          <w:rFonts w:ascii="Times New Roman" w:hAnsi="Times New Roman" w:cs="Times New Roman"/>
          <w:sz w:val="20"/>
          <w:szCs w:val="20"/>
        </w:rPr>
        <w:sectPr w:rsidR="00925007" w:rsidRPr="00FF4169" w:rsidSect="00D44D93">
          <w:pgSz w:w="16838" w:h="11906" w:orient="landscape"/>
          <w:pgMar w:top="1797" w:right="1440" w:bottom="1797" w:left="1440" w:header="851" w:footer="992" w:gutter="0"/>
          <w:cols w:space="425"/>
          <w:docGrid w:linePitch="360"/>
        </w:sectPr>
      </w:pPr>
      <w:r w:rsidRPr="00F2701A">
        <w:rPr>
          <w:rFonts w:ascii="Times New Roman" w:hAnsi="Times New Roman" w:cs="Times New Roman"/>
          <w:iCs/>
          <w:color w:val="000000"/>
          <w:sz w:val="20"/>
          <w:szCs w:val="20"/>
        </w:rPr>
        <w:t>NOTES:</w:t>
      </w:r>
      <w:r w:rsidRPr="00FF4169">
        <w:rPr>
          <w:rFonts w:ascii="Times New Roman" w:hAnsi="Times New Roman" w:cs="Times New Roman"/>
          <w:sz w:val="20"/>
          <w:szCs w:val="20"/>
        </w:rPr>
        <w:t xml:space="preserve"> The actual quarter covered in the survey is used to express the sample period for SLOOS data instead of using the release survey quarter. </w:t>
      </w:r>
      <w:r>
        <w:rPr>
          <w:rFonts w:ascii="Times New Roman" w:hAnsi="Times New Roman" w:cs="Times New Roman"/>
          <w:sz w:val="20"/>
          <w:szCs w:val="20"/>
        </w:rPr>
        <w:t>V</w:t>
      </w:r>
      <w:r w:rsidRPr="00FF4169">
        <w:rPr>
          <w:rFonts w:ascii="Times New Roman" w:hAnsi="Times New Roman" w:cs="Times New Roman"/>
          <w:sz w:val="20"/>
          <w:szCs w:val="20"/>
        </w:rPr>
        <w:t>ariable definitions are provided in Table A</w:t>
      </w:r>
      <w:r>
        <w:rPr>
          <w:rFonts w:ascii="Times New Roman" w:hAnsi="Times New Roman" w:cs="Times New Roman"/>
          <w:sz w:val="20"/>
          <w:szCs w:val="20"/>
        </w:rPr>
        <w:t>2</w:t>
      </w:r>
      <w:r w:rsidRPr="00FF4169">
        <w:rPr>
          <w:rFonts w:ascii="Times New Roman" w:hAnsi="Times New Roman" w:cs="Times New Roman"/>
          <w:sz w:val="20"/>
          <w:szCs w:val="20"/>
        </w:rPr>
        <w:t xml:space="preserve">. </w:t>
      </w:r>
    </w:p>
    <w:p w14:paraId="34BF9D4D" w14:textId="77777777" w:rsidR="00925007" w:rsidRPr="00FF4169" w:rsidRDefault="00925007" w:rsidP="00925007">
      <w:pPr>
        <w:spacing w:after="0"/>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hint="eastAsia"/>
          <w:sz w:val="24"/>
          <w:szCs w:val="24"/>
        </w:rPr>
        <w:t xml:space="preserve"> </w:t>
      </w:r>
      <w:r w:rsidRPr="00FF4169">
        <w:rPr>
          <w:rFonts w:ascii="Times New Roman" w:hAnsi="Times New Roman" w:cs="Times New Roman"/>
          <w:sz w:val="24"/>
          <w:szCs w:val="24"/>
        </w:rPr>
        <w:t>2</w:t>
      </w:r>
    </w:p>
    <w:p w14:paraId="36025955" w14:textId="41A989F2" w:rsidR="00925007" w:rsidRDefault="009526EC" w:rsidP="00925007">
      <w:pPr>
        <w:spacing w:after="0"/>
        <w:rPr>
          <w:rFonts w:ascii="Times New Roman" w:hAnsi="Times New Roman" w:cs="Times New Roman"/>
          <w:sz w:val="24"/>
          <w:szCs w:val="24"/>
        </w:rPr>
      </w:pPr>
      <w:r w:rsidRPr="00FF4169">
        <w:rPr>
          <w:rFonts w:ascii="Times New Roman" w:hAnsi="Times New Roman" w:cs="Times New Roman"/>
          <w:sz w:val="24"/>
          <w:szCs w:val="24"/>
        </w:rPr>
        <w:t>CORRELATION MATRIX</w:t>
      </w:r>
    </w:p>
    <w:tbl>
      <w:tblPr>
        <w:tblStyle w:val="af4"/>
        <w:tblW w:w="13852" w:type="dxa"/>
        <w:tblInd w:w="40" w:type="dxa"/>
        <w:tblBorders>
          <w:left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327"/>
        <w:gridCol w:w="1017"/>
        <w:gridCol w:w="1018"/>
        <w:gridCol w:w="993"/>
        <w:gridCol w:w="1275"/>
        <w:gridCol w:w="1247"/>
        <w:gridCol w:w="964"/>
        <w:gridCol w:w="964"/>
        <w:gridCol w:w="964"/>
        <w:gridCol w:w="964"/>
        <w:gridCol w:w="1134"/>
        <w:gridCol w:w="992"/>
        <w:gridCol w:w="993"/>
      </w:tblGrid>
      <w:tr w:rsidR="00925007" w14:paraId="6E523A05" w14:textId="77777777" w:rsidTr="0029437B">
        <w:tc>
          <w:tcPr>
            <w:tcW w:w="1327" w:type="dxa"/>
            <w:tcBorders>
              <w:top w:val="single" w:sz="4" w:space="0" w:color="auto"/>
              <w:bottom w:val="single" w:sz="4" w:space="0" w:color="auto"/>
            </w:tcBorders>
          </w:tcPr>
          <w:p w14:paraId="1329DADD" w14:textId="77777777" w:rsidR="00925007" w:rsidRPr="00EC3978" w:rsidRDefault="00925007" w:rsidP="0029437B">
            <w:pPr>
              <w:spacing w:line="280" w:lineRule="exact"/>
              <w:rPr>
                <w:rFonts w:ascii="Times New Roman" w:hAnsi="Times New Roman" w:cs="Times New Roman"/>
                <w:sz w:val="20"/>
                <w:szCs w:val="20"/>
              </w:rPr>
            </w:pPr>
          </w:p>
        </w:tc>
        <w:tc>
          <w:tcPr>
            <w:tcW w:w="1017" w:type="dxa"/>
            <w:tcBorders>
              <w:top w:val="single" w:sz="4" w:space="0" w:color="auto"/>
              <w:bottom w:val="single" w:sz="4" w:space="0" w:color="auto"/>
              <w:right w:val="nil"/>
            </w:tcBorders>
            <w:vAlign w:val="center"/>
          </w:tcPr>
          <w:p w14:paraId="47BE009D" w14:textId="77777777" w:rsidR="00925007" w:rsidRPr="00EC3978" w:rsidRDefault="00925007" w:rsidP="0029437B">
            <w:pPr>
              <w:spacing w:line="280" w:lineRule="exact"/>
              <w:jc w:val="center"/>
              <w:rPr>
                <w:rFonts w:ascii="Times New Roman" w:hAnsi="Times New Roman" w:cs="Times New Roman"/>
                <w:i/>
                <w:sz w:val="20"/>
                <w:szCs w:val="20"/>
              </w:rPr>
            </w:pPr>
            <w:r>
              <w:rPr>
                <w:rFonts w:ascii="Times New Roman" w:hAnsi="Times New Roman" w:cs="Times New Roman" w:hint="eastAsia"/>
                <w:i/>
                <w:sz w:val="20"/>
                <w:szCs w:val="20"/>
              </w:rPr>
              <w:t>Synd_Loan</w:t>
            </w:r>
          </w:p>
        </w:tc>
        <w:tc>
          <w:tcPr>
            <w:tcW w:w="1018" w:type="dxa"/>
            <w:tcBorders>
              <w:top w:val="single" w:sz="4" w:space="0" w:color="auto"/>
              <w:left w:val="nil"/>
              <w:bottom w:val="single" w:sz="4" w:space="0" w:color="auto"/>
              <w:right w:val="nil"/>
            </w:tcBorders>
            <w:vAlign w:val="center"/>
          </w:tcPr>
          <w:p w14:paraId="5F2A66F1" w14:textId="77777777" w:rsidR="00925007" w:rsidRPr="00EC3978" w:rsidRDefault="00925007" w:rsidP="0029437B">
            <w:pPr>
              <w:spacing w:line="280" w:lineRule="exact"/>
              <w:jc w:val="center"/>
              <w:rPr>
                <w:rFonts w:ascii="Times New Roman" w:hAnsi="Times New Roman" w:cs="Times New Roman"/>
                <w:i/>
                <w:sz w:val="20"/>
                <w:szCs w:val="20"/>
              </w:rPr>
            </w:pPr>
            <w:r>
              <w:rPr>
                <w:rFonts w:ascii="Times New Roman" w:hAnsi="Times New Roman" w:cs="Times New Roman" w:hint="eastAsia"/>
                <w:i/>
                <w:iCs/>
                <w:color w:val="000000"/>
                <w:sz w:val="20"/>
                <w:szCs w:val="20"/>
              </w:rPr>
              <w:t>Spr_Synd</w:t>
            </w:r>
          </w:p>
        </w:tc>
        <w:tc>
          <w:tcPr>
            <w:tcW w:w="993" w:type="dxa"/>
            <w:tcBorders>
              <w:top w:val="single" w:sz="4" w:space="0" w:color="auto"/>
              <w:left w:val="nil"/>
              <w:bottom w:val="single" w:sz="4" w:space="0" w:color="auto"/>
              <w:right w:val="nil"/>
            </w:tcBorders>
            <w:vAlign w:val="center"/>
          </w:tcPr>
          <w:p w14:paraId="78BC1891" w14:textId="77777777" w:rsidR="00925007" w:rsidRPr="00EC3978" w:rsidRDefault="00925007" w:rsidP="0029437B">
            <w:pPr>
              <w:spacing w:line="280" w:lineRule="exact"/>
              <w:jc w:val="center"/>
              <w:rPr>
                <w:rFonts w:ascii="Times New Roman" w:hAnsi="Times New Roman" w:cs="Times New Roman"/>
                <w:i/>
                <w:sz w:val="20"/>
                <w:szCs w:val="20"/>
              </w:rPr>
            </w:pPr>
            <w:r>
              <w:rPr>
                <w:rFonts w:ascii="Times New Roman" w:hAnsi="Times New Roman" w:cs="Times New Roman" w:hint="eastAsia"/>
                <w:i/>
                <w:sz w:val="20"/>
                <w:szCs w:val="20"/>
              </w:rPr>
              <w:t>S</w:t>
            </w:r>
            <w:r>
              <w:rPr>
                <w:rFonts w:ascii="Times New Roman" w:hAnsi="Times New Roman" w:cs="Times New Roman"/>
                <w:i/>
                <w:sz w:val="20"/>
                <w:szCs w:val="20"/>
              </w:rPr>
              <w:t>pr_LM</w:t>
            </w:r>
          </w:p>
        </w:tc>
        <w:tc>
          <w:tcPr>
            <w:tcW w:w="1275" w:type="dxa"/>
            <w:tcBorders>
              <w:top w:val="single" w:sz="4" w:space="0" w:color="auto"/>
              <w:left w:val="nil"/>
              <w:bottom w:val="single" w:sz="4" w:space="0" w:color="auto"/>
              <w:right w:val="nil"/>
            </w:tcBorders>
            <w:vAlign w:val="center"/>
          </w:tcPr>
          <w:p w14:paraId="63077DE4" w14:textId="77777777" w:rsidR="00925007" w:rsidRPr="00EC3978" w:rsidRDefault="00925007" w:rsidP="0029437B">
            <w:pPr>
              <w:spacing w:line="280" w:lineRule="exact"/>
              <w:jc w:val="center"/>
              <w:rPr>
                <w:rFonts w:ascii="Times New Roman" w:hAnsi="Times New Roman" w:cs="Times New Roman"/>
                <w:i/>
                <w:sz w:val="20"/>
                <w:szCs w:val="20"/>
              </w:rPr>
            </w:pPr>
            <w:r>
              <w:rPr>
                <w:rFonts w:ascii="Times New Roman" w:hAnsi="Times New Roman" w:cs="Times New Roman" w:hint="eastAsia"/>
                <w:i/>
                <w:sz w:val="20"/>
                <w:szCs w:val="20"/>
              </w:rPr>
              <w:t>St</w:t>
            </w:r>
            <w:r>
              <w:rPr>
                <w:rFonts w:ascii="Times New Roman" w:hAnsi="Times New Roman" w:cs="Times New Roman"/>
                <w:i/>
                <w:sz w:val="20"/>
                <w:szCs w:val="20"/>
              </w:rPr>
              <w:t>a</w:t>
            </w:r>
            <w:r>
              <w:rPr>
                <w:rFonts w:ascii="Times New Roman" w:hAnsi="Times New Roman" w:cs="Times New Roman" w:hint="eastAsia"/>
                <w:i/>
                <w:sz w:val="20"/>
                <w:szCs w:val="20"/>
              </w:rPr>
              <w:t>ndard_LM</w:t>
            </w:r>
          </w:p>
        </w:tc>
        <w:tc>
          <w:tcPr>
            <w:tcW w:w="1247" w:type="dxa"/>
            <w:tcBorders>
              <w:top w:val="single" w:sz="4" w:space="0" w:color="auto"/>
              <w:left w:val="nil"/>
              <w:bottom w:val="single" w:sz="4" w:space="0" w:color="auto"/>
              <w:right w:val="nil"/>
            </w:tcBorders>
            <w:vAlign w:val="center"/>
          </w:tcPr>
          <w:p w14:paraId="3175808D" w14:textId="77777777" w:rsidR="00925007" w:rsidRPr="00EC3978" w:rsidRDefault="00925007" w:rsidP="0029437B">
            <w:pPr>
              <w:spacing w:line="280" w:lineRule="exact"/>
              <w:jc w:val="center"/>
              <w:rPr>
                <w:rFonts w:ascii="Times New Roman" w:hAnsi="Times New Roman" w:cs="Times New Roman"/>
                <w:i/>
                <w:sz w:val="20"/>
                <w:szCs w:val="20"/>
              </w:rPr>
            </w:pPr>
            <w:r>
              <w:rPr>
                <w:rFonts w:ascii="Times New Roman" w:hAnsi="Times New Roman" w:cs="Times New Roman" w:hint="eastAsia"/>
                <w:i/>
                <w:sz w:val="20"/>
                <w:szCs w:val="20"/>
              </w:rPr>
              <w:t>Demand_LM</w:t>
            </w:r>
          </w:p>
        </w:tc>
        <w:tc>
          <w:tcPr>
            <w:tcW w:w="964" w:type="dxa"/>
            <w:tcBorders>
              <w:top w:val="single" w:sz="4" w:space="0" w:color="auto"/>
              <w:left w:val="nil"/>
              <w:bottom w:val="single" w:sz="4" w:space="0" w:color="auto"/>
              <w:right w:val="nil"/>
            </w:tcBorders>
            <w:vAlign w:val="center"/>
          </w:tcPr>
          <w:p w14:paraId="03D16A35"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i/>
                <w:sz w:val="20"/>
                <w:szCs w:val="20"/>
              </w:rPr>
              <w:t>log</w:t>
            </w:r>
            <w:r w:rsidRPr="00EC3978">
              <w:rPr>
                <w:rFonts w:ascii="Times New Roman" w:hAnsi="Times New Roman" w:cs="Times New Roman" w:hint="eastAsia"/>
                <w:i/>
                <w:sz w:val="20"/>
                <w:szCs w:val="20"/>
              </w:rPr>
              <w:t>VRP</w:t>
            </w:r>
          </w:p>
        </w:tc>
        <w:tc>
          <w:tcPr>
            <w:tcW w:w="964" w:type="dxa"/>
            <w:tcBorders>
              <w:top w:val="single" w:sz="4" w:space="0" w:color="auto"/>
              <w:left w:val="nil"/>
              <w:bottom w:val="single" w:sz="4" w:space="0" w:color="auto"/>
              <w:right w:val="nil"/>
            </w:tcBorders>
            <w:vAlign w:val="center"/>
          </w:tcPr>
          <w:p w14:paraId="13E42396"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FF_</w:t>
            </w:r>
            <w:r w:rsidRPr="00EC3978">
              <w:rPr>
                <w:rFonts w:ascii="Times New Roman" w:hAnsi="Times New Roman" w:cs="Times New Roman"/>
                <w:i/>
                <w:sz w:val="20"/>
                <w:szCs w:val="20"/>
              </w:rPr>
              <w:t>R</w:t>
            </w:r>
            <w:r w:rsidRPr="00EC3978">
              <w:rPr>
                <w:rFonts w:ascii="Times New Roman" w:hAnsi="Times New Roman" w:cs="Times New Roman" w:hint="eastAsia"/>
                <w:i/>
                <w:sz w:val="20"/>
                <w:szCs w:val="20"/>
              </w:rPr>
              <w:t>ate</w:t>
            </w:r>
          </w:p>
        </w:tc>
        <w:tc>
          <w:tcPr>
            <w:tcW w:w="964" w:type="dxa"/>
            <w:tcBorders>
              <w:top w:val="single" w:sz="4" w:space="0" w:color="auto"/>
              <w:left w:val="nil"/>
              <w:bottom w:val="single" w:sz="4" w:space="0" w:color="auto"/>
              <w:right w:val="nil"/>
            </w:tcBorders>
            <w:vAlign w:val="center"/>
          </w:tcPr>
          <w:p w14:paraId="3235EB0A"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i/>
                <w:sz w:val="20"/>
                <w:szCs w:val="20"/>
              </w:rPr>
              <w:t>GDP</w:t>
            </w:r>
          </w:p>
        </w:tc>
        <w:tc>
          <w:tcPr>
            <w:tcW w:w="964" w:type="dxa"/>
            <w:tcBorders>
              <w:top w:val="single" w:sz="4" w:space="0" w:color="auto"/>
              <w:left w:val="nil"/>
              <w:bottom w:val="single" w:sz="4" w:space="0" w:color="auto"/>
              <w:right w:val="nil"/>
            </w:tcBorders>
            <w:vAlign w:val="center"/>
          </w:tcPr>
          <w:p w14:paraId="5986A54A"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CPI</w:t>
            </w:r>
          </w:p>
        </w:tc>
        <w:tc>
          <w:tcPr>
            <w:tcW w:w="1134" w:type="dxa"/>
            <w:tcBorders>
              <w:top w:val="single" w:sz="4" w:space="0" w:color="auto"/>
              <w:left w:val="nil"/>
              <w:bottom w:val="single" w:sz="4" w:space="0" w:color="auto"/>
              <w:right w:val="nil"/>
            </w:tcBorders>
            <w:vAlign w:val="center"/>
          </w:tcPr>
          <w:p w14:paraId="1D7FECBD"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Credit_Spr</w:t>
            </w:r>
          </w:p>
        </w:tc>
        <w:tc>
          <w:tcPr>
            <w:tcW w:w="992" w:type="dxa"/>
            <w:tcBorders>
              <w:top w:val="single" w:sz="4" w:space="0" w:color="auto"/>
              <w:left w:val="nil"/>
              <w:bottom w:val="single" w:sz="4" w:space="0" w:color="auto"/>
              <w:right w:val="nil"/>
            </w:tcBorders>
            <w:vAlign w:val="center"/>
          </w:tcPr>
          <w:p w14:paraId="4FA9D4DE"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Term_Spr</w:t>
            </w:r>
          </w:p>
        </w:tc>
        <w:tc>
          <w:tcPr>
            <w:tcW w:w="993" w:type="dxa"/>
            <w:tcBorders>
              <w:top w:val="single" w:sz="4" w:space="0" w:color="auto"/>
              <w:left w:val="nil"/>
              <w:bottom w:val="single" w:sz="4" w:space="0" w:color="auto"/>
              <w:right w:val="nil"/>
            </w:tcBorders>
            <w:vAlign w:val="center"/>
          </w:tcPr>
          <w:p w14:paraId="41582A0E"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CS</w:t>
            </w:r>
            <w:r>
              <w:rPr>
                <w:rFonts w:ascii="Times New Roman" w:hAnsi="Times New Roman" w:cs="Times New Roman"/>
                <w:i/>
                <w:sz w:val="20"/>
                <w:szCs w:val="20"/>
              </w:rPr>
              <w:t>I</w:t>
            </w:r>
          </w:p>
        </w:tc>
      </w:tr>
      <w:tr w:rsidR="00925007" w14:paraId="0DFA34AD" w14:textId="77777777" w:rsidTr="0029437B">
        <w:tc>
          <w:tcPr>
            <w:tcW w:w="13852" w:type="dxa"/>
            <w:gridSpan w:val="13"/>
            <w:tcBorders>
              <w:top w:val="single" w:sz="4" w:space="0" w:color="auto"/>
              <w:bottom w:val="nil"/>
              <w:right w:val="nil"/>
            </w:tcBorders>
            <w:vAlign w:val="center"/>
          </w:tcPr>
          <w:p w14:paraId="6388B0F9" w14:textId="06786A3A" w:rsidR="00925007" w:rsidRPr="00EC3978" w:rsidRDefault="0083761C" w:rsidP="0029437B">
            <w:pPr>
              <w:spacing w:line="280" w:lineRule="exact"/>
              <w:jc w:val="both"/>
              <w:rPr>
                <w:rFonts w:ascii="Times New Roman" w:hAnsi="Times New Roman" w:cs="Times New Roman"/>
                <w:i/>
                <w:sz w:val="20"/>
                <w:szCs w:val="20"/>
              </w:rPr>
            </w:pPr>
            <w:r>
              <w:rPr>
                <w:rFonts w:ascii="Times New Roman" w:hAnsi="Times New Roman" w:cs="Times New Roman" w:hint="eastAsia"/>
                <w:sz w:val="20"/>
                <w:szCs w:val="20"/>
              </w:rPr>
              <w:t>Panel A: C</w:t>
            </w:r>
            <w:r w:rsidR="00925007" w:rsidRPr="00EC3978">
              <w:rPr>
                <w:rFonts w:ascii="Times New Roman" w:hAnsi="Times New Roman" w:cs="Times New Roman" w:hint="eastAsia"/>
                <w:sz w:val="20"/>
                <w:szCs w:val="20"/>
              </w:rPr>
              <w:t xml:space="preserve">orrelations between </w:t>
            </w:r>
            <w:r w:rsidR="00925007" w:rsidRPr="00EC3978">
              <w:rPr>
                <w:rFonts w:ascii="Times New Roman" w:hAnsi="Times New Roman" w:cs="Times New Roman"/>
                <w:sz w:val="20"/>
                <w:szCs w:val="20"/>
              </w:rPr>
              <w:t>VRP, bank loans, and other macro variables</w:t>
            </w:r>
          </w:p>
        </w:tc>
      </w:tr>
      <w:tr w:rsidR="00925007" w14:paraId="5559EBF0" w14:textId="77777777" w:rsidTr="0029437B">
        <w:tc>
          <w:tcPr>
            <w:tcW w:w="1327" w:type="dxa"/>
            <w:tcBorders>
              <w:top w:val="nil"/>
              <w:bottom w:val="nil"/>
            </w:tcBorders>
            <w:vAlign w:val="center"/>
          </w:tcPr>
          <w:p w14:paraId="52C379C2" w14:textId="77777777" w:rsidR="00925007" w:rsidRPr="00EC3978" w:rsidRDefault="00925007" w:rsidP="0029437B">
            <w:pPr>
              <w:spacing w:line="280" w:lineRule="exact"/>
              <w:rPr>
                <w:rFonts w:ascii="Times New Roman" w:hAnsi="Times New Roman" w:cs="Times New Roman"/>
                <w:i/>
                <w:iCs/>
                <w:color w:val="000000"/>
                <w:sz w:val="20"/>
                <w:szCs w:val="20"/>
              </w:rPr>
            </w:pPr>
            <w:r w:rsidRPr="00EC3978">
              <w:rPr>
                <w:rFonts w:ascii="Times New Roman" w:hAnsi="Times New Roman" w:cs="Times New Roman"/>
                <w:i/>
                <w:iCs/>
                <w:color w:val="000000"/>
                <w:sz w:val="20"/>
                <w:szCs w:val="20"/>
              </w:rPr>
              <w:t>∆CI_Loan</w:t>
            </w:r>
          </w:p>
        </w:tc>
        <w:tc>
          <w:tcPr>
            <w:tcW w:w="1017" w:type="dxa"/>
            <w:tcBorders>
              <w:top w:val="nil"/>
              <w:bottom w:val="nil"/>
              <w:right w:val="nil"/>
            </w:tcBorders>
            <w:vAlign w:val="center"/>
          </w:tcPr>
          <w:p w14:paraId="3022E80F" w14:textId="77777777" w:rsidR="00925007" w:rsidRPr="006A5C9B" w:rsidRDefault="00925007" w:rsidP="0029437B">
            <w:pPr>
              <w:spacing w:line="280" w:lineRule="exact"/>
              <w:jc w:val="center"/>
              <w:rPr>
                <w:rFonts w:ascii="Times New Roman" w:hAnsi="Times New Roman" w:cs="Times New Roman"/>
                <w:color w:val="000000"/>
                <w:sz w:val="20"/>
                <w:szCs w:val="20"/>
              </w:rPr>
            </w:pPr>
            <w:r w:rsidRPr="006A5C9B">
              <w:rPr>
                <w:rFonts w:ascii="Times New Roman" w:hAnsi="Times New Roman" w:cs="Times New Roman"/>
                <w:color w:val="000000"/>
                <w:sz w:val="20"/>
                <w:szCs w:val="20"/>
              </w:rPr>
              <w:t>0.629</w:t>
            </w:r>
            <w:r w:rsidRPr="003868AB">
              <w:rPr>
                <w:rFonts w:ascii="Times New Roman" w:hAnsi="Times New Roman" w:cs="Times New Roman"/>
                <w:color w:val="000000"/>
                <w:sz w:val="20"/>
                <w:szCs w:val="20"/>
                <w:vertAlign w:val="superscript"/>
              </w:rPr>
              <w:t>***</w:t>
            </w:r>
          </w:p>
        </w:tc>
        <w:tc>
          <w:tcPr>
            <w:tcW w:w="1018" w:type="dxa"/>
            <w:tcBorders>
              <w:top w:val="nil"/>
              <w:left w:val="nil"/>
              <w:bottom w:val="nil"/>
              <w:right w:val="nil"/>
            </w:tcBorders>
            <w:vAlign w:val="center"/>
          </w:tcPr>
          <w:p w14:paraId="462D6675" w14:textId="77777777" w:rsidR="00925007" w:rsidRPr="006A5C9B" w:rsidRDefault="00925007" w:rsidP="0029437B">
            <w:pPr>
              <w:tabs>
                <w:tab w:val="decimal" w:pos="25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-0.427</w:t>
            </w:r>
            <w:r w:rsidRPr="003868AB">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56C07CA1" w14:textId="77777777" w:rsidR="00925007" w:rsidRPr="006A5C9B" w:rsidRDefault="00925007" w:rsidP="0029437B">
            <w:pPr>
              <w:tabs>
                <w:tab w:val="decimal" w:pos="28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-0.337</w:t>
            </w:r>
            <w:r w:rsidRPr="003868AB">
              <w:rPr>
                <w:rFonts w:ascii="Times New Roman" w:hAnsi="Times New Roman" w:cs="Times New Roman"/>
                <w:color w:val="000000"/>
                <w:sz w:val="20"/>
                <w:szCs w:val="20"/>
                <w:vertAlign w:val="superscript"/>
              </w:rPr>
              <w:t>***</w:t>
            </w:r>
          </w:p>
        </w:tc>
        <w:tc>
          <w:tcPr>
            <w:tcW w:w="1275" w:type="dxa"/>
            <w:tcBorders>
              <w:top w:val="nil"/>
              <w:left w:val="nil"/>
              <w:bottom w:val="nil"/>
              <w:right w:val="nil"/>
            </w:tcBorders>
            <w:vAlign w:val="center"/>
          </w:tcPr>
          <w:p w14:paraId="317A1C6F" w14:textId="77777777" w:rsidR="00925007" w:rsidRPr="006A5C9B" w:rsidRDefault="00925007" w:rsidP="0029437B">
            <w:pPr>
              <w:tabs>
                <w:tab w:val="decimal" w:pos="3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-0.137</w:t>
            </w:r>
          </w:p>
        </w:tc>
        <w:tc>
          <w:tcPr>
            <w:tcW w:w="1247" w:type="dxa"/>
            <w:tcBorders>
              <w:top w:val="nil"/>
              <w:left w:val="nil"/>
              <w:bottom w:val="nil"/>
              <w:right w:val="nil"/>
            </w:tcBorders>
            <w:vAlign w:val="center"/>
          </w:tcPr>
          <w:p w14:paraId="34A1900A"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0.411</w:t>
            </w:r>
            <w:r w:rsidRPr="003868AB">
              <w:rPr>
                <w:rFonts w:ascii="Times New Roman" w:hAnsi="Times New Roman" w:cs="Times New Roman"/>
                <w:color w:val="000000"/>
                <w:sz w:val="20"/>
                <w:szCs w:val="20"/>
                <w:vertAlign w:val="superscript"/>
              </w:rPr>
              <w:t>***</w:t>
            </w:r>
          </w:p>
        </w:tc>
        <w:tc>
          <w:tcPr>
            <w:tcW w:w="964" w:type="dxa"/>
            <w:tcBorders>
              <w:top w:val="nil"/>
              <w:left w:val="nil"/>
              <w:bottom w:val="nil"/>
              <w:right w:val="nil"/>
            </w:tcBorders>
            <w:vAlign w:val="center"/>
          </w:tcPr>
          <w:p w14:paraId="351F8E93" w14:textId="77777777" w:rsidR="00925007" w:rsidRDefault="00925007" w:rsidP="0029437B">
            <w:pPr>
              <w:tabs>
                <w:tab w:val="decimal" w:pos="20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-0.414</w:t>
            </w:r>
            <w:r w:rsidRPr="003868AB">
              <w:rPr>
                <w:rFonts w:ascii="Times New Roman" w:hAnsi="Times New Roman" w:cs="Times New Roman"/>
                <w:color w:val="000000"/>
                <w:sz w:val="20"/>
                <w:szCs w:val="20"/>
                <w:vertAlign w:val="superscript"/>
              </w:rPr>
              <w:t>***</w:t>
            </w:r>
          </w:p>
        </w:tc>
        <w:tc>
          <w:tcPr>
            <w:tcW w:w="964" w:type="dxa"/>
            <w:tcBorders>
              <w:top w:val="nil"/>
              <w:left w:val="nil"/>
              <w:bottom w:val="nil"/>
              <w:right w:val="nil"/>
            </w:tcBorders>
            <w:vAlign w:val="center"/>
          </w:tcPr>
          <w:p w14:paraId="16AD670F" w14:textId="77777777" w:rsidR="00925007" w:rsidRPr="006A5C9B"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0.089</w:t>
            </w:r>
          </w:p>
        </w:tc>
        <w:tc>
          <w:tcPr>
            <w:tcW w:w="964" w:type="dxa"/>
            <w:tcBorders>
              <w:top w:val="nil"/>
              <w:left w:val="nil"/>
              <w:bottom w:val="nil"/>
              <w:right w:val="nil"/>
            </w:tcBorders>
            <w:vAlign w:val="center"/>
          </w:tcPr>
          <w:p w14:paraId="15577322" w14:textId="77777777" w:rsidR="00925007" w:rsidRPr="006A5C9B"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0.059</w:t>
            </w:r>
          </w:p>
        </w:tc>
        <w:tc>
          <w:tcPr>
            <w:tcW w:w="964" w:type="dxa"/>
            <w:tcBorders>
              <w:top w:val="nil"/>
              <w:left w:val="nil"/>
              <w:bottom w:val="nil"/>
              <w:right w:val="nil"/>
            </w:tcBorders>
            <w:vAlign w:val="center"/>
          </w:tcPr>
          <w:p w14:paraId="56E89A2B"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-0.041</w:t>
            </w:r>
          </w:p>
        </w:tc>
        <w:tc>
          <w:tcPr>
            <w:tcW w:w="1134" w:type="dxa"/>
            <w:tcBorders>
              <w:top w:val="nil"/>
              <w:left w:val="nil"/>
              <w:bottom w:val="nil"/>
              <w:right w:val="nil"/>
            </w:tcBorders>
            <w:vAlign w:val="center"/>
          </w:tcPr>
          <w:p w14:paraId="346F5404"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0.366</w:t>
            </w:r>
            <w:r w:rsidRPr="003868AB">
              <w:rPr>
                <w:rFonts w:ascii="Times New Roman" w:hAnsi="Times New Roman" w:cs="Times New Roman"/>
                <w:color w:val="000000"/>
                <w:sz w:val="20"/>
                <w:szCs w:val="20"/>
                <w:vertAlign w:val="superscript"/>
              </w:rPr>
              <w:t>***</w:t>
            </w:r>
          </w:p>
        </w:tc>
        <w:tc>
          <w:tcPr>
            <w:tcW w:w="992" w:type="dxa"/>
            <w:tcBorders>
              <w:top w:val="nil"/>
              <w:left w:val="nil"/>
              <w:bottom w:val="nil"/>
              <w:right w:val="nil"/>
            </w:tcBorders>
            <w:vAlign w:val="center"/>
          </w:tcPr>
          <w:p w14:paraId="2DF6E29D"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-0.201</w:t>
            </w:r>
            <w:r>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73606D9C"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-0.102</w:t>
            </w:r>
          </w:p>
        </w:tc>
      </w:tr>
      <w:tr w:rsidR="00925007" w14:paraId="47A287C6" w14:textId="77777777" w:rsidTr="0029437B">
        <w:tc>
          <w:tcPr>
            <w:tcW w:w="1327" w:type="dxa"/>
            <w:tcBorders>
              <w:top w:val="nil"/>
            </w:tcBorders>
            <w:vAlign w:val="center"/>
          </w:tcPr>
          <w:p w14:paraId="75BD302C"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Synd_Loan</w:t>
            </w:r>
          </w:p>
        </w:tc>
        <w:tc>
          <w:tcPr>
            <w:tcW w:w="1017" w:type="dxa"/>
            <w:tcBorders>
              <w:top w:val="nil"/>
              <w:right w:val="nil"/>
            </w:tcBorders>
            <w:vAlign w:val="center"/>
          </w:tcPr>
          <w:p w14:paraId="75EE0DF4"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top w:val="nil"/>
              <w:left w:val="nil"/>
              <w:right w:val="nil"/>
            </w:tcBorders>
            <w:vAlign w:val="center"/>
          </w:tcPr>
          <w:p w14:paraId="489A4127" w14:textId="77777777" w:rsidR="00925007" w:rsidRPr="006A5C9B" w:rsidRDefault="00925007" w:rsidP="0029437B">
            <w:pPr>
              <w:tabs>
                <w:tab w:val="decimal" w:pos="25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0.052</w:t>
            </w:r>
          </w:p>
        </w:tc>
        <w:tc>
          <w:tcPr>
            <w:tcW w:w="993" w:type="dxa"/>
            <w:tcBorders>
              <w:top w:val="nil"/>
              <w:left w:val="nil"/>
              <w:right w:val="nil"/>
            </w:tcBorders>
            <w:vAlign w:val="center"/>
          </w:tcPr>
          <w:p w14:paraId="60C24437" w14:textId="77777777" w:rsidR="00925007" w:rsidRPr="006A5C9B" w:rsidRDefault="00925007" w:rsidP="0029437B">
            <w:pPr>
              <w:tabs>
                <w:tab w:val="decimal" w:pos="28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-0.522</w:t>
            </w:r>
            <w:r w:rsidRPr="003868AB">
              <w:rPr>
                <w:rFonts w:ascii="Times New Roman" w:hAnsi="Times New Roman" w:cs="Times New Roman"/>
                <w:color w:val="000000"/>
                <w:sz w:val="20"/>
                <w:szCs w:val="20"/>
                <w:vertAlign w:val="superscript"/>
              </w:rPr>
              <w:t>***</w:t>
            </w:r>
          </w:p>
        </w:tc>
        <w:tc>
          <w:tcPr>
            <w:tcW w:w="1275" w:type="dxa"/>
            <w:tcBorders>
              <w:top w:val="nil"/>
              <w:left w:val="nil"/>
              <w:right w:val="nil"/>
            </w:tcBorders>
            <w:vAlign w:val="center"/>
          </w:tcPr>
          <w:p w14:paraId="17BFE406" w14:textId="77777777" w:rsidR="00925007" w:rsidRPr="006A5C9B" w:rsidRDefault="00925007" w:rsidP="0029437B">
            <w:pPr>
              <w:tabs>
                <w:tab w:val="decimal" w:pos="3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-0.366</w:t>
            </w:r>
            <w:r w:rsidRPr="003868AB">
              <w:rPr>
                <w:rFonts w:ascii="Times New Roman" w:hAnsi="Times New Roman" w:cs="Times New Roman"/>
                <w:color w:val="000000"/>
                <w:sz w:val="20"/>
                <w:szCs w:val="20"/>
                <w:vertAlign w:val="superscript"/>
              </w:rPr>
              <w:t>***</w:t>
            </w:r>
          </w:p>
        </w:tc>
        <w:tc>
          <w:tcPr>
            <w:tcW w:w="1247" w:type="dxa"/>
            <w:tcBorders>
              <w:top w:val="nil"/>
              <w:left w:val="nil"/>
              <w:right w:val="nil"/>
            </w:tcBorders>
            <w:vAlign w:val="center"/>
          </w:tcPr>
          <w:p w14:paraId="379B7F31"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0.314</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636B3970" w14:textId="77777777" w:rsidR="00925007" w:rsidRDefault="00925007" w:rsidP="0029437B">
            <w:pPr>
              <w:tabs>
                <w:tab w:val="decimal" w:pos="20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-0.387</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23877833" w14:textId="77777777" w:rsidR="00925007" w:rsidRPr="006A5C9B"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-0.428</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1F1AEF55" w14:textId="77777777" w:rsidR="00925007" w:rsidRPr="006A5C9B"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0.074</w:t>
            </w:r>
          </w:p>
        </w:tc>
        <w:tc>
          <w:tcPr>
            <w:tcW w:w="964" w:type="dxa"/>
            <w:tcBorders>
              <w:top w:val="nil"/>
              <w:left w:val="nil"/>
              <w:right w:val="nil"/>
            </w:tcBorders>
            <w:vAlign w:val="center"/>
          </w:tcPr>
          <w:p w14:paraId="675C4932"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-0.151</w:t>
            </w:r>
          </w:p>
        </w:tc>
        <w:tc>
          <w:tcPr>
            <w:tcW w:w="1134" w:type="dxa"/>
            <w:tcBorders>
              <w:top w:val="nil"/>
              <w:left w:val="nil"/>
              <w:right w:val="nil"/>
            </w:tcBorders>
            <w:vAlign w:val="center"/>
          </w:tcPr>
          <w:p w14:paraId="5A7101A4"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0.099</w:t>
            </w:r>
          </w:p>
        </w:tc>
        <w:tc>
          <w:tcPr>
            <w:tcW w:w="992" w:type="dxa"/>
            <w:tcBorders>
              <w:top w:val="nil"/>
              <w:left w:val="nil"/>
              <w:right w:val="nil"/>
            </w:tcBorders>
            <w:vAlign w:val="center"/>
          </w:tcPr>
          <w:p w14:paraId="3C58E1CC"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-0.195</w:t>
            </w:r>
            <w:r>
              <w:rPr>
                <w:rFonts w:ascii="Times New Roman" w:hAnsi="Times New Roman" w:cs="Times New Roman"/>
                <w:color w:val="000000"/>
                <w:sz w:val="20"/>
                <w:szCs w:val="20"/>
                <w:vertAlign w:val="superscript"/>
              </w:rPr>
              <w:t>**</w:t>
            </w:r>
          </w:p>
        </w:tc>
        <w:tc>
          <w:tcPr>
            <w:tcW w:w="993" w:type="dxa"/>
            <w:tcBorders>
              <w:top w:val="nil"/>
              <w:left w:val="nil"/>
              <w:right w:val="nil"/>
            </w:tcBorders>
            <w:vAlign w:val="center"/>
          </w:tcPr>
          <w:p w14:paraId="38DB1432"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0.058</w:t>
            </w:r>
          </w:p>
        </w:tc>
      </w:tr>
      <w:tr w:rsidR="00925007" w14:paraId="639F020A" w14:textId="77777777" w:rsidTr="0029437B">
        <w:tc>
          <w:tcPr>
            <w:tcW w:w="1327" w:type="dxa"/>
            <w:tcBorders>
              <w:top w:val="nil"/>
            </w:tcBorders>
            <w:vAlign w:val="center"/>
          </w:tcPr>
          <w:p w14:paraId="413F86F4" w14:textId="77777777" w:rsidR="00925007"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Spr_Synd</w:t>
            </w:r>
          </w:p>
        </w:tc>
        <w:tc>
          <w:tcPr>
            <w:tcW w:w="1017" w:type="dxa"/>
            <w:tcBorders>
              <w:top w:val="nil"/>
              <w:right w:val="nil"/>
            </w:tcBorders>
            <w:vAlign w:val="center"/>
          </w:tcPr>
          <w:p w14:paraId="3D29182E"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top w:val="nil"/>
              <w:left w:val="nil"/>
              <w:right w:val="nil"/>
            </w:tcBorders>
            <w:vAlign w:val="center"/>
          </w:tcPr>
          <w:p w14:paraId="6C9178DF"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top w:val="nil"/>
              <w:left w:val="nil"/>
              <w:right w:val="nil"/>
            </w:tcBorders>
            <w:vAlign w:val="center"/>
          </w:tcPr>
          <w:p w14:paraId="23D6ECE3" w14:textId="77777777" w:rsidR="00925007" w:rsidRPr="006A5C9B" w:rsidRDefault="00925007" w:rsidP="0029437B">
            <w:pPr>
              <w:tabs>
                <w:tab w:val="decimal" w:pos="28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0.199</w:t>
            </w:r>
            <w:r>
              <w:rPr>
                <w:rFonts w:ascii="Times New Roman" w:hAnsi="Times New Roman" w:cs="Times New Roman"/>
                <w:color w:val="000000"/>
                <w:sz w:val="20"/>
                <w:szCs w:val="20"/>
                <w:vertAlign w:val="superscript"/>
              </w:rPr>
              <w:t>**</w:t>
            </w:r>
          </w:p>
        </w:tc>
        <w:tc>
          <w:tcPr>
            <w:tcW w:w="1275" w:type="dxa"/>
            <w:tcBorders>
              <w:top w:val="nil"/>
              <w:left w:val="nil"/>
              <w:right w:val="nil"/>
            </w:tcBorders>
            <w:vAlign w:val="center"/>
          </w:tcPr>
          <w:p w14:paraId="074A8D45" w14:textId="77777777" w:rsidR="00925007" w:rsidRPr="006A5C9B" w:rsidRDefault="00925007" w:rsidP="0029437B">
            <w:pPr>
              <w:tabs>
                <w:tab w:val="decimal" w:pos="3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0.112</w:t>
            </w:r>
          </w:p>
        </w:tc>
        <w:tc>
          <w:tcPr>
            <w:tcW w:w="1247" w:type="dxa"/>
            <w:tcBorders>
              <w:top w:val="nil"/>
              <w:left w:val="nil"/>
              <w:right w:val="nil"/>
            </w:tcBorders>
            <w:vAlign w:val="center"/>
          </w:tcPr>
          <w:p w14:paraId="521A4A82"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-0.349</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55A95124" w14:textId="77777777" w:rsidR="00925007" w:rsidRDefault="00925007" w:rsidP="0029437B">
            <w:pPr>
              <w:tabs>
                <w:tab w:val="decimal" w:pos="20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0.441</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5B9AABD7" w14:textId="77777777" w:rsidR="00925007" w:rsidRPr="006A5C9B"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-0.692</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57BF482C" w14:textId="77777777" w:rsidR="00925007" w:rsidRPr="006A5C9B"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-0.313</w:t>
            </w:r>
            <w:r w:rsidRPr="003868AB">
              <w:rPr>
                <w:rFonts w:ascii="Times New Roman" w:hAnsi="Times New Roman" w:cs="Times New Roman"/>
                <w:color w:val="000000"/>
                <w:sz w:val="20"/>
                <w:szCs w:val="20"/>
                <w:vertAlign w:val="superscript"/>
              </w:rPr>
              <w:t>***</w:t>
            </w:r>
          </w:p>
        </w:tc>
        <w:tc>
          <w:tcPr>
            <w:tcW w:w="964" w:type="dxa"/>
            <w:tcBorders>
              <w:top w:val="nil"/>
              <w:left w:val="nil"/>
              <w:right w:val="nil"/>
            </w:tcBorders>
            <w:vAlign w:val="center"/>
          </w:tcPr>
          <w:p w14:paraId="60409D7E"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-0.186</w:t>
            </w:r>
            <w:r>
              <w:rPr>
                <w:rFonts w:ascii="Times New Roman" w:hAnsi="Times New Roman" w:cs="Times New Roman"/>
                <w:color w:val="000000"/>
                <w:sz w:val="20"/>
                <w:szCs w:val="20"/>
                <w:vertAlign w:val="superscript"/>
              </w:rPr>
              <w:t>*</w:t>
            </w:r>
          </w:p>
        </w:tc>
        <w:tc>
          <w:tcPr>
            <w:tcW w:w="1134" w:type="dxa"/>
            <w:tcBorders>
              <w:top w:val="nil"/>
              <w:left w:val="nil"/>
              <w:right w:val="nil"/>
            </w:tcBorders>
            <w:vAlign w:val="center"/>
          </w:tcPr>
          <w:p w14:paraId="29E6DEFD"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-0.219</w:t>
            </w:r>
            <w:r>
              <w:rPr>
                <w:rFonts w:ascii="Times New Roman" w:hAnsi="Times New Roman" w:cs="Times New Roman"/>
                <w:color w:val="000000"/>
                <w:sz w:val="20"/>
                <w:szCs w:val="20"/>
                <w:vertAlign w:val="superscript"/>
              </w:rPr>
              <w:t>**</w:t>
            </w:r>
          </w:p>
        </w:tc>
        <w:tc>
          <w:tcPr>
            <w:tcW w:w="992" w:type="dxa"/>
            <w:tcBorders>
              <w:top w:val="nil"/>
              <w:left w:val="nil"/>
              <w:right w:val="nil"/>
            </w:tcBorders>
            <w:vAlign w:val="center"/>
          </w:tcPr>
          <w:p w14:paraId="19055F30"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0.129</w:t>
            </w:r>
          </w:p>
        </w:tc>
        <w:tc>
          <w:tcPr>
            <w:tcW w:w="993" w:type="dxa"/>
            <w:tcBorders>
              <w:top w:val="nil"/>
              <w:left w:val="nil"/>
              <w:right w:val="nil"/>
            </w:tcBorders>
            <w:vAlign w:val="center"/>
          </w:tcPr>
          <w:p w14:paraId="7E216EA7"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0.047</w:t>
            </w:r>
          </w:p>
        </w:tc>
      </w:tr>
      <w:tr w:rsidR="00925007" w14:paraId="6FFB08EF" w14:textId="77777777" w:rsidTr="0029437B">
        <w:tc>
          <w:tcPr>
            <w:tcW w:w="1327" w:type="dxa"/>
            <w:vAlign w:val="center"/>
          </w:tcPr>
          <w:p w14:paraId="661E1FC2" w14:textId="77777777" w:rsidR="00925007" w:rsidRDefault="00925007" w:rsidP="0029437B">
            <w:pPr>
              <w:spacing w:line="280" w:lineRule="exact"/>
              <w:rPr>
                <w:rFonts w:ascii="Times New Roman" w:hAnsi="Times New Roman" w:cs="Times New Roman"/>
                <w:i/>
                <w:sz w:val="20"/>
                <w:szCs w:val="20"/>
              </w:rPr>
            </w:pPr>
            <w:r>
              <w:rPr>
                <w:rFonts w:ascii="Times New Roman" w:hAnsi="Times New Roman" w:cs="Times New Roman" w:hint="eastAsia"/>
                <w:i/>
                <w:sz w:val="20"/>
                <w:szCs w:val="20"/>
              </w:rPr>
              <w:t>S</w:t>
            </w:r>
            <w:r>
              <w:rPr>
                <w:rFonts w:ascii="Times New Roman" w:hAnsi="Times New Roman" w:cs="Times New Roman"/>
                <w:i/>
                <w:sz w:val="20"/>
                <w:szCs w:val="20"/>
              </w:rPr>
              <w:t>pr_LM</w:t>
            </w:r>
          </w:p>
        </w:tc>
        <w:tc>
          <w:tcPr>
            <w:tcW w:w="1017" w:type="dxa"/>
            <w:tcBorders>
              <w:right w:val="nil"/>
            </w:tcBorders>
            <w:vAlign w:val="center"/>
          </w:tcPr>
          <w:p w14:paraId="2CB5456C"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413501F2"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29988638"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5B61DBFF" w14:textId="77777777" w:rsidR="00925007" w:rsidRPr="006A5C9B" w:rsidRDefault="00925007" w:rsidP="0029437B">
            <w:pPr>
              <w:tabs>
                <w:tab w:val="decimal" w:pos="37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0.896</w:t>
            </w:r>
            <w:r w:rsidRPr="003868AB">
              <w:rPr>
                <w:rFonts w:ascii="Times New Roman" w:hAnsi="Times New Roman" w:cs="Times New Roman"/>
                <w:color w:val="000000"/>
                <w:sz w:val="20"/>
                <w:szCs w:val="20"/>
                <w:vertAlign w:val="superscript"/>
              </w:rPr>
              <w:t>***</w:t>
            </w:r>
          </w:p>
        </w:tc>
        <w:tc>
          <w:tcPr>
            <w:tcW w:w="1247" w:type="dxa"/>
            <w:tcBorders>
              <w:left w:val="nil"/>
              <w:right w:val="nil"/>
            </w:tcBorders>
            <w:vAlign w:val="center"/>
          </w:tcPr>
          <w:p w14:paraId="5441B4AE"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-0.707</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77BD5864" w14:textId="77777777" w:rsidR="00925007" w:rsidRDefault="00925007" w:rsidP="0029437B">
            <w:pPr>
              <w:tabs>
                <w:tab w:val="decimal" w:pos="20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0.668</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35F4E4B9" w14:textId="77777777" w:rsidR="00925007" w:rsidRPr="006A5C9B"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0.273</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0EF7525F" w14:textId="77777777" w:rsidR="00925007" w:rsidRPr="006A5C9B"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-0.393</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411FACBA"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0.020</w:t>
            </w:r>
          </w:p>
        </w:tc>
        <w:tc>
          <w:tcPr>
            <w:tcW w:w="1134" w:type="dxa"/>
            <w:tcBorders>
              <w:left w:val="nil"/>
              <w:right w:val="nil"/>
            </w:tcBorders>
            <w:vAlign w:val="center"/>
          </w:tcPr>
          <w:p w14:paraId="77322778"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0.127</w:t>
            </w:r>
          </w:p>
        </w:tc>
        <w:tc>
          <w:tcPr>
            <w:tcW w:w="992" w:type="dxa"/>
            <w:tcBorders>
              <w:left w:val="nil"/>
              <w:right w:val="nil"/>
            </w:tcBorders>
            <w:vAlign w:val="center"/>
          </w:tcPr>
          <w:p w14:paraId="5A2126DF"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0.393</w:t>
            </w:r>
            <w:r w:rsidRPr="003868AB">
              <w:rPr>
                <w:rFonts w:ascii="Times New Roman" w:hAnsi="Times New Roman" w:cs="Times New Roman"/>
                <w:color w:val="000000"/>
                <w:sz w:val="20"/>
                <w:szCs w:val="20"/>
                <w:vertAlign w:val="superscript"/>
              </w:rPr>
              <w:t>***</w:t>
            </w:r>
          </w:p>
        </w:tc>
        <w:tc>
          <w:tcPr>
            <w:tcW w:w="993" w:type="dxa"/>
            <w:tcBorders>
              <w:left w:val="nil"/>
              <w:right w:val="nil"/>
            </w:tcBorders>
            <w:vAlign w:val="center"/>
          </w:tcPr>
          <w:p w14:paraId="44DD11A7"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-0.147</w:t>
            </w:r>
          </w:p>
        </w:tc>
      </w:tr>
      <w:tr w:rsidR="00925007" w14:paraId="1A999A06" w14:textId="77777777" w:rsidTr="0029437B">
        <w:tc>
          <w:tcPr>
            <w:tcW w:w="1327" w:type="dxa"/>
            <w:vAlign w:val="center"/>
          </w:tcPr>
          <w:p w14:paraId="0C92ADCA"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sz w:val="20"/>
                <w:szCs w:val="20"/>
              </w:rPr>
              <w:t>St</w:t>
            </w:r>
            <w:r>
              <w:rPr>
                <w:rFonts w:ascii="Times New Roman" w:hAnsi="Times New Roman" w:cs="Times New Roman"/>
                <w:i/>
                <w:sz w:val="20"/>
                <w:szCs w:val="20"/>
              </w:rPr>
              <w:t>a</w:t>
            </w:r>
            <w:r>
              <w:rPr>
                <w:rFonts w:ascii="Times New Roman" w:hAnsi="Times New Roman" w:cs="Times New Roman" w:hint="eastAsia"/>
                <w:i/>
                <w:sz w:val="20"/>
                <w:szCs w:val="20"/>
              </w:rPr>
              <w:t>ndard_LM</w:t>
            </w:r>
          </w:p>
        </w:tc>
        <w:tc>
          <w:tcPr>
            <w:tcW w:w="1017" w:type="dxa"/>
            <w:tcBorders>
              <w:right w:val="nil"/>
            </w:tcBorders>
            <w:vAlign w:val="center"/>
          </w:tcPr>
          <w:p w14:paraId="7221E6B0"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199BD2A5"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09ECBC37"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59FD4D44"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658A07E3" w14:textId="77777777" w:rsidR="00925007" w:rsidRPr="006A5C9B" w:rsidRDefault="00925007" w:rsidP="0029437B">
            <w:pPr>
              <w:tabs>
                <w:tab w:val="decimal" w:pos="31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-0.696</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7B5D75AA" w14:textId="77777777" w:rsidR="00925007" w:rsidRDefault="00925007" w:rsidP="0029437B">
            <w:pPr>
              <w:tabs>
                <w:tab w:val="decimal" w:pos="20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0.589</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4B77F1AB" w14:textId="77777777" w:rsidR="00925007" w:rsidRPr="006A5C9B"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0.314</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537F1126" w14:textId="77777777" w:rsidR="00925007" w:rsidRPr="006A5C9B"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-0.431</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4CC1CB73"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0.014</w:t>
            </w:r>
          </w:p>
        </w:tc>
        <w:tc>
          <w:tcPr>
            <w:tcW w:w="1134" w:type="dxa"/>
            <w:tcBorders>
              <w:left w:val="nil"/>
              <w:right w:val="nil"/>
            </w:tcBorders>
            <w:vAlign w:val="center"/>
          </w:tcPr>
          <w:p w14:paraId="41A6E327"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0.242</w:t>
            </w:r>
            <w:r>
              <w:rPr>
                <w:rFonts w:ascii="Times New Roman" w:hAnsi="Times New Roman" w:cs="Times New Roman"/>
                <w:color w:val="000000"/>
                <w:sz w:val="20"/>
                <w:szCs w:val="20"/>
                <w:vertAlign w:val="superscript"/>
              </w:rPr>
              <w:t>**</w:t>
            </w:r>
          </w:p>
        </w:tc>
        <w:tc>
          <w:tcPr>
            <w:tcW w:w="992" w:type="dxa"/>
            <w:tcBorders>
              <w:left w:val="nil"/>
              <w:right w:val="nil"/>
            </w:tcBorders>
            <w:vAlign w:val="center"/>
          </w:tcPr>
          <w:p w14:paraId="3A6529FB"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0.399</w:t>
            </w:r>
            <w:r w:rsidRPr="003868AB">
              <w:rPr>
                <w:rFonts w:ascii="Times New Roman" w:hAnsi="Times New Roman" w:cs="Times New Roman"/>
                <w:color w:val="000000"/>
                <w:sz w:val="20"/>
                <w:szCs w:val="20"/>
                <w:vertAlign w:val="superscript"/>
              </w:rPr>
              <w:t>***</w:t>
            </w:r>
          </w:p>
        </w:tc>
        <w:tc>
          <w:tcPr>
            <w:tcW w:w="993" w:type="dxa"/>
            <w:tcBorders>
              <w:left w:val="nil"/>
              <w:right w:val="nil"/>
            </w:tcBorders>
            <w:vAlign w:val="center"/>
          </w:tcPr>
          <w:p w14:paraId="560861B7"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-0.182</w:t>
            </w:r>
            <w:r>
              <w:rPr>
                <w:rFonts w:ascii="Times New Roman" w:hAnsi="Times New Roman" w:cs="Times New Roman"/>
                <w:color w:val="000000"/>
                <w:sz w:val="20"/>
                <w:szCs w:val="20"/>
                <w:vertAlign w:val="superscript"/>
              </w:rPr>
              <w:t>*</w:t>
            </w:r>
          </w:p>
        </w:tc>
      </w:tr>
      <w:tr w:rsidR="00925007" w14:paraId="0879DE0C" w14:textId="77777777" w:rsidTr="0029437B">
        <w:tc>
          <w:tcPr>
            <w:tcW w:w="1327" w:type="dxa"/>
            <w:vAlign w:val="center"/>
          </w:tcPr>
          <w:p w14:paraId="11B6AB47"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sz w:val="20"/>
                <w:szCs w:val="20"/>
              </w:rPr>
              <w:t>Demand_LM</w:t>
            </w:r>
          </w:p>
        </w:tc>
        <w:tc>
          <w:tcPr>
            <w:tcW w:w="1017" w:type="dxa"/>
            <w:tcBorders>
              <w:right w:val="nil"/>
            </w:tcBorders>
            <w:vAlign w:val="center"/>
          </w:tcPr>
          <w:p w14:paraId="27D58721"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45ADC9A4"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371D6B73"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7EAFF091"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3EACEA0E"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0A9BECD6" w14:textId="77777777" w:rsidR="00925007" w:rsidRDefault="00925007" w:rsidP="0029437B">
            <w:pPr>
              <w:tabs>
                <w:tab w:val="decimal" w:pos="20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-0.532</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1AD987BD" w14:textId="77777777" w:rsidR="00925007" w:rsidRPr="006A5C9B"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-0.005</w:t>
            </w:r>
          </w:p>
        </w:tc>
        <w:tc>
          <w:tcPr>
            <w:tcW w:w="964" w:type="dxa"/>
            <w:tcBorders>
              <w:left w:val="nil"/>
              <w:right w:val="nil"/>
            </w:tcBorders>
            <w:vAlign w:val="center"/>
          </w:tcPr>
          <w:p w14:paraId="263927C4" w14:textId="77777777" w:rsidR="00925007" w:rsidRPr="006A5C9B"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0.472</w:t>
            </w:r>
            <w:r w:rsidRPr="003868AB">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79B75654"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0.148</w:t>
            </w:r>
          </w:p>
        </w:tc>
        <w:tc>
          <w:tcPr>
            <w:tcW w:w="1134" w:type="dxa"/>
            <w:tcBorders>
              <w:left w:val="nil"/>
              <w:right w:val="nil"/>
            </w:tcBorders>
            <w:vAlign w:val="center"/>
          </w:tcPr>
          <w:p w14:paraId="0977C357"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-0.077</w:t>
            </w:r>
          </w:p>
        </w:tc>
        <w:tc>
          <w:tcPr>
            <w:tcW w:w="992" w:type="dxa"/>
            <w:tcBorders>
              <w:left w:val="nil"/>
              <w:right w:val="nil"/>
            </w:tcBorders>
            <w:vAlign w:val="center"/>
          </w:tcPr>
          <w:p w14:paraId="528D8698"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-0.373</w:t>
            </w:r>
            <w:r w:rsidRPr="003868AB">
              <w:rPr>
                <w:rFonts w:ascii="Times New Roman" w:hAnsi="Times New Roman" w:cs="Times New Roman"/>
                <w:color w:val="000000"/>
                <w:sz w:val="20"/>
                <w:szCs w:val="20"/>
                <w:vertAlign w:val="superscript"/>
              </w:rPr>
              <w:t>***</w:t>
            </w:r>
          </w:p>
        </w:tc>
        <w:tc>
          <w:tcPr>
            <w:tcW w:w="993" w:type="dxa"/>
            <w:tcBorders>
              <w:left w:val="nil"/>
              <w:right w:val="nil"/>
            </w:tcBorders>
            <w:vAlign w:val="center"/>
          </w:tcPr>
          <w:p w14:paraId="1A715295"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0.223</w:t>
            </w:r>
            <w:r>
              <w:rPr>
                <w:rFonts w:ascii="Times New Roman" w:hAnsi="Times New Roman" w:cs="Times New Roman"/>
                <w:color w:val="000000"/>
                <w:sz w:val="20"/>
                <w:szCs w:val="20"/>
                <w:vertAlign w:val="superscript"/>
              </w:rPr>
              <w:t>**</w:t>
            </w:r>
          </w:p>
        </w:tc>
      </w:tr>
      <w:tr w:rsidR="00925007" w14:paraId="3BAEA4EB" w14:textId="77777777" w:rsidTr="0029437B">
        <w:tc>
          <w:tcPr>
            <w:tcW w:w="1327" w:type="dxa"/>
            <w:vAlign w:val="center"/>
          </w:tcPr>
          <w:p w14:paraId="46482383" w14:textId="77777777" w:rsidR="00925007" w:rsidRPr="00D4011E" w:rsidRDefault="00925007" w:rsidP="0029437B">
            <w:pPr>
              <w:spacing w:line="280" w:lineRule="exact"/>
              <w:rPr>
                <w:rFonts w:ascii="Times New Roman" w:hAnsi="Times New Roman" w:cs="Times New Roman"/>
                <w:iCs/>
                <w:color w:val="000000"/>
                <w:sz w:val="20"/>
                <w:szCs w:val="20"/>
              </w:rPr>
            </w:pPr>
            <w:r w:rsidRPr="00EC3978">
              <w:rPr>
                <w:rFonts w:ascii="Times New Roman" w:hAnsi="Times New Roman" w:cs="Times New Roman"/>
                <w:i/>
                <w:sz w:val="20"/>
                <w:szCs w:val="20"/>
              </w:rPr>
              <w:t>log</w:t>
            </w:r>
            <w:r w:rsidRPr="00EC3978">
              <w:rPr>
                <w:rFonts w:ascii="Times New Roman" w:hAnsi="Times New Roman" w:cs="Times New Roman" w:hint="eastAsia"/>
                <w:i/>
                <w:sz w:val="20"/>
                <w:szCs w:val="20"/>
              </w:rPr>
              <w:t>VRP</w:t>
            </w:r>
          </w:p>
        </w:tc>
        <w:tc>
          <w:tcPr>
            <w:tcW w:w="1017" w:type="dxa"/>
            <w:tcBorders>
              <w:right w:val="nil"/>
            </w:tcBorders>
            <w:vAlign w:val="center"/>
          </w:tcPr>
          <w:p w14:paraId="5887386C"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568C6D49"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6449727E"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70BA37F8"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33020A06"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047556E" w14:textId="77777777" w:rsidR="00925007" w:rsidRPr="006A5C9B" w:rsidRDefault="00925007" w:rsidP="0029437B">
            <w:pPr>
              <w:tabs>
                <w:tab w:val="decimal" w:pos="20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BA54136" w14:textId="77777777" w:rsidR="00925007" w:rsidRDefault="00925007" w:rsidP="0029437B">
            <w:pPr>
              <w:tabs>
                <w:tab w:val="decimal" w:pos="282"/>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0.009</w:t>
            </w:r>
          </w:p>
        </w:tc>
        <w:tc>
          <w:tcPr>
            <w:tcW w:w="964" w:type="dxa"/>
            <w:tcBorders>
              <w:left w:val="nil"/>
              <w:right w:val="nil"/>
            </w:tcBorders>
            <w:vAlign w:val="center"/>
          </w:tcPr>
          <w:p w14:paraId="0DC3B652" w14:textId="77777777" w:rsidR="00925007" w:rsidRDefault="00925007" w:rsidP="0029437B">
            <w:pPr>
              <w:tabs>
                <w:tab w:val="decimal" w:pos="314"/>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-0.234</w:t>
            </w:r>
            <w:r>
              <w:rPr>
                <w:rFonts w:ascii="Times New Roman" w:hAnsi="Times New Roman" w:cs="Times New Roman"/>
                <w:color w:val="000000"/>
                <w:sz w:val="20"/>
                <w:szCs w:val="20"/>
                <w:vertAlign w:val="superscript"/>
              </w:rPr>
              <w:t>**</w:t>
            </w:r>
          </w:p>
        </w:tc>
        <w:tc>
          <w:tcPr>
            <w:tcW w:w="964" w:type="dxa"/>
            <w:tcBorders>
              <w:left w:val="nil"/>
              <w:right w:val="nil"/>
            </w:tcBorders>
            <w:vAlign w:val="center"/>
          </w:tcPr>
          <w:p w14:paraId="28362B73" w14:textId="77777777" w:rsidR="00925007"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-0.080</w:t>
            </w:r>
          </w:p>
        </w:tc>
        <w:tc>
          <w:tcPr>
            <w:tcW w:w="1134" w:type="dxa"/>
            <w:tcBorders>
              <w:left w:val="nil"/>
              <w:right w:val="nil"/>
            </w:tcBorders>
            <w:vAlign w:val="center"/>
          </w:tcPr>
          <w:p w14:paraId="412DB571" w14:textId="77777777" w:rsidR="00925007"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0.048</w:t>
            </w:r>
          </w:p>
        </w:tc>
        <w:tc>
          <w:tcPr>
            <w:tcW w:w="992" w:type="dxa"/>
            <w:tcBorders>
              <w:left w:val="nil"/>
              <w:right w:val="nil"/>
            </w:tcBorders>
            <w:vAlign w:val="center"/>
          </w:tcPr>
          <w:p w14:paraId="119681A7" w14:textId="77777777" w:rsidR="00925007"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0.224</w:t>
            </w:r>
            <w:r>
              <w:rPr>
                <w:rFonts w:ascii="Times New Roman" w:hAnsi="Times New Roman" w:cs="Times New Roman"/>
                <w:color w:val="000000"/>
                <w:sz w:val="20"/>
                <w:szCs w:val="20"/>
                <w:vertAlign w:val="superscript"/>
              </w:rPr>
              <w:t>**</w:t>
            </w:r>
          </w:p>
        </w:tc>
        <w:tc>
          <w:tcPr>
            <w:tcW w:w="993" w:type="dxa"/>
            <w:tcBorders>
              <w:left w:val="nil"/>
              <w:right w:val="nil"/>
            </w:tcBorders>
            <w:vAlign w:val="center"/>
          </w:tcPr>
          <w:p w14:paraId="55F88FBA" w14:textId="77777777" w:rsidR="00925007"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-0.162</w:t>
            </w:r>
          </w:p>
        </w:tc>
      </w:tr>
      <w:tr w:rsidR="00925007" w14:paraId="6D0E2B98" w14:textId="77777777" w:rsidTr="0029437B">
        <w:tc>
          <w:tcPr>
            <w:tcW w:w="1327" w:type="dxa"/>
            <w:vAlign w:val="center"/>
          </w:tcPr>
          <w:p w14:paraId="35F996C0" w14:textId="77777777" w:rsidR="00925007" w:rsidRPr="00EC3978" w:rsidRDefault="00925007" w:rsidP="0029437B">
            <w:pPr>
              <w:spacing w:line="280" w:lineRule="exact"/>
              <w:rPr>
                <w:rFonts w:ascii="Times New Roman" w:hAnsi="Times New Roman" w:cs="Times New Roman"/>
                <w:i/>
                <w:iCs/>
                <w:color w:val="000000"/>
                <w:sz w:val="20"/>
                <w:szCs w:val="20"/>
              </w:rPr>
            </w:pPr>
            <w:r w:rsidRPr="00EC3978">
              <w:rPr>
                <w:rFonts w:ascii="Times New Roman" w:hAnsi="Times New Roman" w:cs="Times New Roman"/>
                <w:i/>
                <w:iCs/>
                <w:color w:val="000000"/>
                <w:sz w:val="20"/>
                <w:szCs w:val="20"/>
              </w:rPr>
              <w:t>FF_Rate</w:t>
            </w:r>
          </w:p>
        </w:tc>
        <w:tc>
          <w:tcPr>
            <w:tcW w:w="1017" w:type="dxa"/>
            <w:tcBorders>
              <w:right w:val="nil"/>
            </w:tcBorders>
            <w:vAlign w:val="center"/>
          </w:tcPr>
          <w:p w14:paraId="43191340"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34044D60"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24192E86"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751A8B91"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16691F0E"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59D92CC8" w14:textId="77777777" w:rsidR="00925007" w:rsidRPr="006A5C9B" w:rsidRDefault="00925007" w:rsidP="0029437B">
            <w:pPr>
              <w:tabs>
                <w:tab w:val="decimal" w:pos="20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B97E68B" w14:textId="77777777" w:rsidR="00925007" w:rsidRPr="006A5C9B" w:rsidRDefault="00925007" w:rsidP="0029437B">
            <w:pPr>
              <w:tabs>
                <w:tab w:val="decimal" w:pos="282"/>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0D74664C" w14:textId="77777777" w:rsidR="00925007" w:rsidRPr="006A5C9B" w:rsidRDefault="00925007" w:rsidP="0029437B">
            <w:pPr>
              <w:tabs>
                <w:tab w:val="decimal" w:pos="314"/>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0.151</w:t>
            </w:r>
          </w:p>
        </w:tc>
        <w:tc>
          <w:tcPr>
            <w:tcW w:w="964" w:type="dxa"/>
            <w:tcBorders>
              <w:left w:val="nil"/>
              <w:right w:val="nil"/>
            </w:tcBorders>
            <w:vAlign w:val="center"/>
          </w:tcPr>
          <w:p w14:paraId="45853891" w14:textId="77777777" w:rsidR="00925007" w:rsidRPr="006A5C9B" w:rsidRDefault="00925007" w:rsidP="0029437B">
            <w:pPr>
              <w:tabs>
                <w:tab w:val="decimal" w:pos="27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0.316</w:t>
            </w:r>
            <w:r w:rsidRPr="003868AB">
              <w:rPr>
                <w:rFonts w:ascii="Times New Roman" w:hAnsi="Times New Roman" w:cs="Times New Roman"/>
                <w:color w:val="000000"/>
                <w:sz w:val="20"/>
                <w:szCs w:val="20"/>
                <w:vertAlign w:val="superscript"/>
              </w:rPr>
              <w:t>***</w:t>
            </w:r>
          </w:p>
        </w:tc>
        <w:tc>
          <w:tcPr>
            <w:tcW w:w="1134" w:type="dxa"/>
            <w:tcBorders>
              <w:left w:val="nil"/>
              <w:right w:val="nil"/>
            </w:tcBorders>
            <w:vAlign w:val="center"/>
          </w:tcPr>
          <w:p w14:paraId="22D7ED0B"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0.043</w:t>
            </w:r>
          </w:p>
        </w:tc>
        <w:tc>
          <w:tcPr>
            <w:tcW w:w="992" w:type="dxa"/>
            <w:tcBorders>
              <w:left w:val="nil"/>
              <w:right w:val="nil"/>
            </w:tcBorders>
            <w:vAlign w:val="center"/>
          </w:tcPr>
          <w:p w14:paraId="50AD74B8"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0.100</w:t>
            </w:r>
          </w:p>
        </w:tc>
        <w:tc>
          <w:tcPr>
            <w:tcW w:w="993" w:type="dxa"/>
            <w:tcBorders>
              <w:left w:val="nil"/>
              <w:right w:val="nil"/>
            </w:tcBorders>
            <w:vAlign w:val="center"/>
          </w:tcPr>
          <w:p w14:paraId="296399C0"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-0.124</w:t>
            </w:r>
          </w:p>
        </w:tc>
      </w:tr>
      <w:tr w:rsidR="00925007" w14:paraId="254EEE59" w14:textId="77777777" w:rsidTr="0029437B">
        <w:tc>
          <w:tcPr>
            <w:tcW w:w="1327" w:type="dxa"/>
            <w:vAlign w:val="center"/>
          </w:tcPr>
          <w:p w14:paraId="53AB660C" w14:textId="77777777" w:rsidR="00925007" w:rsidRPr="00EC3978" w:rsidRDefault="00925007" w:rsidP="0029437B">
            <w:pPr>
              <w:spacing w:line="280" w:lineRule="exact"/>
              <w:rPr>
                <w:rFonts w:ascii="Times New Roman" w:hAnsi="Times New Roman" w:cs="Times New Roman"/>
                <w:i/>
                <w:iCs/>
                <w:color w:val="000000"/>
                <w:sz w:val="20"/>
                <w:szCs w:val="20"/>
              </w:rPr>
            </w:pPr>
            <w:r w:rsidRPr="00EC3978">
              <w:rPr>
                <w:rFonts w:ascii="Times New Roman" w:hAnsi="Times New Roman" w:cs="Times New Roman"/>
                <w:i/>
                <w:iCs/>
                <w:color w:val="000000"/>
                <w:sz w:val="20"/>
                <w:szCs w:val="20"/>
              </w:rPr>
              <w:t>GDP</w:t>
            </w:r>
          </w:p>
        </w:tc>
        <w:tc>
          <w:tcPr>
            <w:tcW w:w="1017" w:type="dxa"/>
            <w:tcBorders>
              <w:right w:val="nil"/>
            </w:tcBorders>
            <w:vAlign w:val="center"/>
          </w:tcPr>
          <w:p w14:paraId="7176AFB3"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713F61F5"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279DDEA1"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6E728C3E"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3B7B2AD9"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F279847" w14:textId="77777777" w:rsidR="00925007" w:rsidRPr="006A5C9B" w:rsidRDefault="00925007" w:rsidP="0029437B">
            <w:pPr>
              <w:tabs>
                <w:tab w:val="decimal" w:pos="20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2D09C6A4" w14:textId="77777777" w:rsidR="00925007" w:rsidRPr="006A5C9B" w:rsidRDefault="00925007" w:rsidP="0029437B">
            <w:pPr>
              <w:tabs>
                <w:tab w:val="decimal" w:pos="282"/>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6B165C50" w14:textId="77777777" w:rsidR="00925007" w:rsidRPr="006A5C9B" w:rsidRDefault="00925007" w:rsidP="0029437B">
            <w:pPr>
              <w:tabs>
                <w:tab w:val="decimal" w:pos="314"/>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53E067FD" w14:textId="77777777" w:rsidR="00925007" w:rsidRPr="006A5C9B" w:rsidRDefault="00925007" w:rsidP="0029437B">
            <w:pPr>
              <w:tabs>
                <w:tab w:val="decimal" w:pos="27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0.233</w:t>
            </w:r>
            <w:r>
              <w:rPr>
                <w:rFonts w:ascii="Times New Roman" w:hAnsi="Times New Roman" w:cs="Times New Roman"/>
                <w:color w:val="000000"/>
                <w:sz w:val="20"/>
                <w:szCs w:val="20"/>
                <w:vertAlign w:val="superscript"/>
              </w:rPr>
              <w:t>**</w:t>
            </w:r>
          </w:p>
        </w:tc>
        <w:tc>
          <w:tcPr>
            <w:tcW w:w="1134" w:type="dxa"/>
            <w:tcBorders>
              <w:left w:val="nil"/>
              <w:right w:val="nil"/>
            </w:tcBorders>
            <w:vAlign w:val="center"/>
          </w:tcPr>
          <w:p w14:paraId="630249B9" w14:textId="77777777" w:rsidR="00925007" w:rsidRPr="006A5C9B" w:rsidRDefault="00925007" w:rsidP="0029437B">
            <w:pPr>
              <w:tabs>
                <w:tab w:val="decimal" w:pos="31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-0.223</w:t>
            </w:r>
            <w:r>
              <w:rPr>
                <w:rFonts w:ascii="Times New Roman" w:hAnsi="Times New Roman" w:cs="Times New Roman"/>
                <w:color w:val="000000"/>
                <w:sz w:val="20"/>
                <w:szCs w:val="20"/>
                <w:vertAlign w:val="superscript"/>
              </w:rPr>
              <w:t>**</w:t>
            </w:r>
          </w:p>
        </w:tc>
        <w:tc>
          <w:tcPr>
            <w:tcW w:w="992" w:type="dxa"/>
            <w:tcBorders>
              <w:left w:val="nil"/>
              <w:right w:val="nil"/>
            </w:tcBorders>
            <w:vAlign w:val="center"/>
          </w:tcPr>
          <w:p w14:paraId="69D31EDD"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-0.233</w:t>
            </w:r>
            <w:r>
              <w:rPr>
                <w:rFonts w:ascii="Times New Roman" w:hAnsi="Times New Roman" w:cs="Times New Roman"/>
                <w:color w:val="000000"/>
                <w:sz w:val="20"/>
                <w:szCs w:val="20"/>
                <w:vertAlign w:val="superscript"/>
              </w:rPr>
              <w:t>**</w:t>
            </w:r>
          </w:p>
        </w:tc>
        <w:tc>
          <w:tcPr>
            <w:tcW w:w="993" w:type="dxa"/>
            <w:tcBorders>
              <w:left w:val="nil"/>
              <w:right w:val="nil"/>
            </w:tcBorders>
            <w:vAlign w:val="center"/>
          </w:tcPr>
          <w:p w14:paraId="6353EA43"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0.183</w:t>
            </w:r>
            <w:r>
              <w:rPr>
                <w:rFonts w:ascii="Times New Roman" w:hAnsi="Times New Roman" w:cs="Times New Roman"/>
                <w:color w:val="000000"/>
                <w:sz w:val="20"/>
                <w:szCs w:val="20"/>
                <w:vertAlign w:val="superscript"/>
              </w:rPr>
              <w:t>*</w:t>
            </w:r>
          </w:p>
        </w:tc>
      </w:tr>
      <w:tr w:rsidR="00925007" w14:paraId="4DBDAD42" w14:textId="77777777" w:rsidTr="0029437B">
        <w:tc>
          <w:tcPr>
            <w:tcW w:w="1327" w:type="dxa"/>
            <w:vAlign w:val="center"/>
          </w:tcPr>
          <w:p w14:paraId="601A9649" w14:textId="77777777" w:rsidR="00925007" w:rsidRPr="00EC3978" w:rsidRDefault="00925007" w:rsidP="0029437B">
            <w:pPr>
              <w:spacing w:line="280" w:lineRule="exact"/>
              <w:rPr>
                <w:rFonts w:ascii="Times New Roman" w:hAnsi="Times New Roman" w:cs="Times New Roman"/>
                <w:i/>
                <w:sz w:val="20"/>
                <w:szCs w:val="20"/>
              </w:rPr>
            </w:pPr>
            <w:r w:rsidRPr="00EC3978">
              <w:rPr>
                <w:rFonts w:ascii="Times New Roman" w:hAnsi="Times New Roman" w:cs="Times New Roman" w:hint="eastAsia"/>
                <w:i/>
                <w:sz w:val="20"/>
                <w:szCs w:val="20"/>
              </w:rPr>
              <w:t>CPI</w:t>
            </w:r>
          </w:p>
        </w:tc>
        <w:tc>
          <w:tcPr>
            <w:tcW w:w="1017" w:type="dxa"/>
            <w:tcBorders>
              <w:right w:val="nil"/>
            </w:tcBorders>
            <w:vAlign w:val="center"/>
          </w:tcPr>
          <w:p w14:paraId="77045312"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7BF3D099"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53966F8C"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4D423256"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7F91FD55"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1EB09BE5" w14:textId="77777777" w:rsidR="00925007" w:rsidRPr="006A5C9B" w:rsidRDefault="00925007" w:rsidP="0029437B">
            <w:pPr>
              <w:tabs>
                <w:tab w:val="decimal" w:pos="20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85956F6" w14:textId="77777777" w:rsidR="00925007" w:rsidRPr="006A5C9B" w:rsidRDefault="00925007" w:rsidP="0029437B">
            <w:pPr>
              <w:tabs>
                <w:tab w:val="decimal" w:pos="282"/>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166A131B" w14:textId="77777777" w:rsidR="00925007" w:rsidRPr="006A5C9B" w:rsidRDefault="00925007" w:rsidP="0029437B">
            <w:pPr>
              <w:tabs>
                <w:tab w:val="decimal" w:pos="314"/>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E6BB079" w14:textId="77777777" w:rsidR="00925007" w:rsidRPr="006A5C9B" w:rsidRDefault="00925007" w:rsidP="0029437B">
            <w:pPr>
              <w:tabs>
                <w:tab w:val="decimal" w:pos="270"/>
              </w:tabs>
              <w:spacing w:line="280" w:lineRule="exact"/>
              <w:rPr>
                <w:rFonts w:ascii="Times New Roman" w:eastAsia="Times New Roman" w:hAnsi="Times New Roman" w:cs="Times New Roman"/>
                <w:sz w:val="20"/>
                <w:szCs w:val="20"/>
              </w:rPr>
            </w:pPr>
          </w:p>
        </w:tc>
        <w:tc>
          <w:tcPr>
            <w:tcW w:w="1134" w:type="dxa"/>
            <w:tcBorders>
              <w:left w:val="nil"/>
              <w:right w:val="nil"/>
            </w:tcBorders>
            <w:vAlign w:val="center"/>
          </w:tcPr>
          <w:p w14:paraId="045DFE9B" w14:textId="77777777" w:rsidR="00925007" w:rsidRPr="006A5C9B" w:rsidRDefault="00925007" w:rsidP="0029437B">
            <w:pPr>
              <w:tabs>
                <w:tab w:val="decimal" w:pos="31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-0.512</w:t>
            </w:r>
            <w:r w:rsidRPr="003868AB">
              <w:rPr>
                <w:rFonts w:ascii="Times New Roman" w:hAnsi="Times New Roman" w:cs="Times New Roman"/>
                <w:color w:val="000000"/>
                <w:sz w:val="20"/>
                <w:szCs w:val="20"/>
                <w:vertAlign w:val="superscript"/>
              </w:rPr>
              <w:t>***</w:t>
            </w:r>
          </w:p>
        </w:tc>
        <w:tc>
          <w:tcPr>
            <w:tcW w:w="992" w:type="dxa"/>
            <w:tcBorders>
              <w:left w:val="nil"/>
              <w:right w:val="nil"/>
            </w:tcBorders>
            <w:vAlign w:val="center"/>
          </w:tcPr>
          <w:p w14:paraId="24FD4279" w14:textId="77777777" w:rsidR="00925007" w:rsidRPr="006A5C9B" w:rsidRDefault="00925007" w:rsidP="0029437B">
            <w:pPr>
              <w:tabs>
                <w:tab w:val="decimal" w:pos="231"/>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0.114</w:t>
            </w:r>
          </w:p>
        </w:tc>
        <w:tc>
          <w:tcPr>
            <w:tcW w:w="993" w:type="dxa"/>
            <w:tcBorders>
              <w:left w:val="nil"/>
              <w:right w:val="nil"/>
            </w:tcBorders>
            <w:vAlign w:val="center"/>
          </w:tcPr>
          <w:p w14:paraId="22EBDE58"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-0.235</w:t>
            </w:r>
            <w:r>
              <w:rPr>
                <w:rFonts w:ascii="Times New Roman" w:hAnsi="Times New Roman" w:cs="Times New Roman"/>
                <w:color w:val="000000"/>
                <w:sz w:val="20"/>
                <w:szCs w:val="20"/>
                <w:vertAlign w:val="superscript"/>
              </w:rPr>
              <w:t>**</w:t>
            </w:r>
          </w:p>
        </w:tc>
      </w:tr>
      <w:tr w:rsidR="00925007" w14:paraId="33EFB7E4" w14:textId="77777777" w:rsidTr="0029437B">
        <w:tc>
          <w:tcPr>
            <w:tcW w:w="1327" w:type="dxa"/>
            <w:vAlign w:val="center"/>
          </w:tcPr>
          <w:p w14:paraId="00ACAE46" w14:textId="77777777" w:rsidR="00925007" w:rsidRPr="00EC3978" w:rsidRDefault="00925007" w:rsidP="0029437B">
            <w:pPr>
              <w:spacing w:line="280" w:lineRule="exact"/>
              <w:rPr>
                <w:rFonts w:ascii="Times New Roman" w:hAnsi="Times New Roman" w:cs="Times New Roman"/>
                <w:i/>
                <w:sz w:val="20"/>
                <w:szCs w:val="20"/>
              </w:rPr>
            </w:pPr>
            <w:r w:rsidRPr="00EC3978">
              <w:rPr>
                <w:rFonts w:ascii="Times New Roman" w:hAnsi="Times New Roman" w:cs="Times New Roman" w:hint="eastAsia"/>
                <w:i/>
                <w:sz w:val="20"/>
                <w:szCs w:val="20"/>
              </w:rPr>
              <w:t>Credit_Spr</w:t>
            </w:r>
          </w:p>
        </w:tc>
        <w:tc>
          <w:tcPr>
            <w:tcW w:w="1017" w:type="dxa"/>
            <w:tcBorders>
              <w:right w:val="nil"/>
            </w:tcBorders>
            <w:vAlign w:val="center"/>
          </w:tcPr>
          <w:p w14:paraId="7BA6591E"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37B5BBC0"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51F090B0"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14EB84E9"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2A56915F"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5613C23A" w14:textId="77777777" w:rsidR="00925007" w:rsidRPr="006A5C9B" w:rsidRDefault="00925007" w:rsidP="0029437B">
            <w:pPr>
              <w:tabs>
                <w:tab w:val="decimal" w:pos="20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4F0F074E" w14:textId="77777777" w:rsidR="00925007" w:rsidRPr="006A5C9B" w:rsidRDefault="00925007" w:rsidP="0029437B">
            <w:pPr>
              <w:tabs>
                <w:tab w:val="decimal" w:pos="282"/>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0E982C2E" w14:textId="77777777" w:rsidR="00925007" w:rsidRPr="006A5C9B" w:rsidRDefault="00925007" w:rsidP="0029437B">
            <w:pPr>
              <w:tabs>
                <w:tab w:val="decimal" w:pos="314"/>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EE3A950" w14:textId="77777777" w:rsidR="00925007" w:rsidRPr="006A5C9B" w:rsidRDefault="00925007" w:rsidP="0029437B">
            <w:pPr>
              <w:tabs>
                <w:tab w:val="decimal" w:pos="270"/>
              </w:tabs>
              <w:spacing w:line="280" w:lineRule="exact"/>
              <w:rPr>
                <w:rFonts w:ascii="Times New Roman" w:eastAsia="Times New Roman" w:hAnsi="Times New Roman" w:cs="Times New Roman"/>
                <w:sz w:val="20"/>
                <w:szCs w:val="20"/>
              </w:rPr>
            </w:pPr>
          </w:p>
        </w:tc>
        <w:tc>
          <w:tcPr>
            <w:tcW w:w="1134" w:type="dxa"/>
            <w:tcBorders>
              <w:left w:val="nil"/>
              <w:right w:val="nil"/>
            </w:tcBorders>
            <w:vAlign w:val="center"/>
          </w:tcPr>
          <w:p w14:paraId="7EE362A3"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92" w:type="dxa"/>
            <w:tcBorders>
              <w:left w:val="nil"/>
              <w:right w:val="nil"/>
            </w:tcBorders>
            <w:vAlign w:val="center"/>
          </w:tcPr>
          <w:p w14:paraId="744BFBBA" w14:textId="77777777" w:rsidR="00925007" w:rsidRPr="006A5C9B" w:rsidRDefault="00925007" w:rsidP="0029437B">
            <w:pPr>
              <w:tabs>
                <w:tab w:val="decimal" w:pos="231"/>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-0.108</w:t>
            </w:r>
          </w:p>
        </w:tc>
        <w:tc>
          <w:tcPr>
            <w:tcW w:w="993" w:type="dxa"/>
            <w:tcBorders>
              <w:left w:val="nil"/>
              <w:right w:val="nil"/>
            </w:tcBorders>
            <w:vAlign w:val="center"/>
          </w:tcPr>
          <w:p w14:paraId="2204F9CB" w14:textId="77777777" w:rsidR="00925007" w:rsidRPr="006A5C9B" w:rsidRDefault="00925007" w:rsidP="0029437B">
            <w:pPr>
              <w:tabs>
                <w:tab w:val="decimal" w:pos="260"/>
              </w:tabs>
              <w:spacing w:line="280" w:lineRule="exact"/>
              <w:rPr>
                <w:rFonts w:ascii="Times New Roman" w:hAnsi="Times New Roman" w:cs="Times New Roman"/>
                <w:color w:val="000000"/>
                <w:sz w:val="20"/>
                <w:szCs w:val="20"/>
              </w:rPr>
            </w:pPr>
            <w:r w:rsidRPr="006A5C9B">
              <w:rPr>
                <w:rFonts w:ascii="Times New Roman" w:hAnsi="Times New Roman" w:cs="Times New Roman"/>
                <w:color w:val="000000"/>
                <w:sz w:val="20"/>
                <w:szCs w:val="20"/>
              </w:rPr>
              <w:t>-0.178</w:t>
            </w:r>
            <w:r>
              <w:rPr>
                <w:rFonts w:ascii="Times New Roman" w:hAnsi="Times New Roman" w:cs="Times New Roman"/>
                <w:color w:val="000000"/>
                <w:sz w:val="20"/>
                <w:szCs w:val="20"/>
                <w:vertAlign w:val="superscript"/>
              </w:rPr>
              <w:t>*</w:t>
            </w:r>
          </w:p>
        </w:tc>
      </w:tr>
      <w:tr w:rsidR="00925007" w14:paraId="4492EA5D" w14:textId="77777777" w:rsidTr="0029437B">
        <w:tc>
          <w:tcPr>
            <w:tcW w:w="1327" w:type="dxa"/>
            <w:vAlign w:val="center"/>
          </w:tcPr>
          <w:p w14:paraId="0E6E62D3" w14:textId="77777777" w:rsidR="00925007" w:rsidRPr="00EC3978" w:rsidRDefault="00925007" w:rsidP="0029437B">
            <w:pPr>
              <w:spacing w:line="280" w:lineRule="exact"/>
              <w:rPr>
                <w:rFonts w:ascii="Times New Roman" w:hAnsi="Times New Roman" w:cs="Times New Roman"/>
                <w:i/>
                <w:sz w:val="20"/>
                <w:szCs w:val="20"/>
              </w:rPr>
            </w:pPr>
            <w:r w:rsidRPr="00EC3978">
              <w:rPr>
                <w:rFonts w:ascii="Times New Roman" w:hAnsi="Times New Roman" w:cs="Times New Roman" w:hint="eastAsia"/>
                <w:i/>
                <w:sz w:val="20"/>
                <w:szCs w:val="20"/>
              </w:rPr>
              <w:t>Term_Spr</w:t>
            </w:r>
          </w:p>
        </w:tc>
        <w:tc>
          <w:tcPr>
            <w:tcW w:w="1017" w:type="dxa"/>
            <w:tcBorders>
              <w:right w:val="nil"/>
            </w:tcBorders>
            <w:vAlign w:val="center"/>
          </w:tcPr>
          <w:p w14:paraId="3BD1E695" w14:textId="77777777" w:rsidR="00925007" w:rsidRPr="006A5C9B" w:rsidRDefault="00925007" w:rsidP="0029437B">
            <w:pPr>
              <w:spacing w:line="280" w:lineRule="exact"/>
              <w:jc w:val="center"/>
              <w:rPr>
                <w:rFonts w:ascii="Times New Roman" w:hAnsi="Times New Roman" w:cs="Times New Roman"/>
                <w:color w:val="000000"/>
                <w:sz w:val="20"/>
                <w:szCs w:val="20"/>
              </w:rPr>
            </w:pPr>
          </w:p>
        </w:tc>
        <w:tc>
          <w:tcPr>
            <w:tcW w:w="1018" w:type="dxa"/>
            <w:tcBorders>
              <w:left w:val="nil"/>
              <w:right w:val="nil"/>
            </w:tcBorders>
            <w:vAlign w:val="center"/>
          </w:tcPr>
          <w:p w14:paraId="7E87C93A" w14:textId="77777777" w:rsidR="00925007" w:rsidRPr="006A5C9B" w:rsidRDefault="00925007" w:rsidP="0029437B">
            <w:pPr>
              <w:tabs>
                <w:tab w:val="decimal" w:pos="250"/>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3A3FB3E0" w14:textId="77777777" w:rsidR="00925007" w:rsidRPr="006A5C9B" w:rsidRDefault="00925007" w:rsidP="0029437B">
            <w:pPr>
              <w:tabs>
                <w:tab w:val="decimal" w:pos="280"/>
              </w:tabs>
              <w:spacing w:line="280" w:lineRule="exact"/>
              <w:rPr>
                <w:rFonts w:ascii="Times New Roman" w:eastAsia="Times New Roman" w:hAnsi="Times New Roman" w:cs="Times New Roman"/>
                <w:sz w:val="20"/>
                <w:szCs w:val="20"/>
              </w:rPr>
            </w:pPr>
          </w:p>
        </w:tc>
        <w:tc>
          <w:tcPr>
            <w:tcW w:w="1275" w:type="dxa"/>
            <w:tcBorders>
              <w:left w:val="nil"/>
              <w:right w:val="nil"/>
            </w:tcBorders>
            <w:vAlign w:val="center"/>
          </w:tcPr>
          <w:p w14:paraId="38E47151" w14:textId="77777777" w:rsidR="00925007" w:rsidRPr="006A5C9B" w:rsidRDefault="00925007" w:rsidP="0029437B">
            <w:pPr>
              <w:tabs>
                <w:tab w:val="decimal" w:pos="370"/>
              </w:tabs>
              <w:spacing w:line="280" w:lineRule="exact"/>
              <w:rPr>
                <w:rFonts w:ascii="Times New Roman" w:eastAsia="Times New Roman" w:hAnsi="Times New Roman" w:cs="Times New Roman"/>
                <w:sz w:val="20"/>
                <w:szCs w:val="20"/>
              </w:rPr>
            </w:pPr>
          </w:p>
        </w:tc>
        <w:tc>
          <w:tcPr>
            <w:tcW w:w="1247" w:type="dxa"/>
            <w:tcBorders>
              <w:left w:val="nil"/>
              <w:right w:val="nil"/>
            </w:tcBorders>
            <w:vAlign w:val="center"/>
          </w:tcPr>
          <w:p w14:paraId="2EDBFB35"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4840DE5F" w14:textId="77777777" w:rsidR="00925007" w:rsidRPr="006A5C9B" w:rsidRDefault="00925007" w:rsidP="0029437B">
            <w:pPr>
              <w:tabs>
                <w:tab w:val="decimal" w:pos="200"/>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7B9FAC3D" w14:textId="77777777" w:rsidR="00925007" w:rsidRPr="006A5C9B" w:rsidRDefault="00925007" w:rsidP="0029437B">
            <w:pPr>
              <w:tabs>
                <w:tab w:val="decimal" w:pos="282"/>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379F962C" w14:textId="77777777" w:rsidR="00925007" w:rsidRPr="006A5C9B" w:rsidRDefault="00925007" w:rsidP="0029437B">
            <w:pPr>
              <w:tabs>
                <w:tab w:val="decimal" w:pos="314"/>
              </w:tabs>
              <w:spacing w:line="280" w:lineRule="exact"/>
              <w:rPr>
                <w:rFonts w:ascii="Times New Roman" w:eastAsia="Times New Roman" w:hAnsi="Times New Roman" w:cs="Times New Roman"/>
                <w:sz w:val="20"/>
                <w:szCs w:val="20"/>
              </w:rPr>
            </w:pPr>
          </w:p>
        </w:tc>
        <w:tc>
          <w:tcPr>
            <w:tcW w:w="964" w:type="dxa"/>
            <w:tcBorders>
              <w:left w:val="nil"/>
              <w:right w:val="nil"/>
            </w:tcBorders>
            <w:vAlign w:val="center"/>
          </w:tcPr>
          <w:p w14:paraId="0050F320" w14:textId="77777777" w:rsidR="00925007" w:rsidRPr="006A5C9B" w:rsidRDefault="00925007" w:rsidP="0029437B">
            <w:pPr>
              <w:tabs>
                <w:tab w:val="decimal" w:pos="270"/>
              </w:tabs>
              <w:spacing w:line="280" w:lineRule="exact"/>
              <w:rPr>
                <w:rFonts w:ascii="Times New Roman" w:eastAsia="Times New Roman" w:hAnsi="Times New Roman" w:cs="Times New Roman"/>
                <w:sz w:val="20"/>
                <w:szCs w:val="20"/>
              </w:rPr>
            </w:pPr>
          </w:p>
        </w:tc>
        <w:tc>
          <w:tcPr>
            <w:tcW w:w="1134" w:type="dxa"/>
            <w:tcBorders>
              <w:left w:val="nil"/>
              <w:right w:val="nil"/>
            </w:tcBorders>
            <w:vAlign w:val="center"/>
          </w:tcPr>
          <w:p w14:paraId="3C8BBDA2" w14:textId="77777777" w:rsidR="00925007" w:rsidRPr="006A5C9B" w:rsidRDefault="00925007" w:rsidP="0029437B">
            <w:pPr>
              <w:tabs>
                <w:tab w:val="decimal" w:pos="310"/>
              </w:tabs>
              <w:spacing w:line="280" w:lineRule="exact"/>
              <w:rPr>
                <w:rFonts w:ascii="Times New Roman" w:eastAsia="Times New Roman" w:hAnsi="Times New Roman" w:cs="Times New Roman"/>
                <w:sz w:val="20"/>
                <w:szCs w:val="20"/>
              </w:rPr>
            </w:pPr>
          </w:p>
        </w:tc>
        <w:tc>
          <w:tcPr>
            <w:tcW w:w="992" w:type="dxa"/>
            <w:tcBorders>
              <w:left w:val="nil"/>
              <w:right w:val="nil"/>
            </w:tcBorders>
            <w:vAlign w:val="center"/>
          </w:tcPr>
          <w:p w14:paraId="57F6D3BB" w14:textId="77777777" w:rsidR="00925007" w:rsidRPr="006A5C9B" w:rsidRDefault="00925007" w:rsidP="0029437B">
            <w:pPr>
              <w:tabs>
                <w:tab w:val="decimal" w:pos="231"/>
              </w:tabs>
              <w:spacing w:line="280" w:lineRule="exact"/>
              <w:rPr>
                <w:rFonts w:ascii="Times New Roman" w:eastAsia="Times New Roman" w:hAnsi="Times New Roman" w:cs="Times New Roman"/>
                <w:sz w:val="20"/>
                <w:szCs w:val="20"/>
              </w:rPr>
            </w:pPr>
          </w:p>
        </w:tc>
        <w:tc>
          <w:tcPr>
            <w:tcW w:w="993" w:type="dxa"/>
            <w:tcBorders>
              <w:left w:val="nil"/>
              <w:right w:val="nil"/>
            </w:tcBorders>
            <w:vAlign w:val="center"/>
          </w:tcPr>
          <w:p w14:paraId="33259A08" w14:textId="77777777" w:rsidR="00925007" w:rsidRPr="006A5C9B" w:rsidRDefault="00925007" w:rsidP="0029437B">
            <w:pPr>
              <w:tabs>
                <w:tab w:val="decimal" w:pos="260"/>
              </w:tabs>
              <w:spacing w:line="280" w:lineRule="exact"/>
              <w:rPr>
                <w:rFonts w:ascii="Times New Roman" w:eastAsia="新細明體" w:hAnsi="Times New Roman" w:cs="Times New Roman"/>
                <w:color w:val="000000"/>
                <w:sz w:val="20"/>
                <w:szCs w:val="20"/>
              </w:rPr>
            </w:pPr>
            <w:r w:rsidRPr="006A5C9B">
              <w:rPr>
                <w:rFonts w:ascii="Times New Roman" w:hAnsi="Times New Roman" w:cs="Times New Roman"/>
                <w:color w:val="000000"/>
                <w:sz w:val="20"/>
                <w:szCs w:val="20"/>
              </w:rPr>
              <w:t>0.055</w:t>
            </w:r>
          </w:p>
        </w:tc>
      </w:tr>
      <w:tr w:rsidR="00925007" w14:paraId="366260C8"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left w:val="nil"/>
              <w:bottom w:val="single" w:sz="4" w:space="0" w:color="auto"/>
              <w:right w:val="nil"/>
            </w:tcBorders>
          </w:tcPr>
          <w:p w14:paraId="5335DA3C" w14:textId="77777777" w:rsidR="00925007" w:rsidRPr="00EC3978" w:rsidRDefault="00925007" w:rsidP="0029437B">
            <w:pPr>
              <w:spacing w:line="280" w:lineRule="exact"/>
              <w:rPr>
                <w:rFonts w:ascii="Times New Roman" w:hAnsi="Times New Roman" w:cs="Times New Roman"/>
                <w:sz w:val="20"/>
                <w:szCs w:val="20"/>
              </w:rPr>
            </w:pPr>
          </w:p>
        </w:tc>
        <w:tc>
          <w:tcPr>
            <w:tcW w:w="1017" w:type="dxa"/>
            <w:tcBorders>
              <w:left w:val="nil"/>
              <w:bottom w:val="single" w:sz="4" w:space="0" w:color="auto"/>
              <w:right w:val="nil"/>
            </w:tcBorders>
          </w:tcPr>
          <w:p w14:paraId="54021194"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Factor1</w:t>
            </w:r>
          </w:p>
        </w:tc>
        <w:tc>
          <w:tcPr>
            <w:tcW w:w="1018" w:type="dxa"/>
            <w:tcBorders>
              <w:left w:val="nil"/>
              <w:bottom w:val="single" w:sz="4" w:space="0" w:color="auto"/>
              <w:right w:val="nil"/>
            </w:tcBorders>
          </w:tcPr>
          <w:p w14:paraId="6E69362D"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Factor</w:t>
            </w:r>
            <w:r w:rsidRPr="00EC3978">
              <w:rPr>
                <w:rFonts w:ascii="Times New Roman" w:hAnsi="Times New Roman" w:cs="Times New Roman"/>
                <w:i/>
                <w:sz w:val="20"/>
                <w:szCs w:val="20"/>
              </w:rPr>
              <w:t>2</w:t>
            </w:r>
          </w:p>
        </w:tc>
        <w:tc>
          <w:tcPr>
            <w:tcW w:w="993" w:type="dxa"/>
            <w:tcBorders>
              <w:left w:val="nil"/>
              <w:bottom w:val="single" w:sz="4" w:space="0" w:color="auto"/>
              <w:right w:val="nil"/>
            </w:tcBorders>
          </w:tcPr>
          <w:p w14:paraId="55504D43"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Factor</w:t>
            </w:r>
            <w:r w:rsidRPr="00EC3978">
              <w:rPr>
                <w:rFonts w:ascii="Times New Roman" w:hAnsi="Times New Roman" w:cs="Times New Roman"/>
                <w:i/>
                <w:sz w:val="20"/>
                <w:szCs w:val="20"/>
              </w:rPr>
              <w:t>3</w:t>
            </w:r>
          </w:p>
        </w:tc>
        <w:tc>
          <w:tcPr>
            <w:tcW w:w="1275" w:type="dxa"/>
            <w:tcBorders>
              <w:left w:val="nil"/>
              <w:bottom w:val="single" w:sz="4" w:space="0" w:color="auto"/>
              <w:right w:val="nil"/>
            </w:tcBorders>
          </w:tcPr>
          <w:p w14:paraId="04B0F95B"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Factor</w:t>
            </w:r>
            <w:r w:rsidRPr="00EC3978">
              <w:rPr>
                <w:rFonts w:ascii="Times New Roman" w:hAnsi="Times New Roman" w:cs="Times New Roman"/>
                <w:i/>
                <w:sz w:val="20"/>
                <w:szCs w:val="20"/>
              </w:rPr>
              <w:t>4</w:t>
            </w:r>
          </w:p>
        </w:tc>
        <w:tc>
          <w:tcPr>
            <w:tcW w:w="1247" w:type="dxa"/>
            <w:tcBorders>
              <w:left w:val="nil"/>
              <w:bottom w:val="single" w:sz="4" w:space="0" w:color="auto"/>
              <w:right w:val="nil"/>
            </w:tcBorders>
          </w:tcPr>
          <w:p w14:paraId="145ACEC2"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Factor</w:t>
            </w:r>
            <w:r w:rsidRPr="00EC3978">
              <w:rPr>
                <w:rFonts w:ascii="Times New Roman" w:hAnsi="Times New Roman" w:cs="Times New Roman"/>
                <w:i/>
                <w:sz w:val="20"/>
                <w:szCs w:val="20"/>
              </w:rPr>
              <w:t>5</w:t>
            </w:r>
          </w:p>
        </w:tc>
        <w:tc>
          <w:tcPr>
            <w:tcW w:w="964" w:type="dxa"/>
            <w:tcBorders>
              <w:left w:val="nil"/>
              <w:bottom w:val="single" w:sz="4" w:space="0" w:color="auto"/>
              <w:right w:val="nil"/>
            </w:tcBorders>
          </w:tcPr>
          <w:p w14:paraId="7ABAB2E1" w14:textId="77777777" w:rsidR="00925007" w:rsidRPr="00EC3978" w:rsidRDefault="00925007" w:rsidP="0029437B">
            <w:pPr>
              <w:spacing w:line="280" w:lineRule="exact"/>
              <w:jc w:val="center"/>
              <w:rPr>
                <w:rFonts w:ascii="Times New Roman" w:hAnsi="Times New Roman" w:cs="Times New Roman"/>
                <w:i/>
                <w:sz w:val="20"/>
                <w:szCs w:val="20"/>
              </w:rPr>
            </w:pPr>
            <w:r w:rsidRPr="00EC3978">
              <w:rPr>
                <w:rFonts w:ascii="Times New Roman" w:hAnsi="Times New Roman" w:cs="Times New Roman" w:hint="eastAsia"/>
                <w:i/>
                <w:sz w:val="20"/>
                <w:szCs w:val="20"/>
              </w:rPr>
              <w:t>Factor</w:t>
            </w:r>
            <w:r>
              <w:rPr>
                <w:rFonts w:ascii="Times New Roman" w:hAnsi="Times New Roman" w:cs="Times New Roman"/>
                <w:i/>
                <w:sz w:val="20"/>
                <w:szCs w:val="20"/>
              </w:rPr>
              <w:t>6</w:t>
            </w:r>
          </w:p>
        </w:tc>
        <w:tc>
          <w:tcPr>
            <w:tcW w:w="964" w:type="dxa"/>
            <w:tcBorders>
              <w:left w:val="nil"/>
              <w:bottom w:val="single" w:sz="4" w:space="0" w:color="auto"/>
              <w:right w:val="nil"/>
            </w:tcBorders>
          </w:tcPr>
          <w:p w14:paraId="676D49BD" w14:textId="77777777" w:rsidR="00925007" w:rsidRPr="00EC3978" w:rsidRDefault="00925007" w:rsidP="0029437B">
            <w:pPr>
              <w:spacing w:line="280" w:lineRule="exact"/>
              <w:jc w:val="center"/>
              <w:rPr>
                <w:rFonts w:ascii="Times New Roman" w:hAnsi="Times New Roman" w:cs="Times New Roman"/>
                <w:i/>
                <w:sz w:val="20"/>
                <w:szCs w:val="20"/>
              </w:rPr>
            </w:pPr>
          </w:p>
        </w:tc>
        <w:tc>
          <w:tcPr>
            <w:tcW w:w="964" w:type="dxa"/>
            <w:tcBorders>
              <w:left w:val="nil"/>
              <w:bottom w:val="single" w:sz="4" w:space="0" w:color="auto"/>
              <w:right w:val="nil"/>
            </w:tcBorders>
          </w:tcPr>
          <w:p w14:paraId="66B2B5FE" w14:textId="77777777" w:rsidR="00925007" w:rsidRPr="00EC3978" w:rsidRDefault="00925007" w:rsidP="0029437B">
            <w:pPr>
              <w:spacing w:line="280" w:lineRule="exact"/>
              <w:jc w:val="center"/>
              <w:rPr>
                <w:rFonts w:ascii="Times New Roman" w:hAnsi="Times New Roman" w:cs="Times New Roman"/>
                <w:i/>
                <w:sz w:val="20"/>
                <w:szCs w:val="20"/>
              </w:rPr>
            </w:pPr>
          </w:p>
        </w:tc>
        <w:tc>
          <w:tcPr>
            <w:tcW w:w="964" w:type="dxa"/>
            <w:tcBorders>
              <w:left w:val="nil"/>
              <w:bottom w:val="single" w:sz="4" w:space="0" w:color="auto"/>
              <w:right w:val="nil"/>
            </w:tcBorders>
          </w:tcPr>
          <w:p w14:paraId="70FCC569" w14:textId="77777777" w:rsidR="00925007" w:rsidRPr="00EC3978" w:rsidRDefault="00925007" w:rsidP="0029437B">
            <w:pPr>
              <w:spacing w:line="280" w:lineRule="exact"/>
              <w:jc w:val="center"/>
              <w:rPr>
                <w:rFonts w:ascii="Times New Roman" w:hAnsi="Times New Roman" w:cs="Times New Roman"/>
                <w:i/>
                <w:sz w:val="20"/>
                <w:szCs w:val="20"/>
              </w:rPr>
            </w:pPr>
          </w:p>
        </w:tc>
        <w:tc>
          <w:tcPr>
            <w:tcW w:w="1134" w:type="dxa"/>
            <w:tcBorders>
              <w:left w:val="nil"/>
              <w:bottom w:val="single" w:sz="4" w:space="0" w:color="auto"/>
              <w:right w:val="nil"/>
            </w:tcBorders>
          </w:tcPr>
          <w:p w14:paraId="2C2E3BD1" w14:textId="77777777" w:rsidR="00925007" w:rsidRPr="00EC3978" w:rsidRDefault="00925007" w:rsidP="0029437B">
            <w:pPr>
              <w:spacing w:line="280" w:lineRule="exact"/>
              <w:jc w:val="center"/>
              <w:rPr>
                <w:rFonts w:ascii="Times New Roman" w:hAnsi="Times New Roman" w:cs="Times New Roman"/>
                <w:i/>
                <w:sz w:val="20"/>
                <w:szCs w:val="20"/>
              </w:rPr>
            </w:pPr>
          </w:p>
        </w:tc>
        <w:tc>
          <w:tcPr>
            <w:tcW w:w="992" w:type="dxa"/>
            <w:tcBorders>
              <w:left w:val="nil"/>
              <w:bottom w:val="single" w:sz="4" w:space="0" w:color="auto"/>
              <w:right w:val="nil"/>
            </w:tcBorders>
          </w:tcPr>
          <w:p w14:paraId="04B97F58" w14:textId="77777777" w:rsidR="00925007" w:rsidRPr="00EC3978" w:rsidRDefault="00925007" w:rsidP="0029437B">
            <w:pPr>
              <w:spacing w:line="280" w:lineRule="exact"/>
              <w:jc w:val="center"/>
              <w:rPr>
                <w:rFonts w:ascii="Times New Roman" w:hAnsi="Times New Roman" w:cs="Times New Roman"/>
                <w:i/>
                <w:sz w:val="20"/>
                <w:szCs w:val="20"/>
              </w:rPr>
            </w:pPr>
          </w:p>
        </w:tc>
        <w:tc>
          <w:tcPr>
            <w:tcW w:w="993" w:type="dxa"/>
            <w:tcBorders>
              <w:left w:val="nil"/>
              <w:bottom w:val="single" w:sz="4" w:space="0" w:color="auto"/>
              <w:right w:val="nil"/>
            </w:tcBorders>
          </w:tcPr>
          <w:p w14:paraId="5B571235" w14:textId="77777777" w:rsidR="00925007" w:rsidRPr="00EC3978" w:rsidRDefault="00925007" w:rsidP="0029437B">
            <w:pPr>
              <w:spacing w:line="280" w:lineRule="exact"/>
              <w:jc w:val="center"/>
              <w:rPr>
                <w:rFonts w:ascii="Times New Roman" w:hAnsi="Times New Roman" w:cs="Times New Roman"/>
                <w:i/>
                <w:sz w:val="20"/>
                <w:szCs w:val="20"/>
              </w:rPr>
            </w:pPr>
          </w:p>
        </w:tc>
      </w:tr>
      <w:tr w:rsidR="00925007" w14:paraId="49AC9BA9" w14:textId="77777777" w:rsidTr="0029437B">
        <w:tblPrEx>
          <w:tblBorders>
            <w:left w:val="single" w:sz="4" w:space="0" w:color="auto"/>
            <w:right w:val="single" w:sz="4" w:space="0" w:color="auto"/>
            <w:insideH w:val="single" w:sz="4" w:space="0" w:color="auto"/>
            <w:insideV w:val="single" w:sz="4" w:space="0" w:color="auto"/>
          </w:tblBorders>
        </w:tblPrEx>
        <w:tc>
          <w:tcPr>
            <w:tcW w:w="13852" w:type="dxa"/>
            <w:gridSpan w:val="13"/>
            <w:tcBorders>
              <w:top w:val="single" w:sz="4" w:space="0" w:color="auto"/>
              <w:left w:val="nil"/>
              <w:bottom w:val="nil"/>
              <w:right w:val="nil"/>
            </w:tcBorders>
            <w:vAlign w:val="center"/>
          </w:tcPr>
          <w:p w14:paraId="7727B736" w14:textId="6C674F02" w:rsidR="00925007" w:rsidRPr="00EC3978" w:rsidRDefault="00925007" w:rsidP="0083761C">
            <w:pPr>
              <w:spacing w:line="280" w:lineRule="exact"/>
              <w:jc w:val="both"/>
              <w:rPr>
                <w:rFonts w:ascii="Times New Roman" w:hAnsi="Times New Roman" w:cs="Times New Roman"/>
                <w:i/>
                <w:sz w:val="20"/>
                <w:szCs w:val="20"/>
              </w:rPr>
            </w:pPr>
            <w:r w:rsidRPr="00EC3978">
              <w:rPr>
                <w:rFonts w:ascii="Times New Roman" w:hAnsi="Times New Roman" w:cs="Times New Roman" w:hint="eastAsia"/>
                <w:sz w:val="20"/>
                <w:szCs w:val="20"/>
              </w:rPr>
              <w:t xml:space="preserve">Panel </w:t>
            </w:r>
            <w:r w:rsidRPr="00EC3978">
              <w:rPr>
                <w:rFonts w:ascii="Times New Roman" w:hAnsi="Times New Roman" w:cs="Times New Roman"/>
                <w:sz w:val="20"/>
                <w:szCs w:val="20"/>
              </w:rPr>
              <w:t>B</w:t>
            </w:r>
            <w:r w:rsidRPr="00EC3978">
              <w:rPr>
                <w:rFonts w:ascii="Times New Roman" w:hAnsi="Times New Roman" w:cs="Times New Roman" w:hint="eastAsia"/>
                <w:sz w:val="20"/>
                <w:szCs w:val="20"/>
              </w:rPr>
              <w:t xml:space="preserve">: </w:t>
            </w:r>
            <w:r w:rsidR="0083761C">
              <w:rPr>
                <w:rFonts w:ascii="Times New Roman" w:hAnsi="Times New Roman" w:cs="Times New Roman"/>
                <w:sz w:val="20"/>
                <w:szCs w:val="20"/>
              </w:rPr>
              <w:t>C</w:t>
            </w:r>
            <w:r w:rsidRPr="00EC3978">
              <w:rPr>
                <w:rFonts w:ascii="Times New Roman" w:hAnsi="Times New Roman" w:cs="Times New Roman" w:hint="eastAsia"/>
                <w:sz w:val="20"/>
                <w:szCs w:val="20"/>
              </w:rPr>
              <w:t>orrelations</w:t>
            </w:r>
            <w:r w:rsidRPr="00EC3978">
              <w:rPr>
                <w:rFonts w:ascii="Times New Roman" w:hAnsi="Times New Roman" w:cs="Times New Roman"/>
                <w:sz w:val="20"/>
                <w:szCs w:val="20"/>
              </w:rPr>
              <w:t xml:space="preserve"> after principal component analysis</w:t>
            </w:r>
          </w:p>
        </w:tc>
      </w:tr>
      <w:tr w:rsidR="00925007" w14:paraId="3320B8A6"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bottom w:val="nil"/>
              <w:right w:val="nil"/>
            </w:tcBorders>
            <w:vAlign w:val="center"/>
          </w:tcPr>
          <w:p w14:paraId="7DDC84C6" w14:textId="77777777" w:rsidR="00925007" w:rsidRPr="00EC3978" w:rsidRDefault="00925007" w:rsidP="0029437B">
            <w:pPr>
              <w:spacing w:line="280" w:lineRule="exact"/>
              <w:rPr>
                <w:rFonts w:ascii="Times New Roman" w:hAnsi="Times New Roman" w:cs="Times New Roman"/>
                <w:i/>
                <w:iCs/>
                <w:color w:val="000000"/>
                <w:sz w:val="20"/>
                <w:szCs w:val="20"/>
              </w:rPr>
            </w:pPr>
            <w:r w:rsidRPr="00EC3978">
              <w:rPr>
                <w:rFonts w:ascii="Times New Roman" w:hAnsi="Times New Roman" w:cs="Times New Roman"/>
                <w:i/>
                <w:iCs/>
                <w:color w:val="000000"/>
                <w:sz w:val="20"/>
                <w:szCs w:val="20"/>
              </w:rPr>
              <w:t>∆CI_Loan</w:t>
            </w:r>
          </w:p>
        </w:tc>
        <w:tc>
          <w:tcPr>
            <w:tcW w:w="1017" w:type="dxa"/>
            <w:tcBorders>
              <w:top w:val="nil"/>
              <w:left w:val="nil"/>
              <w:bottom w:val="nil"/>
              <w:right w:val="nil"/>
            </w:tcBorders>
            <w:vAlign w:val="center"/>
          </w:tcPr>
          <w:p w14:paraId="0FDE8CBB"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-0.143</w:t>
            </w:r>
          </w:p>
        </w:tc>
        <w:tc>
          <w:tcPr>
            <w:tcW w:w="1018" w:type="dxa"/>
            <w:tcBorders>
              <w:top w:val="nil"/>
              <w:left w:val="nil"/>
              <w:bottom w:val="nil"/>
              <w:right w:val="nil"/>
            </w:tcBorders>
            <w:vAlign w:val="center"/>
          </w:tcPr>
          <w:p w14:paraId="67C98B84"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0.088</w:t>
            </w:r>
          </w:p>
        </w:tc>
        <w:tc>
          <w:tcPr>
            <w:tcW w:w="993" w:type="dxa"/>
            <w:tcBorders>
              <w:top w:val="nil"/>
              <w:left w:val="nil"/>
              <w:bottom w:val="nil"/>
              <w:right w:val="nil"/>
            </w:tcBorders>
            <w:vAlign w:val="center"/>
          </w:tcPr>
          <w:p w14:paraId="39FA3FE3"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-0.327</w:t>
            </w:r>
            <w:r w:rsidRPr="003868AB">
              <w:rPr>
                <w:rFonts w:ascii="Times New Roman" w:hAnsi="Times New Roman" w:cs="Times New Roman"/>
                <w:color w:val="000000"/>
                <w:sz w:val="20"/>
                <w:szCs w:val="20"/>
                <w:vertAlign w:val="superscript"/>
              </w:rPr>
              <w:t>***</w:t>
            </w:r>
          </w:p>
        </w:tc>
        <w:tc>
          <w:tcPr>
            <w:tcW w:w="1275" w:type="dxa"/>
            <w:tcBorders>
              <w:top w:val="nil"/>
              <w:left w:val="nil"/>
              <w:bottom w:val="nil"/>
              <w:right w:val="nil"/>
            </w:tcBorders>
            <w:vAlign w:val="center"/>
          </w:tcPr>
          <w:p w14:paraId="5071C7BF"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0.101</w:t>
            </w:r>
          </w:p>
        </w:tc>
        <w:tc>
          <w:tcPr>
            <w:tcW w:w="1247" w:type="dxa"/>
            <w:tcBorders>
              <w:top w:val="nil"/>
              <w:left w:val="nil"/>
              <w:bottom w:val="nil"/>
              <w:right w:val="nil"/>
            </w:tcBorders>
            <w:vAlign w:val="center"/>
          </w:tcPr>
          <w:p w14:paraId="3808D3E3"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0.051</w:t>
            </w:r>
          </w:p>
        </w:tc>
        <w:tc>
          <w:tcPr>
            <w:tcW w:w="964" w:type="dxa"/>
            <w:tcBorders>
              <w:top w:val="nil"/>
              <w:left w:val="nil"/>
              <w:bottom w:val="nil"/>
              <w:right w:val="nil"/>
            </w:tcBorders>
            <w:vAlign w:val="center"/>
          </w:tcPr>
          <w:p w14:paraId="45B57BB7"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0.228</w:t>
            </w:r>
            <w:r>
              <w:rPr>
                <w:rFonts w:ascii="Times New Roman" w:hAnsi="Times New Roman" w:cs="Times New Roman"/>
                <w:color w:val="000000"/>
                <w:sz w:val="20"/>
                <w:szCs w:val="20"/>
                <w:vertAlign w:val="superscript"/>
              </w:rPr>
              <w:t>**</w:t>
            </w:r>
          </w:p>
        </w:tc>
        <w:tc>
          <w:tcPr>
            <w:tcW w:w="964" w:type="dxa"/>
            <w:tcBorders>
              <w:top w:val="nil"/>
              <w:left w:val="nil"/>
              <w:bottom w:val="nil"/>
              <w:right w:val="nil"/>
            </w:tcBorders>
            <w:vAlign w:val="center"/>
          </w:tcPr>
          <w:p w14:paraId="5E57E38F"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6CC1DB1C"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63FFAC2B"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bottom w:val="nil"/>
              <w:right w:val="nil"/>
            </w:tcBorders>
            <w:vAlign w:val="center"/>
          </w:tcPr>
          <w:p w14:paraId="627CD625"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bottom w:val="nil"/>
              <w:right w:val="nil"/>
            </w:tcBorders>
            <w:vAlign w:val="center"/>
          </w:tcPr>
          <w:p w14:paraId="6A303230"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bottom w:val="nil"/>
              <w:right w:val="nil"/>
            </w:tcBorders>
            <w:vAlign w:val="center"/>
          </w:tcPr>
          <w:p w14:paraId="56025917"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r w:rsidR="00925007" w14:paraId="4E947C53"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bottom w:val="nil"/>
              <w:right w:val="nil"/>
            </w:tcBorders>
            <w:vAlign w:val="center"/>
          </w:tcPr>
          <w:p w14:paraId="0958845C"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Synd_Loan</w:t>
            </w:r>
          </w:p>
        </w:tc>
        <w:tc>
          <w:tcPr>
            <w:tcW w:w="1017" w:type="dxa"/>
            <w:tcBorders>
              <w:top w:val="nil"/>
              <w:left w:val="nil"/>
              <w:bottom w:val="nil"/>
              <w:right w:val="nil"/>
            </w:tcBorders>
            <w:vAlign w:val="center"/>
          </w:tcPr>
          <w:p w14:paraId="23DA7EE9"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-0.218</w:t>
            </w:r>
            <w:r>
              <w:rPr>
                <w:rFonts w:ascii="Times New Roman" w:hAnsi="Times New Roman" w:cs="Times New Roman"/>
                <w:color w:val="000000"/>
                <w:sz w:val="20"/>
                <w:szCs w:val="20"/>
                <w:vertAlign w:val="superscript"/>
              </w:rPr>
              <w:t>**</w:t>
            </w:r>
          </w:p>
        </w:tc>
        <w:tc>
          <w:tcPr>
            <w:tcW w:w="1018" w:type="dxa"/>
            <w:tcBorders>
              <w:top w:val="nil"/>
              <w:left w:val="nil"/>
              <w:bottom w:val="nil"/>
              <w:right w:val="nil"/>
            </w:tcBorders>
            <w:vAlign w:val="center"/>
          </w:tcPr>
          <w:p w14:paraId="1043810C"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-0.266</w:t>
            </w:r>
            <w:r w:rsidRPr="003868AB">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08BA5904"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-0.068</w:t>
            </w:r>
          </w:p>
        </w:tc>
        <w:tc>
          <w:tcPr>
            <w:tcW w:w="1275" w:type="dxa"/>
            <w:tcBorders>
              <w:top w:val="nil"/>
              <w:left w:val="nil"/>
              <w:bottom w:val="nil"/>
              <w:right w:val="nil"/>
            </w:tcBorders>
            <w:vAlign w:val="center"/>
          </w:tcPr>
          <w:p w14:paraId="6FF5B602"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-0.248</w:t>
            </w:r>
            <w:r>
              <w:rPr>
                <w:rFonts w:ascii="Times New Roman" w:hAnsi="Times New Roman" w:cs="Times New Roman"/>
                <w:color w:val="000000"/>
                <w:sz w:val="20"/>
                <w:szCs w:val="20"/>
                <w:vertAlign w:val="superscript"/>
              </w:rPr>
              <w:t>**</w:t>
            </w:r>
          </w:p>
        </w:tc>
        <w:tc>
          <w:tcPr>
            <w:tcW w:w="1247" w:type="dxa"/>
            <w:tcBorders>
              <w:top w:val="nil"/>
              <w:left w:val="nil"/>
              <w:bottom w:val="nil"/>
              <w:right w:val="nil"/>
            </w:tcBorders>
            <w:vAlign w:val="center"/>
          </w:tcPr>
          <w:p w14:paraId="40545679"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0.178</w:t>
            </w:r>
            <w:r>
              <w:rPr>
                <w:rFonts w:ascii="Times New Roman" w:hAnsi="Times New Roman" w:cs="Times New Roman"/>
                <w:color w:val="000000"/>
                <w:sz w:val="20"/>
                <w:szCs w:val="20"/>
                <w:vertAlign w:val="superscript"/>
              </w:rPr>
              <w:t>*</w:t>
            </w:r>
          </w:p>
        </w:tc>
        <w:tc>
          <w:tcPr>
            <w:tcW w:w="964" w:type="dxa"/>
            <w:tcBorders>
              <w:top w:val="nil"/>
              <w:left w:val="nil"/>
              <w:bottom w:val="nil"/>
              <w:right w:val="nil"/>
            </w:tcBorders>
            <w:vAlign w:val="center"/>
          </w:tcPr>
          <w:p w14:paraId="7E864196"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0.152</w:t>
            </w:r>
          </w:p>
        </w:tc>
        <w:tc>
          <w:tcPr>
            <w:tcW w:w="964" w:type="dxa"/>
            <w:tcBorders>
              <w:top w:val="nil"/>
              <w:left w:val="nil"/>
              <w:bottom w:val="nil"/>
              <w:right w:val="nil"/>
            </w:tcBorders>
            <w:vAlign w:val="center"/>
          </w:tcPr>
          <w:p w14:paraId="7F8F0B54"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2DB28ED3"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361E117D"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bottom w:val="nil"/>
              <w:right w:val="nil"/>
            </w:tcBorders>
            <w:vAlign w:val="center"/>
          </w:tcPr>
          <w:p w14:paraId="3A91C446"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bottom w:val="nil"/>
              <w:right w:val="nil"/>
            </w:tcBorders>
            <w:vAlign w:val="center"/>
          </w:tcPr>
          <w:p w14:paraId="05237F6F"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bottom w:val="nil"/>
              <w:right w:val="nil"/>
            </w:tcBorders>
            <w:vAlign w:val="center"/>
          </w:tcPr>
          <w:p w14:paraId="3DDC7C2C"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r w:rsidR="00925007" w14:paraId="01A62392"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bottom w:val="nil"/>
              <w:right w:val="nil"/>
            </w:tcBorders>
            <w:vAlign w:val="center"/>
          </w:tcPr>
          <w:p w14:paraId="31725BE9" w14:textId="77777777" w:rsidR="00925007"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iCs/>
                <w:color w:val="000000"/>
                <w:sz w:val="20"/>
                <w:szCs w:val="20"/>
              </w:rPr>
              <w:t>Spr_Synd</w:t>
            </w:r>
          </w:p>
        </w:tc>
        <w:tc>
          <w:tcPr>
            <w:tcW w:w="1017" w:type="dxa"/>
            <w:tcBorders>
              <w:top w:val="nil"/>
              <w:left w:val="nil"/>
              <w:bottom w:val="nil"/>
              <w:right w:val="nil"/>
            </w:tcBorders>
            <w:vAlign w:val="center"/>
          </w:tcPr>
          <w:p w14:paraId="0B3CD8BB"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-0.261</w:t>
            </w:r>
            <w:r w:rsidRPr="003868AB">
              <w:rPr>
                <w:rFonts w:ascii="Times New Roman" w:hAnsi="Times New Roman" w:cs="Times New Roman"/>
                <w:color w:val="000000"/>
                <w:sz w:val="20"/>
                <w:szCs w:val="20"/>
                <w:vertAlign w:val="superscript"/>
              </w:rPr>
              <w:t>***</w:t>
            </w:r>
          </w:p>
        </w:tc>
        <w:tc>
          <w:tcPr>
            <w:tcW w:w="1018" w:type="dxa"/>
            <w:tcBorders>
              <w:top w:val="nil"/>
              <w:left w:val="nil"/>
              <w:bottom w:val="nil"/>
              <w:right w:val="nil"/>
            </w:tcBorders>
            <w:vAlign w:val="center"/>
          </w:tcPr>
          <w:p w14:paraId="385344AB"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-0.189</w:t>
            </w:r>
            <w:r>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6D7E1994"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0.458</w:t>
            </w:r>
            <w:r w:rsidRPr="003868AB">
              <w:rPr>
                <w:rFonts w:ascii="Times New Roman" w:hAnsi="Times New Roman" w:cs="Times New Roman"/>
                <w:color w:val="000000"/>
                <w:sz w:val="20"/>
                <w:szCs w:val="20"/>
                <w:vertAlign w:val="superscript"/>
              </w:rPr>
              <w:t>***</w:t>
            </w:r>
          </w:p>
        </w:tc>
        <w:tc>
          <w:tcPr>
            <w:tcW w:w="1275" w:type="dxa"/>
            <w:tcBorders>
              <w:top w:val="nil"/>
              <w:left w:val="nil"/>
              <w:bottom w:val="nil"/>
              <w:right w:val="nil"/>
            </w:tcBorders>
            <w:vAlign w:val="center"/>
          </w:tcPr>
          <w:p w14:paraId="19A82B38"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-0.529</w:t>
            </w:r>
            <w:r w:rsidRPr="003868AB">
              <w:rPr>
                <w:rFonts w:ascii="Times New Roman" w:hAnsi="Times New Roman" w:cs="Times New Roman"/>
                <w:color w:val="000000"/>
                <w:sz w:val="20"/>
                <w:szCs w:val="20"/>
                <w:vertAlign w:val="superscript"/>
              </w:rPr>
              <w:t>***</w:t>
            </w:r>
          </w:p>
        </w:tc>
        <w:tc>
          <w:tcPr>
            <w:tcW w:w="1247" w:type="dxa"/>
            <w:tcBorders>
              <w:top w:val="nil"/>
              <w:left w:val="nil"/>
              <w:bottom w:val="nil"/>
              <w:right w:val="nil"/>
            </w:tcBorders>
            <w:vAlign w:val="center"/>
          </w:tcPr>
          <w:p w14:paraId="638EBEE9"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0.088</w:t>
            </w:r>
          </w:p>
        </w:tc>
        <w:tc>
          <w:tcPr>
            <w:tcW w:w="964" w:type="dxa"/>
            <w:tcBorders>
              <w:top w:val="nil"/>
              <w:left w:val="nil"/>
              <w:bottom w:val="nil"/>
              <w:right w:val="nil"/>
            </w:tcBorders>
            <w:vAlign w:val="center"/>
          </w:tcPr>
          <w:p w14:paraId="763ED9FE"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-0.065</w:t>
            </w:r>
          </w:p>
        </w:tc>
        <w:tc>
          <w:tcPr>
            <w:tcW w:w="964" w:type="dxa"/>
            <w:tcBorders>
              <w:top w:val="nil"/>
              <w:left w:val="nil"/>
              <w:bottom w:val="nil"/>
              <w:right w:val="nil"/>
            </w:tcBorders>
            <w:vAlign w:val="center"/>
          </w:tcPr>
          <w:p w14:paraId="643DCDF2"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3212B3AD"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1283C9DE"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bottom w:val="nil"/>
              <w:right w:val="nil"/>
            </w:tcBorders>
            <w:vAlign w:val="center"/>
          </w:tcPr>
          <w:p w14:paraId="64E41134"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bottom w:val="nil"/>
              <w:right w:val="nil"/>
            </w:tcBorders>
            <w:vAlign w:val="center"/>
          </w:tcPr>
          <w:p w14:paraId="1C74E3A4"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bottom w:val="nil"/>
              <w:right w:val="nil"/>
            </w:tcBorders>
            <w:vAlign w:val="center"/>
          </w:tcPr>
          <w:p w14:paraId="4B4DC5B2"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r w:rsidR="00925007" w14:paraId="237C946F"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bottom w:val="nil"/>
              <w:right w:val="nil"/>
            </w:tcBorders>
            <w:vAlign w:val="center"/>
          </w:tcPr>
          <w:p w14:paraId="5DAF4CB6"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sz w:val="20"/>
                <w:szCs w:val="20"/>
              </w:rPr>
              <w:t>S</w:t>
            </w:r>
            <w:r>
              <w:rPr>
                <w:rFonts w:ascii="Times New Roman" w:hAnsi="Times New Roman" w:cs="Times New Roman"/>
                <w:i/>
                <w:sz w:val="20"/>
                <w:szCs w:val="20"/>
              </w:rPr>
              <w:t>pr_LM</w:t>
            </w:r>
          </w:p>
        </w:tc>
        <w:tc>
          <w:tcPr>
            <w:tcW w:w="1017" w:type="dxa"/>
            <w:tcBorders>
              <w:top w:val="nil"/>
              <w:left w:val="nil"/>
              <w:bottom w:val="nil"/>
              <w:right w:val="nil"/>
            </w:tcBorders>
            <w:vAlign w:val="center"/>
          </w:tcPr>
          <w:p w14:paraId="291ED68F"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-0.057</w:t>
            </w:r>
          </w:p>
        </w:tc>
        <w:tc>
          <w:tcPr>
            <w:tcW w:w="1018" w:type="dxa"/>
            <w:tcBorders>
              <w:top w:val="nil"/>
              <w:left w:val="nil"/>
              <w:bottom w:val="nil"/>
              <w:right w:val="nil"/>
            </w:tcBorders>
            <w:vAlign w:val="center"/>
          </w:tcPr>
          <w:p w14:paraId="1F19F53B"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0.471</w:t>
            </w:r>
            <w:r w:rsidRPr="003868AB">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41E1A4A3"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0.260</w:t>
            </w:r>
            <w:r w:rsidRPr="003868AB">
              <w:rPr>
                <w:rFonts w:ascii="Times New Roman" w:hAnsi="Times New Roman" w:cs="Times New Roman"/>
                <w:color w:val="000000"/>
                <w:sz w:val="20"/>
                <w:szCs w:val="20"/>
                <w:vertAlign w:val="superscript"/>
              </w:rPr>
              <w:t>***</w:t>
            </w:r>
          </w:p>
        </w:tc>
        <w:tc>
          <w:tcPr>
            <w:tcW w:w="1275" w:type="dxa"/>
            <w:tcBorders>
              <w:top w:val="nil"/>
              <w:left w:val="nil"/>
              <w:bottom w:val="nil"/>
              <w:right w:val="nil"/>
            </w:tcBorders>
            <w:vAlign w:val="center"/>
          </w:tcPr>
          <w:p w14:paraId="0875D0A4"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0.198</w:t>
            </w:r>
            <w:r>
              <w:rPr>
                <w:rFonts w:ascii="Times New Roman" w:hAnsi="Times New Roman" w:cs="Times New Roman"/>
                <w:color w:val="000000"/>
                <w:sz w:val="20"/>
                <w:szCs w:val="20"/>
                <w:vertAlign w:val="superscript"/>
              </w:rPr>
              <w:t>**</w:t>
            </w:r>
          </w:p>
        </w:tc>
        <w:tc>
          <w:tcPr>
            <w:tcW w:w="1247" w:type="dxa"/>
            <w:tcBorders>
              <w:top w:val="nil"/>
              <w:left w:val="nil"/>
              <w:bottom w:val="nil"/>
              <w:right w:val="nil"/>
            </w:tcBorders>
            <w:vAlign w:val="center"/>
          </w:tcPr>
          <w:p w14:paraId="2AD1EBBC"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-0.107</w:t>
            </w:r>
          </w:p>
        </w:tc>
        <w:tc>
          <w:tcPr>
            <w:tcW w:w="964" w:type="dxa"/>
            <w:tcBorders>
              <w:top w:val="nil"/>
              <w:left w:val="nil"/>
              <w:bottom w:val="nil"/>
              <w:right w:val="nil"/>
            </w:tcBorders>
            <w:vAlign w:val="center"/>
          </w:tcPr>
          <w:p w14:paraId="524D6210"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-0.027</w:t>
            </w:r>
          </w:p>
        </w:tc>
        <w:tc>
          <w:tcPr>
            <w:tcW w:w="964" w:type="dxa"/>
            <w:tcBorders>
              <w:top w:val="nil"/>
              <w:left w:val="nil"/>
              <w:bottom w:val="nil"/>
              <w:right w:val="nil"/>
            </w:tcBorders>
            <w:vAlign w:val="center"/>
          </w:tcPr>
          <w:p w14:paraId="7DB7E6B0"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1319D6D7"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6153B4F8"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bottom w:val="nil"/>
              <w:right w:val="nil"/>
            </w:tcBorders>
            <w:vAlign w:val="center"/>
          </w:tcPr>
          <w:p w14:paraId="63527724"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bottom w:val="nil"/>
              <w:right w:val="nil"/>
            </w:tcBorders>
            <w:vAlign w:val="center"/>
          </w:tcPr>
          <w:p w14:paraId="6DB1933E"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bottom w:val="nil"/>
              <w:right w:val="nil"/>
            </w:tcBorders>
            <w:vAlign w:val="center"/>
          </w:tcPr>
          <w:p w14:paraId="506A9255"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r w:rsidR="00925007" w14:paraId="5B4D9097"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bottom w:val="nil"/>
              <w:right w:val="nil"/>
            </w:tcBorders>
            <w:vAlign w:val="center"/>
          </w:tcPr>
          <w:p w14:paraId="7D5719B9"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sz w:val="20"/>
                <w:szCs w:val="20"/>
              </w:rPr>
              <w:t>Satndard_LM</w:t>
            </w:r>
          </w:p>
        </w:tc>
        <w:tc>
          <w:tcPr>
            <w:tcW w:w="1017" w:type="dxa"/>
            <w:tcBorders>
              <w:top w:val="nil"/>
              <w:left w:val="nil"/>
              <w:bottom w:val="nil"/>
              <w:right w:val="nil"/>
            </w:tcBorders>
            <w:vAlign w:val="center"/>
          </w:tcPr>
          <w:p w14:paraId="1182BF47"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-0.106</w:t>
            </w:r>
          </w:p>
        </w:tc>
        <w:tc>
          <w:tcPr>
            <w:tcW w:w="1018" w:type="dxa"/>
            <w:tcBorders>
              <w:top w:val="nil"/>
              <w:left w:val="nil"/>
              <w:bottom w:val="nil"/>
              <w:right w:val="nil"/>
            </w:tcBorders>
            <w:vAlign w:val="center"/>
          </w:tcPr>
          <w:p w14:paraId="5FF0BE03"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0.547</w:t>
            </w:r>
            <w:r w:rsidRPr="003868AB">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31B67446"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0.221</w:t>
            </w:r>
            <w:r>
              <w:rPr>
                <w:rFonts w:ascii="Times New Roman" w:hAnsi="Times New Roman" w:cs="Times New Roman"/>
                <w:color w:val="000000"/>
                <w:sz w:val="20"/>
                <w:szCs w:val="20"/>
                <w:vertAlign w:val="superscript"/>
              </w:rPr>
              <w:t>**</w:t>
            </w:r>
          </w:p>
        </w:tc>
        <w:tc>
          <w:tcPr>
            <w:tcW w:w="1275" w:type="dxa"/>
            <w:tcBorders>
              <w:top w:val="nil"/>
              <w:left w:val="nil"/>
              <w:bottom w:val="nil"/>
              <w:right w:val="nil"/>
            </w:tcBorders>
            <w:vAlign w:val="center"/>
          </w:tcPr>
          <w:p w14:paraId="3F976C95"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0.245</w:t>
            </w:r>
            <w:r>
              <w:rPr>
                <w:rFonts w:ascii="Times New Roman" w:hAnsi="Times New Roman" w:cs="Times New Roman"/>
                <w:color w:val="000000"/>
                <w:sz w:val="20"/>
                <w:szCs w:val="20"/>
                <w:vertAlign w:val="superscript"/>
              </w:rPr>
              <w:t>**</w:t>
            </w:r>
          </w:p>
        </w:tc>
        <w:tc>
          <w:tcPr>
            <w:tcW w:w="1247" w:type="dxa"/>
            <w:tcBorders>
              <w:top w:val="nil"/>
              <w:left w:val="nil"/>
              <w:bottom w:val="nil"/>
              <w:right w:val="nil"/>
            </w:tcBorders>
            <w:vAlign w:val="center"/>
          </w:tcPr>
          <w:p w14:paraId="2F2D7116"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-0.099</w:t>
            </w:r>
          </w:p>
        </w:tc>
        <w:tc>
          <w:tcPr>
            <w:tcW w:w="964" w:type="dxa"/>
            <w:tcBorders>
              <w:top w:val="nil"/>
              <w:left w:val="nil"/>
              <w:bottom w:val="nil"/>
              <w:right w:val="nil"/>
            </w:tcBorders>
            <w:vAlign w:val="center"/>
          </w:tcPr>
          <w:p w14:paraId="7D58347A"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0.049</w:t>
            </w:r>
          </w:p>
        </w:tc>
        <w:tc>
          <w:tcPr>
            <w:tcW w:w="964" w:type="dxa"/>
            <w:tcBorders>
              <w:top w:val="nil"/>
              <w:left w:val="nil"/>
              <w:bottom w:val="nil"/>
              <w:right w:val="nil"/>
            </w:tcBorders>
            <w:vAlign w:val="center"/>
          </w:tcPr>
          <w:p w14:paraId="3BE22435"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6D93D0B4"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5ABA8638"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bottom w:val="nil"/>
              <w:right w:val="nil"/>
            </w:tcBorders>
            <w:vAlign w:val="center"/>
          </w:tcPr>
          <w:p w14:paraId="40BC03DC"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bottom w:val="nil"/>
              <w:right w:val="nil"/>
            </w:tcBorders>
            <w:vAlign w:val="center"/>
          </w:tcPr>
          <w:p w14:paraId="07ECEFE2"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bottom w:val="nil"/>
              <w:right w:val="nil"/>
            </w:tcBorders>
            <w:vAlign w:val="center"/>
          </w:tcPr>
          <w:p w14:paraId="27BB663A"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r w:rsidR="00925007" w14:paraId="500E65CB"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bottom w:val="nil"/>
              <w:right w:val="nil"/>
            </w:tcBorders>
            <w:vAlign w:val="center"/>
          </w:tcPr>
          <w:p w14:paraId="49B0E2AC" w14:textId="77777777" w:rsidR="00925007" w:rsidRPr="00EC3978" w:rsidRDefault="00925007" w:rsidP="0029437B">
            <w:pPr>
              <w:spacing w:line="280" w:lineRule="exact"/>
              <w:rPr>
                <w:rFonts w:ascii="Times New Roman" w:hAnsi="Times New Roman" w:cs="Times New Roman"/>
                <w:i/>
                <w:iCs/>
                <w:color w:val="000000"/>
                <w:sz w:val="20"/>
                <w:szCs w:val="20"/>
              </w:rPr>
            </w:pPr>
            <w:r>
              <w:rPr>
                <w:rFonts w:ascii="Times New Roman" w:hAnsi="Times New Roman" w:cs="Times New Roman" w:hint="eastAsia"/>
                <w:i/>
                <w:sz w:val="20"/>
                <w:szCs w:val="20"/>
              </w:rPr>
              <w:t>Demand_LM</w:t>
            </w:r>
          </w:p>
        </w:tc>
        <w:tc>
          <w:tcPr>
            <w:tcW w:w="1017" w:type="dxa"/>
            <w:tcBorders>
              <w:top w:val="nil"/>
              <w:left w:val="nil"/>
              <w:bottom w:val="nil"/>
              <w:right w:val="nil"/>
            </w:tcBorders>
            <w:vAlign w:val="center"/>
          </w:tcPr>
          <w:p w14:paraId="21F4B6F4"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0.207</w:t>
            </w:r>
            <w:r>
              <w:rPr>
                <w:rFonts w:ascii="Times New Roman" w:hAnsi="Times New Roman" w:cs="Times New Roman"/>
                <w:color w:val="000000"/>
                <w:sz w:val="20"/>
                <w:szCs w:val="20"/>
                <w:vertAlign w:val="superscript"/>
              </w:rPr>
              <w:t>**</w:t>
            </w:r>
          </w:p>
        </w:tc>
        <w:tc>
          <w:tcPr>
            <w:tcW w:w="1018" w:type="dxa"/>
            <w:tcBorders>
              <w:top w:val="nil"/>
              <w:left w:val="nil"/>
              <w:bottom w:val="nil"/>
              <w:right w:val="nil"/>
            </w:tcBorders>
            <w:vAlign w:val="center"/>
          </w:tcPr>
          <w:p w14:paraId="441B79A5"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-0.431</w:t>
            </w:r>
            <w:r w:rsidRPr="003868AB">
              <w:rPr>
                <w:rFonts w:ascii="Times New Roman" w:hAnsi="Times New Roman" w:cs="Times New Roman"/>
                <w:color w:val="000000"/>
                <w:sz w:val="20"/>
                <w:szCs w:val="20"/>
                <w:vertAlign w:val="superscript"/>
              </w:rPr>
              <w:t>***</w:t>
            </w:r>
          </w:p>
        </w:tc>
        <w:tc>
          <w:tcPr>
            <w:tcW w:w="993" w:type="dxa"/>
            <w:tcBorders>
              <w:top w:val="nil"/>
              <w:left w:val="nil"/>
              <w:bottom w:val="nil"/>
              <w:right w:val="nil"/>
            </w:tcBorders>
            <w:vAlign w:val="center"/>
          </w:tcPr>
          <w:p w14:paraId="6D1681F6"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-0.336</w:t>
            </w:r>
            <w:r w:rsidRPr="003868AB">
              <w:rPr>
                <w:rFonts w:ascii="Times New Roman" w:hAnsi="Times New Roman" w:cs="Times New Roman"/>
                <w:color w:val="000000"/>
                <w:sz w:val="20"/>
                <w:szCs w:val="20"/>
                <w:vertAlign w:val="superscript"/>
              </w:rPr>
              <w:t>***</w:t>
            </w:r>
          </w:p>
        </w:tc>
        <w:tc>
          <w:tcPr>
            <w:tcW w:w="1275" w:type="dxa"/>
            <w:tcBorders>
              <w:top w:val="nil"/>
              <w:left w:val="nil"/>
              <w:bottom w:val="nil"/>
              <w:right w:val="nil"/>
            </w:tcBorders>
            <w:vAlign w:val="center"/>
          </w:tcPr>
          <w:p w14:paraId="13849E1A"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0.023</w:t>
            </w:r>
          </w:p>
        </w:tc>
        <w:tc>
          <w:tcPr>
            <w:tcW w:w="1247" w:type="dxa"/>
            <w:tcBorders>
              <w:top w:val="nil"/>
              <w:left w:val="nil"/>
              <w:bottom w:val="nil"/>
              <w:right w:val="nil"/>
            </w:tcBorders>
            <w:vAlign w:val="center"/>
          </w:tcPr>
          <w:p w14:paraId="61B1F5EE"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0.020</w:t>
            </w:r>
          </w:p>
        </w:tc>
        <w:tc>
          <w:tcPr>
            <w:tcW w:w="964" w:type="dxa"/>
            <w:tcBorders>
              <w:top w:val="nil"/>
              <w:left w:val="nil"/>
              <w:bottom w:val="nil"/>
              <w:right w:val="nil"/>
            </w:tcBorders>
            <w:vAlign w:val="center"/>
          </w:tcPr>
          <w:p w14:paraId="033484EE"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0.187</w:t>
            </w:r>
            <w:r>
              <w:rPr>
                <w:rFonts w:ascii="Times New Roman" w:hAnsi="Times New Roman" w:cs="Times New Roman"/>
                <w:color w:val="000000"/>
                <w:sz w:val="20"/>
                <w:szCs w:val="20"/>
                <w:vertAlign w:val="superscript"/>
              </w:rPr>
              <w:t>*</w:t>
            </w:r>
          </w:p>
        </w:tc>
        <w:tc>
          <w:tcPr>
            <w:tcW w:w="964" w:type="dxa"/>
            <w:tcBorders>
              <w:top w:val="nil"/>
              <w:left w:val="nil"/>
              <w:bottom w:val="nil"/>
              <w:right w:val="nil"/>
            </w:tcBorders>
            <w:vAlign w:val="center"/>
          </w:tcPr>
          <w:p w14:paraId="10DC4D4B"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6E8DFDE1"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bottom w:val="nil"/>
              <w:right w:val="nil"/>
            </w:tcBorders>
            <w:vAlign w:val="center"/>
          </w:tcPr>
          <w:p w14:paraId="58518418"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bottom w:val="nil"/>
              <w:right w:val="nil"/>
            </w:tcBorders>
            <w:vAlign w:val="center"/>
          </w:tcPr>
          <w:p w14:paraId="4A45612A"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bottom w:val="nil"/>
              <w:right w:val="nil"/>
            </w:tcBorders>
            <w:vAlign w:val="center"/>
          </w:tcPr>
          <w:p w14:paraId="62AD56EE"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bottom w:val="nil"/>
              <w:right w:val="nil"/>
            </w:tcBorders>
            <w:vAlign w:val="center"/>
          </w:tcPr>
          <w:p w14:paraId="2EECDE06"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r w:rsidR="00925007" w14:paraId="037AF50F" w14:textId="77777777" w:rsidTr="0029437B">
        <w:tblPrEx>
          <w:tblBorders>
            <w:left w:val="single" w:sz="4" w:space="0" w:color="auto"/>
            <w:right w:val="single" w:sz="4" w:space="0" w:color="auto"/>
            <w:insideH w:val="single" w:sz="4" w:space="0" w:color="auto"/>
            <w:insideV w:val="single" w:sz="4" w:space="0" w:color="auto"/>
          </w:tblBorders>
        </w:tblPrEx>
        <w:tc>
          <w:tcPr>
            <w:tcW w:w="1327" w:type="dxa"/>
            <w:tcBorders>
              <w:top w:val="nil"/>
              <w:left w:val="nil"/>
              <w:right w:val="nil"/>
            </w:tcBorders>
            <w:vAlign w:val="center"/>
          </w:tcPr>
          <w:p w14:paraId="5363FFE0" w14:textId="77777777" w:rsidR="00925007" w:rsidRPr="00EC3978" w:rsidRDefault="00925007" w:rsidP="0029437B">
            <w:pPr>
              <w:spacing w:line="280" w:lineRule="exact"/>
              <w:rPr>
                <w:rFonts w:ascii="Times New Roman" w:hAnsi="Times New Roman" w:cs="Times New Roman"/>
                <w:i/>
                <w:iCs/>
                <w:color w:val="000000"/>
                <w:sz w:val="20"/>
                <w:szCs w:val="20"/>
              </w:rPr>
            </w:pPr>
            <w:r w:rsidRPr="00EC3978">
              <w:rPr>
                <w:rFonts w:ascii="Times New Roman" w:hAnsi="Times New Roman" w:cs="Times New Roman"/>
                <w:i/>
                <w:sz w:val="20"/>
                <w:szCs w:val="20"/>
              </w:rPr>
              <w:t>log</w:t>
            </w:r>
            <w:r w:rsidRPr="00EC3978">
              <w:rPr>
                <w:rFonts w:ascii="Times New Roman" w:hAnsi="Times New Roman" w:cs="Times New Roman" w:hint="eastAsia"/>
                <w:i/>
                <w:sz w:val="20"/>
                <w:szCs w:val="20"/>
              </w:rPr>
              <w:t>VRP</w:t>
            </w:r>
          </w:p>
        </w:tc>
        <w:tc>
          <w:tcPr>
            <w:tcW w:w="1017" w:type="dxa"/>
            <w:tcBorders>
              <w:top w:val="nil"/>
              <w:left w:val="nil"/>
              <w:right w:val="nil"/>
            </w:tcBorders>
            <w:vAlign w:val="center"/>
          </w:tcPr>
          <w:p w14:paraId="3E5C1A21" w14:textId="77777777" w:rsidR="00925007" w:rsidRDefault="00925007" w:rsidP="0029437B">
            <w:pPr>
              <w:tabs>
                <w:tab w:val="decimal" w:pos="2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-0.106</w:t>
            </w:r>
          </w:p>
        </w:tc>
        <w:tc>
          <w:tcPr>
            <w:tcW w:w="1018" w:type="dxa"/>
            <w:tcBorders>
              <w:top w:val="nil"/>
              <w:left w:val="nil"/>
              <w:right w:val="nil"/>
            </w:tcBorders>
            <w:vAlign w:val="center"/>
          </w:tcPr>
          <w:p w14:paraId="6E633116" w14:textId="77777777" w:rsidR="00925007" w:rsidRDefault="00925007" w:rsidP="0029437B">
            <w:pPr>
              <w:tabs>
                <w:tab w:val="decimal" w:pos="29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0.244</w:t>
            </w:r>
            <w:r>
              <w:rPr>
                <w:rFonts w:ascii="Times New Roman" w:hAnsi="Times New Roman" w:cs="Times New Roman"/>
                <w:color w:val="000000"/>
                <w:sz w:val="20"/>
                <w:szCs w:val="20"/>
                <w:vertAlign w:val="superscript"/>
              </w:rPr>
              <w:t>**</w:t>
            </w:r>
          </w:p>
        </w:tc>
        <w:tc>
          <w:tcPr>
            <w:tcW w:w="993" w:type="dxa"/>
            <w:tcBorders>
              <w:top w:val="nil"/>
              <w:left w:val="nil"/>
              <w:right w:val="nil"/>
            </w:tcBorders>
            <w:vAlign w:val="center"/>
          </w:tcPr>
          <w:p w14:paraId="6E5F15AC" w14:textId="77777777" w:rsidR="00925007" w:rsidRDefault="00925007" w:rsidP="0029437B">
            <w:pPr>
              <w:tabs>
                <w:tab w:val="decimal" w:pos="33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0.171</w:t>
            </w:r>
            <w:r>
              <w:rPr>
                <w:rFonts w:ascii="Times New Roman" w:hAnsi="Times New Roman" w:cs="Times New Roman"/>
                <w:color w:val="000000"/>
                <w:sz w:val="20"/>
                <w:szCs w:val="20"/>
                <w:vertAlign w:val="superscript"/>
              </w:rPr>
              <w:t>*</w:t>
            </w:r>
          </w:p>
        </w:tc>
        <w:tc>
          <w:tcPr>
            <w:tcW w:w="1275" w:type="dxa"/>
            <w:tcBorders>
              <w:top w:val="nil"/>
              <w:left w:val="nil"/>
              <w:right w:val="nil"/>
            </w:tcBorders>
            <w:vAlign w:val="center"/>
          </w:tcPr>
          <w:p w14:paraId="50CF4AEA" w14:textId="77777777" w:rsidR="00925007" w:rsidRDefault="00925007" w:rsidP="0029437B">
            <w:pPr>
              <w:tabs>
                <w:tab w:val="decimal" w:pos="40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-0.018</w:t>
            </w:r>
          </w:p>
        </w:tc>
        <w:tc>
          <w:tcPr>
            <w:tcW w:w="1247" w:type="dxa"/>
            <w:tcBorders>
              <w:top w:val="nil"/>
              <w:left w:val="nil"/>
              <w:right w:val="nil"/>
            </w:tcBorders>
            <w:vAlign w:val="center"/>
          </w:tcPr>
          <w:p w14:paraId="3B79CE59" w14:textId="77777777" w:rsidR="00925007" w:rsidRDefault="00925007" w:rsidP="0029437B">
            <w:pPr>
              <w:tabs>
                <w:tab w:val="decimal" w:pos="34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0.041</w:t>
            </w:r>
          </w:p>
        </w:tc>
        <w:tc>
          <w:tcPr>
            <w:tcW w:w="964" w:type="dxa"/>
            <w:tcBorders>
              <w:top w:val="nil"/>
              <w:left w:val="nil"/>
              <w:right w:val="nil"/>
            </w:tcBorders>
            <w:vAlign w:val="center"/>
          </w:tcPr>
          <w:p w14:paraId="4AEDEFEB" w14:textId="77777777" w:rsidR="00925007" w:rsidRDefault="00925007" w:rsidP="0029437B">
            <w:pPr>
              <w:tabs>
                <w:tab w:val="decimal" w:pos="210"/>
              </w:tabs>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-0.139</w:t>
            </w:r>
          </w:p>
        </w:tc>
        <w:tc>
          <w:tcPr>
            <w:tcW w:w="964" w:type="dxa"/>
            <w:tcBorders>
              <w:top w:val="nil"/>
              <w:left w:val="nil"/>
              <w:right w:val="nil"/>
            </w:tcBorders>
            <w:vAlign w:val="center"/>
          </w:tcPr>
          <w:p w14:paraId="2519DE11"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right w:val="nil"/>
            </w:tcBorders>
            <w:vAlign w:val="center"/>
          </w:tcPr>
          <w:p w14:paraId="6C6907E4"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64" w:type="dxa"/>
            <w:tcBorders>
              <w:top w:val="nil"/>
              <w:left w:val="nil"/>
              <w:right w:val="nil"/>
            </w:tcBorders>
            <w:vAlign w:val="center"/>
          </w:tcPr>
          <w:p w14:paraId="1460AE3E"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1134" w:type="dxa"/>
            <w:tcBorders>
              <w:top w:val="nil"/>
              <w:left w:val="nil"/>
              <w:right w:val="nil"/>
            </w:tcBorders>
            <w:vAlign w:val="center"/>
          </w:tcPr>
          <w:p w14:paraId="5C09301A"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2" w:type="dxa"/>
            <w:tcBorders>
              <w:top w:val="nil"/>
              <w:left w:val="nil"/>
              <w:right w:val="nil"/>
            </w:tcBorders>
            <w:vAlign w:val="center"/>
          </w:tcPr>
          <w:p w14:paraId="67873C65" w14:textId="77777777" w:rsidR="00925007" w:rsidRPr="00EC3978" w:rsidRDefault="00925007" w:rsidP="0029437B">
            <w:pPr>
              <w:spacing w:line="280" w:lineRule="exact"/>
              <w:jc w:val="center"/>
              <w:rPr>
                <w:rFonts w:ascii="Times New Roman" w:hAnsi="Times New Roman" w:cs="Times New Roman"/>
                <w:color w:val="000000"/>
                <w:sz w:val="20"/>
                <w:szCs w:val="20"/>
              </w:rPr>
            </w:pPr>
          </w:p>
        </w:tc>
        <w:tc>
          <w:tcPr>
            <w:tcW w:w="993" w:type="dxa"/>
            <w:tcBorders>
              <w:top w:val="nil"/>
              <w:left w:val="nil"/>
              <w:right w:val="nil"/>
            </w:tcBorders>
            <w:vAlign w:val="center"/>
          </w:tcPr>
          <w:p w14:paraId="4A24DE8F" w14:textId="77777777" w:rsidR="00925007" w:rsidRPr="00EC3978" w:rsidRDefault="00925007" w:rsidP="0029437B">
            <w:pPr>
              <w:spacing w:line="280" w:lineRule="exact"/>
              <w:jc w:val="center"/>
              <w:rPr>
                <w:rFonts w:ascii="Times New Roman" w:hAnsi="Times New Roman" w:cs="Times New Roman"/>
                <w:color w:val="000000"/>
                <w:sz w:val="20"/>
                <w:szCs w:val="20"/>
              </w:rPr>
            </w:pPr>
          </w:p>
        </w:tc>
      </w:tr>
    </w:tbl>
    <w:p w14:paraId="1F180383" w14:textId="77777777" w:rsidR="00925007" w:rsidRPr="00FF4169" w:rsidRDefault="00925007" w:rsidP="0092500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NOTES</w:t>
      </w:r>
      <w:r w:rsidRPr="00FF4169">
        <w:rPr>
          <w:rFonts w:ascii="Times New Roman" w:hAnsi="Times New Roman" w:cs="Times New Roman"/>
          <w:sz w:val="20"/>
          <w:szCs w:val="20"/>
        </w:rPr>
        <w:t xml:space="preserve">: </w:t>
      </w:r>
      <w:r w:rsidRPr="00FF4169">
        <w:rPr>
          <w:rFonts w:ascii="Times New Roman" w:hAnsi="Times New Roman" w:cs="Times New Roman"/>
          <w:i/>
          <w:sz w:val="20"/>
          <w:szCs w:val="20"/>
        </w:rPr>
        <w:t>Factor1</w:t>
      </w:r>
      <w:r w:rsidRPr="00FF4169">
        <w:rPr>
          <w:rFonts w:ascii="Times New Roman" w:hAnsi="Times New Roman" w:cs="Times New Roman"/>
          <w:sz w:val="20"/>
          <w:szCs w:val="20"/>
        </w:rPr>
        <w:t xml:space="preserve">, </w:t>
      </w:r>
      <w:r w:rsidRPr="00FF4169">
        <w:rPr>
          <w:rFonts w:ascii="Times New Roman" w:hAnsi="Times New Roman" w:cs="Times New Roman"/>
          <w:i/>
          <w:sz w:val="20"/>
          <w:szCs w:val="20"/>
        </w:rPr>
        <w:t>Factor</w:t>
      </w:r>
      <w:r>
        <w:rPr>
          <w:rFonts w:ascii="Times New Roman" w:hAnsi="Times New Roman" w:cs="Times New Roman"/>
          <w:i/>
          <w:sz w:val="20"/>
          <w:szCs w:val="20"/>
        </w:rPr>
        <w:t>2</w:t>
      </w:r>
      <w:r w:rsidRPr="00FF4169">
        <w:rPr>
          <w:rFonts w:ascii="Times New Roman" w:hAnsi="Times New Roman" w:cs="Times New Roman"/>
          <w:sz w:val="20"/>
          <w:szCs w:val="20"/>
        </w:rPr>
        <w:t xml:space="preserve">, …, </w:t>
      </w:r>
      <w:r w:rsidRPr="00FF4169">
        <w:rPr>
          <w:rFonts w:ascii="Times New Roman" w:hAnsi="Times New Roman" w:cs="Times New Roman"/>
          <w:i/>
          <w:sz w:val="20"/>
          <w:szCs w:val="20"/>
        </w:rPr>
        <w:t>Factor6</w:t>
      </w:r>
      <w:r w:rsidRPr="00FF4169">
        <w:rPr>
          <w:rFonts w:ascii="Times New Roman" w:hAnsi="Times New Roman" w:cs="Times New Roman"/>
          <w:sz w:val="20"/>
          <w:szCs w:val="20"/>
        </w:rPr>
        <w:t xml:space="preserve"> are six principal components</w:t>
      </w:r>
      <w:r w:rsidRPr="00FF4169">
        <w:rPr>
          <w:rFonts w:ascii="Times New Roman" w:hAnsi="Times New Roman" w:cs="Times New Roman" w:hint="eastAsia"/>
          <w:sz w:val="20"/>
          <w:szCs w:val="20"/>
        </w:rPr>
        <w:t xml:space="preserve"> </w:t>
      </w:r>
      <w:r w:rsidRPr="00FF4169">
        <w:rPr>
          <w:rFonts w:ascii="Times New Roman" w:hAnsi="Times New Roman" w:cs="Times New Roman"/>
          <w:sz w:val="20"/>
          <w:szCs w:val="20"/>
        </w:rPr>
        <w:t>obtained from</w:t>
      </w:r>
      <w:r>
        <w:rPr>
          <w:rFonts w:ascii="Times New Roman" w:hAnsi="Times New Roman" w:cs="Times New Roman"/>
          <w:sz w:val="20"/>
          <w:szCs w:val="20"/>
        </w:rPr>
        <w:t xml:space="preserve"> the</w:t>
      </w:r>
      <w:r w:rsidRPr="00FF4169">
        <w:rPr>
          <w:rFonts w:ascii="Times New Roman" w:hAnsi="Times New Roman" w:cs="Times New Roman"/>
          <w:sz w:val="20"/>
          <w:szCs w:val="20"/>
        </w:rPr>
        <w:t xml:space="preserve"> Federal funds rate (</w:t>
      </w:r>
      <w:r w:rsidRPr="00FF4169">
        <w:rPr>
          <w:rFonts w:ascii="Times New Roman" w:hAnsi="Times New Roman" w:cs="Times New Roman"/>
          <w:i/>
          <w:sz w:val="20"/>
          <w:szCs w:val="20"/>
        </w:rPr>
        <w:t>FF_Rate</w:t>
      </w:r>
      <w:r w:rsidRPr="00FF4169">
        <w:rPr>
          <w:rFonts w:ascii="Times New Roman" w:hAnsi="Times New Roman" w:cs="Times New Roman"/>
          <w:sz w:val="20"/>
          <w:szCs w:val="20"/>
        </w:rPr>
        <w:t>), real GDP growth rate (</w:t>
      </w:r>
      <w:r w:rsidRPr="00FF4169">
        <w:rPr>
          <w:rFonts w:ascii="Times New Roman" w:hAnsi="Times New Roman" w:cs="Times New Roman"/>
          <w:i/>
          <w:sz w:val="20"/>
          <w:szCs w:val="20"/>
        </w:rPr>
        <w:t>GDP</w:t>
      </w:r>
      <w:r w:rsidRPr="00FF4169">
        <w:rPr>
          <w:rFonts w:ascii="Times New Roman" w:hAnsi="Times New Roman" w:cs="Times New Roman"/>
          <w:sz w:val="20"/>
          <w:szCs w:val="20"/>
        </w:rPr>
        <w:t>), percentage change in CPI (</w:t>
      </w:r>
      <w:r w:rsidRPr="00FF4169">
        <w:rPr>
          <w:rFonts w:ascii="Times New Roman" w:hAnsi="Times New Roman" w:cs="Times New Roman"/>
          <w:i/>
          <w:sz w:val="20"/>
          <w:szCs w:val="20"/>
        </w:rPr>
        <w:t>CPI</w:t>
      </w:r>
      <w:r>
        <w:rPr>
          <w:rFonts w:ascii="Times New Roman" w:hAnsi="Times New Roman" w:cs="Times New Roman"/>
          <w:sz w:val="20"/>
          <w:szCs w:val="20"/>
        </w:rPr>
        <w:t>)</w:t>
      </w:r>
      <w:r w:rsidRPr="00FF4169">
        <w:rPr>
          <w:rFonts w:ascii="Times New Roman" w:hAnsi="Times New Roman" w:cs="Times New Roman"/>
          <w:sz w:val="20"/>
          <w:szCs w:val="20"/>
        </w:rPr>
        <w:t>, Baa-Aaa corporate bond yield spread (</w:t>
      </w:r>
      <w:r w:rsidRPr="00FF4169">
        <w:rPr>
          <w:rFonts w:ascii="Times New Roman" w:hAnsi="Times New Roman" w:cs="Times New Roman" w:hint="eastAsia"/>
          <w:i/>
          <w:sz w:val="20"/>
          <w:szCs w:val="20"/>
        </w:rPr>
        <w:t>Credit_Spr</w:t>
      </w:r>
      <w:r w:rsidRPr="00FF4169">
        <w:rPr>
          <w:rFonts w:ascii="Times New Roman" w:hAnsi="Times New Roman" w:cs="Times New Roman"/>
          <w:sz w:val="20"/>
          <w:szCs w:val="20"/>
        </w:rPr>
        <w:t>), 10-1</w:t>
      </w:r>
      <w:r>
        <w:rPr>
          <w:rFonts w:ascii="Times New Roman" w:hAnsi="Times New Roman" w:cs="Times New Roman"/>
          <w:sz w:val="20"/>
          <w:szCs w:val="20"/>
        </w:rPr>
        <w:t xml:space="preserve"> </w:t>
      </w:r>
      <w:r w:rsidRPr="00FF4169">
        <w:rPr>
          <w:rFonts w:ascii="Times New Roman" w:hAnsi="Times New Roman" w:cs="Times New Roman"/>
          <w:sz w:val="20"/>
          <w:szCs w:val="20"/>
        </w:rPr>
        <w:t>year Treasury yield spread (</w:t>
      </w:r>
      <w:r w:rsidRPr="00FF4169">
        <w:rPr>
          <w:rFonts w:ascii="Times New Roman" w:hAnsi="Times New Roman" w:cs="Times New Roman"/>
          <w:i/>
          <w:sz w:val="20"/>
          <w:szCs w:val="20"/>
        </w:rPr>
        <w:t>Term_Spr</w:t>
      </w:r>
      <w:r w:rsidRPr="00FF4169">
        <w:rPr>
          <w:rFonts w:ascii="Times New Roman" w:hAnsi="Times New Roman" w:cs="Times New Roman"/>
          <w:sz w:val="20"/>
          <w:szCs w:val="20"/>
        </w:rPr>
        <w:t xml:space="preserve">), </w:t>
      </w:r>
      <w:r w:rsidRPr="00F7286A">
        <w:rPr>
          <w:rFonts w:ascii="Times New Roman" w:hAnsi="Times New Roman" w:cs="Times New Roman"/>
          <w:sz w:val="20"/>
          <w:szCs w:val="20"/>
        </w:rPr>
        <w:t>and the change in the</w:t>
      </w:r>
      <w:r w:rsidRPr="00FF4169">
        <w:rPr>
          <w:rFonts w:ascii="Times New Roman" w:hAnsi="Times New Roman" w:cs="Times New Roman"/>
          <w:sz w:val="20"/>
          <w:szCs w:val="20"/>
        </w:rPr>
        <w:t xml:space="preserve"> Index of Consumer Sentiment from the University of Michigan (</w:t>
      </w:r>
      <w:r w:rsidRPr="00FF4169">
        <w:rPr>
          <w:rFonts w:ascii="Times New Roman" w:hAnsi="Times New Roman" w:cs="Times New Roman" w:hint="eastAsia"/>
          <w:i/>
          <w:sz w:val="20"/>
          <w:szCs w:val="20"/>
        </w:rPr>
        <w:t>C</w:t>
      </w:r>
      <w:r w:rsidRPr="00FF4169">
        <w:rPr>
          <w:rFonts w:ascii="Times New Roman" w:hAnsi="Times New Roman" w:cs="Times New Roman"/>
          <w:i/>
          <w:sz w:val="20"/>
          <w:szCs w:val="20"/>
        </w:rPr>
        <w:t>SI</w:t>
      </w:r>
      <w:r w:rsidRPr="00FF4169">
        <w:rPr>
          <w:rFonts w:ascii="Times New Roman" w:hAnsi="Times New Roman" w:cs="Times New Roman"/>
          <w:sz w:val="20"/>
          <w:szCs w:val="20"/>
        </w:rPr>
        <w:t xml:space="preserve">) by using principal component analysis. </w:t>
      </w:r>
      <w:r w:rsidRPr="00FF4169">
        <w:rPr>
          <w:rFonts w:ascii="Times New Roman" w:hAnsi="Times New Roman" w:cs="Times New Roman"/>
          <w:color w:val="000000"/>
          <w:sz w:val="20"/>
          <w:szCs w:val="20"/>
          <w:vertAlign w:val="superscript"/>
        </w:rPr>
        <w:t>***</w:t>
      </w:r>
      <w:r w:rsidRPr="00FF4169">
        <w:rPr>
          <w:rFonts w:ascii="Times New Roman" w:hAnsi="Times New Roman" w:cs="Times New Roman"/>
          <w:sz w:val="20"/>
          <w:szCs w:val="20"/>
        </w:rPr>
        <w:t xml:space="preserve">, </w:t>
      </w:r>
      <w:r w:rsidRPr="00FF4169">
        <w:rPr>
          <w:rFonts w:ascii="Times New Roman" w:hAnsi="Times New Roman" w:cs="Times New Roman"/>
          <w:color w:val="000000"/>
          <w:sz w:val="20"/>
          <w:szCs w:val="20"/>
          <w:vertAlign w:val="superscript"/>
        </w:rPr>
        <w:t>**</w:t>
      </w:r>
      <w:r w:rsidRPr="00FF4169">
        <w:rPr>
          <w:rFonts w:ascii="Times New Roman" w:hAnsi="Times New Roman" w:cs="Times New Roman"/>
          <w:sz w:val="20"/>
          <w:szCs w:val="20"/>
        </w:rPr>
        <w:t xml:space="preserve">, and </w:t>
      </w:r>
      <w:r w:rsidRPr="00FF4169">
        <w:rPr>
          <w:rFonts w:ascii="Times New Roman" w:hAnsi="Times New Roman" w:cs="Times New Roman"/>
          <w:color w:val="000000"/>
          <w:sz w:val="20"/>
          <w:szCs w:val="20"/>
          <w:vertAlign w:val="superscript"/>
        </w:rPr>
        <w:t>*</w:t>
      </w:r>
      <w:r w:rsidRPr="00FF4169">
        <w:rPr>
          <w:rFonts w:ascii="Times New Roman" w:hAnsi="Times New Roman" w:cs="Times New Roman"/>
          <w:sz w:val="20"/>
          <w:szCs w:val="20"/>
        </w:rPr>
        <w:t xml:space="preserve"> represent significance at the 1%, 5%, and 10% levels, respectively. </w:t>
      </w:r>
      <w:r>
        <w:rPr>
          <w:rFonts w:ascii="Times New Roman" w:hAnsi="Times New Roman" w:cs="Times New Roman"/>
          <w:sz w:val="20"/>
          <w:szCs w:val="20"/>
        </w:rPr>
        <w:t>V</w:t>
      </w:r>
      <w:r w:rsidRPr="00FF4169">
        <w:rPr>
          <w:rFonts w:ascii="Times New Roman" w:hAnsi="Times New Roman" w:cs="Times New Roman"/>
          <w:sz w:val="20"/>
          <w:szCs w:val="20"/>
        </w:rPr>
        <w:t>ariable definitions are provided in Table A</w:t>
      </w:r>
      <w:r>
        <w:rPr>
          <w:rFonts w:ascii="Times New Roman" w:hAnsi="Times New Roman" w:cs="Times New Roman"/>
          <w:sz w:val="20"/>
          <w:szCs w:val="20"/>
        </w:rPr>
        <w:t>2</w:t>
      </w:r>
      <w:r w:rsidRPr="00FF4169">
        <w:rPr>
          <w:rFonts w:ascii="Times New Roman" w:hAnsi="Times New Roman" w:cs="Times New Roman"/>
          <w:sz w:val="20"/>
          <w:szCs w:val="20"/>
        </w:rPr>
        <w:t>.</w:t>
      </w:r>
    </w:p>
    <w:p w14:paraId="774B81DE" w14:textId="77777777" w:rsidR="00925007" w:rsidRPr="00FF4169" w:rsidRDefault="00925007" w:rsidP="00925007">
      <w:pPr>
        <w:spacing w:after="0" w:line="240" w:lineRule="auto"/>
        <w:rPr>
          <w:rFonts w:ascii="Times New Roman" w:hAnsi="Times New Roman" w:cs="Times New Roman"/>
          <w:sz w:val="20"/>
          <w:szCs w:val="20"/>
        </w:rPr>
        <w:sectPr w:rsidR="00925007" w:rsidRPr="00FF4169" w:rsidSect="00D44D93">
          <w:pgSz w:w="16838" w:h="11906" w:orient="landscape"/>
          <w:pgMar w:top="1797" w:right="1440" w:bottom="1797" w:left="1440" w:header="851" w:footer="992" w:gutter="0"/>
          <w:cols w:space="425"/>
          <w:docGrid w:linePitch="360"/>
        </w:sectPr>
      </w:pPr>
    </w:p>
    <w:p w14:paraId="26C21437" w14:textId="77777777" w:rsidR="00925007" w:rsidRPr="00FF4169" w:rsidRDefault="00925007" w:rsidP="00925007">
      <w:pPr>
        <w:spacing w:after="0"/>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sz w:val="24"/>
          <w:szCs w:val="24"/>
        </w:rPr>
        <w:t xml:space="preserve"> </w:t>
      </w:r>
      <w:r>
        <w:rPr>
          <w:rFonts w:ascii="Times New Roman" w:hAnsi="Times New Roman" w:cs="Times New Roman"/>
          <w:sz w:val="24"/>
          <w:szCs w:val="24"/>
        </w:rPr>
        <w:t>3</w:t>
      </w:r>
    </w:p>
    <w:p w14:paraId="7E8E517A" w14:textId="38F04108" w:rsidR="00925007" w:rsidRPr="00FF4169" w:rsidRDefault="009526EC" w:rsidP="00925007">
      <w:pPr>
        <w:spacing w:after="0"/>
        <w:rPr>
          <w:rFonts w:ascii="Times New Roman" w:hAnsi="Times New Roman" w:cs="Times New Roman"/>
          <w:sz w:val="24"/>
          <w:szCs w:val="24"/>
        </w:rPr>
      </w:pPr>
      <w:r w:rsidRPr="00FF4169">
        <w:rPr>
          <w:rFonts w:ascii="Times New Roman" w:hAnsi="Times New Roman" w:cs="Times New Roman"/>
          <w:sz w:val="24"/>
          <w:szCs w:val="24"/>
        </w:rPr>
        <w:t xml:space="preserve">THE EFFECT OF </w:t>
      </w:r>
      <w:r>
        <w:rPr>
          <w:rFonts w:ascii="Times New Roman" w:hAnsi="Times New Roman" w:cs="Times New Roman"/>
          <w:sz w:val="24"/>
          <w:szCs w:val="24"/>
        </w:rPr>
        <w:t>ECONOMIC UNCERTAINTY</w:t>
      </w:r>
      <w:r w:rsidRPr="00FF4169">
        <w:rPr>
          <w:rFonts w:ascii="Times New Roman" w:hAnsi="Times New Roman" w:cs="Times New Roman"/>
          <w:sz w:val="24"/>
          <w:szCs w:val="24"/>
        </w:rPr>
        <w:t xml:space="preserve"> ON </w:t>
      </w:r>
      <w:r>
        <w:rPr>
          <w:rFonts w:ascii="Times New Roman" w:hAnsi="Times New Roman" w:cs="Times New Roman"/>
          <w:sz w:val="24"/>
          <w:szCs w:val="24"/>
        </w:rPr>
        <w:t>BANK LENDING</w:t>
      </w:r>
    </w:p>
    <w:tbl>
      <w:tblPr>
        <w:tblW w:w="8364" w:type="dxa"/>
        <w:tblLayout w:type="fixed"/>
        <w:tblCellMar>
          <w:left w:w="57" w:type="dxa"/>
          <w:right w:w="57" w:type="dxa"/>
        </w:tblCellMar>
        <w:tblLook w:val="0000" w:firstRow="0" w:lastRow="0" w:firstColumn="0" w:lastColumn="0" w:noHBand="0" w:noVBand="0"/>
      </w:tblPr>
      <w:tblGrid>
        <w:gridCol w:w="1701"/>
        <w:gridCol w:w="1665"/>
        <w:gridCol w:w="1666"/>
        <w:gridCol w:w="1666"/>
        <w:gridCol w:w="1666"/>
      </w:tblGrid>
      <w:tr w:rsidR="00925007" w14:paraId="771D99D8" w14:textId="77777777" w:rsidTr="0029437B">
        <w:trPr>
          <w:trHeight w:val="283"/>
        </w:trPr>
        <w:tc>
          <w:tcPr>
            <w:tcW w:w="8364" w:type="dxa"/>
            <w:gridSpan w:val="5"/>
            <w:tcBorders>
              <w:top w:val="single" w:sz="4" w:space="0" w:color="auto"/>
              <w:left w:val="nil"/>
              <w:right w:val="nil"/>
            </w:tcBorders>
            <w:vAlign w:val="center"/>
          </w:tcPr>
          <w:p w14:paraId="34D8AACF" w14:textId="57D260EC" w:rsidR="00925007" w:rsidRPr="00485A40" w:rsidRDefault="00925007" w:rsidP="0083761C">
            <w:pPr>
              <w:autoSpaceDE w:val="0"/>
              <w:autoSpaceDN w:val="0"/>
              <w:adjustRightInd w:val="0"/>
              <w:spacing w:after="0"/>
              <w:rPr>
                <w:rFonts w:ascii="Times New Roman" w:hAnsi="Times New Roman" w:cs="Times New Roman"/>
                <w:i/>
                <w:iCs/>
                <w:color w:val="000000"/>
                <w:sz w:val="20"/>
                <w:szCs w:val="20"/>
              </w:rPr>
            </w:pPr>
            <w:r w:rsidRPr="00485A40">
              <w:rPr>
                <w:rFonts w:ascii="Times New Roman" w:hAnsi="Times New Roman" w:cs="Times New Roman"/>
                <w:sz w:val="20"/>
                <w:szCs w:val="20"/>
              </w:rPr>
              <w:t xml:space="preserve">Panel A: Loan </w:t>
            </w:r>
            <w:r w:rsidR="0083761C">
              <w:rPr>
                <w:rFonts w:ascii="Times New Roman" w:hAnsi="Times New Roman" w:cs="Times New Roman"/>
                <w:sz w:val="20"/>
                <w:szCs w:val="20"/>
              </w:rPr>
              <w:t>q</w:t>
            </w:r>
            <w:r w:rsidRPr="00485A40">
              <w:rPr>
                <w:rFonts w:ascii="Times New Roman" w:hAnsi="Times New Roman" w:cs="Times New Roman"/>
                <w:sz w:val="20"/>
                <w:szCs w:val="20"/>
              </w:rPr>
              <w:t>uantity</w:t>
            </w:r>
          </w:p>
        </w:tc>
      </w:tr>
      <w:tr w:rsidR="00925007" w14:paraId="683B8221" w14:textId="77777777" w:rsidTr="0029437B">
        <w:trPr>
          <w:trHeight w:val="283"/>
        </w:trPr>
        <w:tc>
          <w:tcPr>
            <w:tcW w:w="1701" w:type="dxa"/>
            <w:tcBorders>
              <w:left w:val="nil"/>
              <w:right w:val="nil"/>
            </w:tcBorders>
            <w:vAlign w:val="center"/>
          </w:tcPr>
          <w:p w14:paraId="45A3DAB8" w14:textId="77777777" w:rsidR="00925007" w:rsidRPr="00485A40" w:rsidRDefault="00925007" w:rsidP="0029437B">
            <w:pPr>
              <w:autoSpaceDE w:val="0"/>
              <w:autoSpaceDN w:val="0"/>
              <w:adjustRightInd w:val="0"/>
              <w:spacing w:after="0"/>
              <w:jc w:val="both"/>
              <w:rPr>
                <w:rFonts w:ascii="Times New Roman" w:hAnsi="Times New Roman" w:cs="Times New Roman"/>
                <w:sz w:val="20"/>
                <w:szCs w:val="20"/>
              </w:rPr>
            </w:pPr>
          </w:p>
        </w:tc>
        <w:tc>
          <w:tcPr>
            <w:tcW w:w="1665" w:type="dxa"/>
            <w:tcBorders>
              <w:left w:val="nil"/>
              <w:right w:val="nil"/>
            </w:tcBorders>
            <w:vAlign w:val="center"/>
          </w:tcPr>
          <w:p w14:paraId="3A0AAA5F"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right w:val="nil"/>
            </w:tcBorders>
            <w:vAlign w:val="center"/>
          </w:tcPr>
          <w:p w14:paraId="4636DD12"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(1)</w:t>
            </w:r>
          </w:p>
        </w:tc>
        <w:tc>
          <w:tcPr>
            <w:tcW w:w="1666" w:type="dxa"/>
            <w:tcBorders>
              <w:left w:val="nil"/>
              <w:right w:val="nil"/>
            </w:tcBorders>
            <w:vAlign w:val="center"/>
          </w:tcPr>
          <w:p w14:paraId="41CBDE38"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right w:val="nil"/>
            </w:tcBorders>
            <w:vAlign w:val="center"/>
          </w:tcPr>
          <w:p w14:paraId="4518ECA6"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(2)</w:t>
            </w:r>
          </w:p>
        </w:tc>
      </w:tr>
      <w:tr w:rsidR="00925007" w14:paraId="73D39A71" w14:textId="77777777" w:rsidTr="0029437B">
        <w:trPr>
          <w:trHeight w:val="283"/>
        </w:trPr>
        <w:tc>
          <w:tcPr>
            <w:tcW w:w="1701" w:type="dxa"/>
            <w:tcBorders>
              <w:left w:val="nil"/>
              <w:right w:val="nil"/>
            </w:tcBorders>
            <w:vAlign w:val="center"/>
          </w:tcPr>
          <w:p w14:paraId="4DFC266C" w14:textId="77777777" w:rsidR="00925007" w:rsidRPr="00485A40" w:rsidRDefault="00925007" w:rsidP="0029437B">
            <w:pPr>
              <w:autoSpaceDE w:val="0"/>
              <w:autoSpaceDN w:val="0"/>
              <w:adjustRightInd w:val="0"/>
              <w:spacing w:after="0"/>
              <w:jc w:val="both"/>
              <w:rPr>
                <w:rFonts w:ascii="Times New Roman" w:hAnsi="Times New Roman" w:cs="Times New Roman"/>
                <w:sz w:val="20"/>
                <w:szCs w:val="20"/>
              </w:rPr>
            </w:pPr>
          </w:p>
        </w:tc>
        <w:tc>
          <w:tcPr>
            <w:tcW w:w="1665" w:type="dxa"/>
            <w:tcBorders>
              <w:left w:val="nil"/>
              <w:bottom w:val="single" w:sz="4" w:space="0" w:color="auto"/>
              <w:right w:val="nil"/>
            </w:tcBorders>
            <w:vAlign w:val="center"/>
          </w:tcPr>
          <w:p w14:paraId="5D5ACF6E"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bottom w:val="single" w:sz="4" w:space="0" w:color="auto"/>
              <w:right w:val="nil"/>
            </w:tcBorders>
            <w:vAlign w:val="center"/>
          </w:tcPr>
          <w:p w14:paraId="7FD492C3"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i/>
                <w:iCs/>
                <w:color w:val="000000"/>
                <w:sz w:val="20"/>
                <w:szCs w:val="20"/>
              </w:rPr>
              <w:t>∆CI_Loan</w:t>
            </w:r>
          </w:p>
        </w:tc>
        <w:tc>
          <w:tcPr>
            <w:tcW w:w="1666" w:type="dxa"/>
            <w:tcBorders>
              <w:left w:val="nil"/>
              <w:bottom w:val="single" w:sz="4" w:space="0" w:color="auto"/>
              <w:right w:val="nil"/>
            </w:tcBorders>
            <w:vAlign w:val="center"/>
          </w:tcPr>
          <w:p w14:paraId="190F40F2"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bottom w:val="single" w:sz="4" w:space="0" w:color="auto"/>
              <w:right w:val="nil"/>
            </w:tcBorders>
            <w:vAlign w:val="center"/>
          </w:tcPr>
          <w:p w14:paraId="793B525C"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hint="eastAsia"/>
                <w:i/>
                <w:iCs/>
                <w:color w:val="000000"/>
                <w:sz w:val="20"/>
                <w:szCs w:val="20"/>
              </w:rPr>
              <w:t>Synd_Loan</w:t>
            </w:r>
          </w:p>
        </w:tc>
      </w:tr>
      <w:tr w:rsidR="00925007" w14:paraId="49E8F1E4" w14:textId="77777777" w:rsidTr="0029437B">
        <w:trPr>
          <w:trHeight w:val="283"/>
        </w:trPr>
        <w:tc>
          <w:tcPr>
            <w:tcW w:w="1701" w:type="dxa"/>
            <w:tcBorders>
              <w:left w:val="nil"/>
              <w:right w:val="nil"/>
            </w:tcBorders>
            <w:vAlign w:val="center"/>
          </w:tcPr>
          <w:p w14:paraId="17D8C72E" w14:textId="77777777" w:rsidR="00925007" w:rsidRPr="00485A40" w:rsidRDefault="00925007" w:rsidP="0029437B">
            <w:pPr>
              <w:spacing w:before="100" w:beforeAutospacing="1" w:after="100" w:afterAutospacing="1"/>
              <w:jc w:val="both"/>
              <w:rPr>
                <w:rFonts w:ascii="Times New Roman" w:hAnsi="Times New Roman" w:cs="Times New Roman"/>
                <w:i/>
                <w:sz w:val="20"/>
                <w:szCs w:val="20"/>
                <w:vertAlign w:val="subscript"/>
              </w:rPr>
            </w:pPr>
            <w:r w:rsidRPr="00485A40">
              <w:rPr>
                <w:rFonts w:ascii="Times New Roman" w:hAnsi="Times New Roman" w:cs="Times New Roman"/>
                <w:i/>
                <w:sz w:val="20"/>
                <w:szCs w:val="20"/>
              </w:rPr>
              <w:t>log</w:t>
            </w:r>
            <w:r w:rsidRPr="00485A40">
              <w:rPr>
                <w:rFonts w:ascii="Times New Roman" w:hAnsi="Times New Roman" w:cs="Times New Roman" w:hint="eastAsia"/>
                <w:i/>
                <w:sz w:val="20"/>
                <w:szCs w:val="20"/>
              </w:rPr>
              <w:t>VRP</w:t>
            </w:r>
            <w:r w:rsidRPr="00485A40">
              <w:rPr>
                <w:rFonts w:ascii="Times New Roman" w:hAnsi="Times New Roman" w:cs="Times New Roman"/>
                <w:i/>
                <w:sz w:val="20"/>
                <w:szCs w:val="20"/>
                <w:vertAlign w:val="subscript"/>
              </w:rPr>
              <w:t>t-1</w:t>
            </w:r>
          </w:p>
        </w:tc>
        <w:tc>
          <w:tcPr>
            <w:tcW w:w="1665" w:type="dxa"/>
            <w:tcBorders>
              <w:top w:val="single" w:sz="4" w:space="0" w:color="auto"/>
              <w:left w:val="nil"/>
              <w:right w:val="nil"/>
            </w:tcBorders>
            <w:vAlign w:val="center"/>
          </w:tcPr>
          <w:p w14:paraId="725DF95D"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top w:val="single" w:sz="4" w:space="0" w:color="auto"/>
              <w:left w:val="nil"/>
              <w:right w:val="nil"/>
            </w:tcBorders>
            <w:vAlign w:val="center"/>
          </w:tcPr>
          <w:p w14:paraId="1A3453D5"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-21.925</w:t>
            </w:r>
          </w:p>
        </w:tc>
        <w:tc>
          <w:tcPr>
            <w:tcW w:w="1666" w:type="dxa"/>
            <w:tcBorders>
              <w:top w:val="single" w:sz="4" w:space="0" w:color="auto"/>
              <w:left w:val="nil"/>
              <w:right w:val="nil"/>
            </w:tcBorders>
            <w:vAlign w:val="center"/>
          </w:tcPr>
          <w:p w14:paraId="6480CD58"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top w:val="single" w:sz="4" w:space="0" w:color="auto"/>
              <w:left w:val="nil"/>
              <w:right w:val="nil"/>
            </w:tcBorders>
            <w:vAlign w:val="center"/>
          </w:tcPr>
          <w:p w14:paraId="3C52A74C"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-86.490</w:t>
            </w:r>
          </w:p>
        </w:tc>
      </w:tr>
      <w:tr w:rsidR="00925007" w14:paraId="1C64BEF1" w14:textId="77777777" w:rsidTr="0029437B">
        <w:trPr>
          <w:trHeight w:val="283"/>
        </w:trPr>
        <w:tc>
          <w:tcPr>
            <w:tcW w:w="1701" w:type="dxa"/>
            <w:tcBorders>
              <w:left w:val="nil"/>
              <w:right w:val="nil"/>
            </w:tcBorders>
            <w:vAlign w:val="center"/>
          </w:tcPr>
          <w:p w14:paraId="08948528" w14:textId="77777777" w:rsidR="00925007" w:rsidRPr="00485A40" w:rsidRDefault="00925007" w:rsidP="0029437B">
            <w:pPr>
              <w:autoSpaceDE w:val="0"/>
              <w:autoSpaceDN w:val="0"/>
              <w:adjustRightInd w:val="0"/>
              <w:spacing w:after="0"/>
              <w:jc w:val="both"/>
              <w:rPr>
                <w:rFonts w:ascii="Times New Roman" w:hAnsi="Times New Roman" w:cs="Times New Roman"/>
                <w:sz w:val="20"/>
                <w:szCs w:val="20"/>
              </w:rPr>
            </w:pPr>
          </w:p>
        </w:tc>
        <w:tc>
          <w:tcPr>
            <w:tcW w:w="1665" w:type="dxa"/>
            <w:tcBorders>
              <w:left w:val="nil"/>
              <w:right w:val="nil"/>
            </w:tcBorders>
            <w:vAlign w:val="center"/>
          </w:tcPr>
          <w:p w14:paraId="44C51464"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right w:val="nil"/>
            </w:tcBorders>
            <w:vAlign w:val="center"/>
          </w:tcPr>
          <w:p w14:paraId="57AC1765"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(0.000)</w:t>
            </w:r>
          </w:p>
        </w:tc>
        <w:tc>
          <w:tcPr>
            <w:tcW w:w="1666" w:type="dxa"/>
            <w:tcBorders>
              <w:left w:val="nil"/>
              <w:right w:val="nil"/>
            </w:tcBorders>
            <w:vAlign w:val="center"/>
          </w:tcPr>
          <w:p w14:paraId="000A5A15"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right w:val="nil"/>
            </w:tcBorders>
            <w:vAlign w:val="center"/>
          </w:tcPr>
          <w:p w14:paraId="282E89AF"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(0.000)</w:t>
            </w:r>
          </w:p>
        </w:tc>
      </w:tr>
      <w:tr w:rsidR="00925007" w14:paraId="49B8A70E" w14:textId="77777777" w:rsidTr="0029437B">
        <w:trPr>
          <w:trHeight w:val="283"/>
        </w:trPr>
        <w:tc>
          <w:tcPr>
            <w:tcW w:w="1701" w:type="dxa"/>
            <w:tcBorders>
              <w:left w:val="nil"/>
              <w:bottom w:val="single" w:sz="4" w:space="0" w:color="auto"/>
              <w:right w:val="nil"/>
            </w:tcBorders>
            <w:vAlign w:val="center"/>
          </w:tcPr>
          <w:p w14:paraId="5FFDE5C9" w14:textId="77777777" w:rsidR="00925007" w:rsidRPr="00485A40" w:rsidRDefault="00925007" w:rsidP="0029437B">
            <w:pPr>
              <w:spacing w:before="100" w:beforeAutospacing="1" w:after="100" w:afterAutospacing="1"/>
              <w:jc w:val="both"/>
              <w:rPr>
                <w:rFonts w:ascii="Times New Roman" w:hAnsi="Times New Roman" w:cs="Times New Roman"/>
                <w:sz w:val="20"/>
                <w:szCs w:val="20"/>
              </w:rPr>
            </w:pPr>
            <w:r w:rsidRPr="00485A40">
              <w:rPr>
                <w:rFonts w:ascii="Times New Roman" w:hAnsi="Times New Roman"/>
                <w:sz w:val="20"/>
                <w:szCs w:val="20"/>
              </w:rPr>
              <w:t xml:space="preserve">adj. </w:t>
            </w:r>
            <w:r w:rsidRPr="00485A40">
              <w:rPr>
                <w:rFonts w:ascii="Times New Roman" w:hAnsi="Times New Roman"/>
                <w:i/>
                <w:iCs/>
                <w:sz w:val="20"/>
                <w:szCs w:val="20"/>
              </w:rPr>
              <w:t>R</w:t>
            </w:r>
            <w:r w:rsidRPr="00485A40">
              <w:rPr>
                <w:rFonts w:ascii="Times New Roman" w:hAnsi="Times New Roman"/>
                <w:sz w:val="20"/>
                <w:szCs w:val="20"/>
                <w:vertAlign w:val="superscript"/>
              </w:rPr>
              <w:t>2</w:t>
            </w:r>
          </w:p>
        </w:tc>
        <w:tc>
          <w:tcPr>
            <w:tcW w:w="1665" w:type="dxa"/>
            <w:tcBorders>
              <w:left w:val="nil"/>
              <w:bottom w:val="single" w:sz="4" w:space="0" w:color="auto"/>
              <w:right w:val="nil"/>
            </w:tcBorders>
            <w:vAlign w:val="center"/>
          </w:tcPr>
          <w:p w14:paraId="2A653FBD"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bottom w:val="single" w:sz="4" w:space="0" w:color="auto"/>
              <w:right w:val="nil"/>
            </w:tcBorders>
            <w:vAlign w:val="center"/>
          </w:tcPr>
          <w:p w14:paraId="094B08D6"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hint="eastAsia"/>
                <w:sz w:val="20"/>
                <w:szCs w:val="20"/>
              </w:rPr>
              <w:t>0.3</w:t>
            </w:r>
            <w:r w:rsidRPr="00485A40">
              <w:rPr>
                <w:rFonts w:ascii="Times New Roman" w:hAnsi="Times New Roman" w:cs="Times New Roman"/>
                <w:sz w:val="20"/>
                <w:szCs w:val="20"/>
              </w:rPr>
              <w:t>19</w:t>
            </w:r>
          </w:p>
        </w:tc>
        <w:tc>
          <w:tcPr>
            <w:tcW w:w="1666" w:type="dxa"/>
            <w:tcBorders>
              <w:left w:val="nil"/>
              <w:bottom w:val="single" w:sz="4" w:space="0" w:color="auto"/>
              <w:right w:val="nil"/>
            </w:tcBorders>
            <w:vAlign w:val="center"/>
          </w:tcPr>
          <w:p w14:paraId="1E9E9EAF"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p>
        </w:tc>
        <w:tc>
          <w:tcPr>
            <w:tcW w:w="1666" w:type="dxa"/>
            <w:tcBorders>
              <w:left w:val="nil"/>
              <w:bottom w:val="single" w:sz="4" w:space="0" w:color="auto"/>
              <w:right w:val="nil"/>
            </w:tcBorders>
            <w:vAlign w:val="center"/>
          </w:tcPr>
          <w:p w14:paraId="463A681B" w14:textId="77777777" w:rsidR="00925007" w:rsidRPr="00485A40" w:rsidRDefault="00925007" w:rsidP="0029437B">
            <w:pPr>
              <w:autoSpaceDE w:val="0"/>
              <w:autoSpaceDN w:val="0"/>
              <w:adjustRightInd w:val="0"/>
              <w:spacing w:after="0"/>
              <w:jc w:val="center"/>
              <w:rPr>
                <w:rFonts w:ascii="Times New Roman" w:hAnsi="Times New Roman" w:cs="Times New Roman"/>
                <w:i/>
                <w:iCs/>
                <w:color w:val="000000"/>
                <w:sz w:val="20"/>
                <w:szCs w:val="20"/>
              </w:rPr>
            </w:pPr>
            <w:r w:rsidRPr="00485A40">
              <w:rPr>
                <w:rFonts w:ascii="Times New Roman" w:hAnsi="Times New Roman" w:cs="Times New Roman"/>
                <w:sz w:val="20"/>
                <w:szCs w:val="20"/>
              </w:rPr>
              <w:t>0.330</w:t>
            </w:r>
          </w:p>
        </w:tc>
      </w:tr>
      <w:tr w:rsidR="00925007" w14:paraId="74AE0BD4" w14:textId="77777777" w:rsidTr="0029437B">
        <w:trPr>
          <w:trHeight w:val="283"/>
        </w:trPr>
        <w:tc>
          <w:tcPr>
            <w:tcW w:w="8364" w:type="dxa"/>
            <w:gridSpan w:val="5"/>
            <w:tcBorders>
              <w:top w:val="single" w:sz="4" w:space="0" w:color="auto"/>
              <w:left w:val="nil"/>
              <w:right w:val="nil"/>
            </w:tcBorders>
            <w:vAlign w:val="center"/>
          </w:tcPr>
          <w:p w14:paraId="4BED965B" w14:textId="5CA67E5B" w:rsidR="00925007" w:rsidRPr="00485A40" w:rsidRDefault="00925007" w:rsidP="0083761C">
            <w:pPr>
              <w:autoSpaceDE w:val="0"/>
              <w:autoSpaceDN w:val="0"/>
              <w:adjustRightInd w:val="0"/>
              <w:spacing w:after="0"/>
              <w:rPr>
                <w:rFonts w:ascii="Times New Roman" w:hAnsi="Times New Roman" w:cs="Times New Roman"/>
                <w:i/>
                <w:iCs/>
                <w:color w:val="000000"/>
                <w:sz w:val="20"/>
                <w:szCs w:val="20"/>
              </w:rPr>
            </w:pPr>
            <w:r w:rsidRPr="00485A40">
              <w:rPr>
                <w:rFonts w:ascii="Times New Roman" w:hAnsi="Times New Roman" w:cs="Times New Roman"/>
                <w:sz w:val="20"/>
                <w:szCs w:val="20"/>
              </w:rPr>
              <w:t xml:space="preserve">Panel B: Loan </w:t>
            </w:r>
            <w:r w:rsidR="0083761C">
              <w:rPr>
                <w:rFonts w:ascii="Times New Roman" w:hAnsi="Times New Roman" w:cs="Times New Roman"/>
                <w:sz w:val="20"/>
                <w:szCs w:val="20"/>
              </w:rPr>
              <w:t>s</w:t>
            </w:r>
            <w:r w:rsidRPr="00485A40">
              <w:rPr>
                <w:rFonts w:ascii="Times New Roman" w:hAnsi="Times New Roman" w:cs="Times New Roman"/>
                <w:sz w:val="20"/>
                <w:szCs w:val="20"/>
              </w:rPr>
              <w:t>tandard (</w:t>
            </w:r>
            <w:r w:rsidR="0083761C">
              <w:rPr>
                <w:rFonts w:ascii="Times New Roman" w:hAnsi="Times New Roman" w:cs="Times New Roman"/>
                <w:sz w:val="20"/>
                <w:szCs w:val="20"/>
              </w:rPr>
              <w:t>s</w:t>
            </w:r>
            <w:r w:rsidRPr="00485A40">
              <w:rPr>
                <w:rFonts w:ascii="Times New Roman" w:hAnsi="Times New Roman" w:cs="Times New Roman"/>
                <w:sz w:val="20"/>
                <w:szCs w:val="20"/>
              </w:rPr>
              <w:t xml:space="preserve">upply) and </w:t>
            </w:r>
            <w:r w:rsidR="0083761C">
              <w:rPr>
                <w:rFonts w:ascii="Times New Roman" w:hAnsi="Times New Roman" w:cs="Times New Roman"/>
                <w:sz w:val="20"/>
                <w:szCs w:val="20"/>
              </w:rPr>
              <w:t>d</w:t>
            </w:r>
            <w:r w:rsidRPr="00485A40">
              <w:rPr>
                <w:rFonts w:ascii="Times New Roman" w:hAnsi="Times New Roman" w:cs="Times New Roman"/>
                <w:sz w:val="20"/>
                <w:szCs w:val="20"/>
              </w:rPr>
              <w:t>emand</w:t>
            </w:r>
          </w:p>
        </w:tc>
      </w:tr>
      <w:tr w:rsidR="00925007" w14:paraId="1307DF66" w14:textId="77777777" w:rsidTr="0029437B">
        <w:trPr>
          <w:trHeight w:val="283"/>
        </w:trPr>
        <w:tc>
          <w:tcPr>
            <w:tcW w:w="1701" w:type="dxa"/>
            <w:tcBorders>
              <w:left w:val="nil"/>
              <w:right w:val="nil"/>
            </w:tcBorders>
            <w:vAlign w:val="center"/>
          </w:tcPr>
          <w:p w14:paraId="5408BDFF" w14:textId="77777777" w:rsidR="00925007" w:rsidRPr="00485A40" w:rsidRDefault="00925007" w:rsidP="0029437B">
            <w:pPr>
              <w:autoSpaceDE w:val="0"/>
              <w:autoSpaceDN w:val="0"/>
              <w:adjustRightInd w:val="0"/>
              <w:spacing w:after="0"/>
              <w:jc w:val="both"/>
              <w:rPr>
                <w:rFonts w:ascii="Times New Roman" w:hAnsi="Times New Roman" w:cs="Times New Roman"/>
                <w:sz w:val="20"/>
                <w:szCs w:val="20"/>
              </w:rPr>
            </w:pPr>
          </w:p>
        </w:tc>
        <w:tc>
          <w:tcPr>
            <w:tcW w:w="1665" w:type="dxa"/>
            <w:tcBorders>
              <w:left w:val="nil"/>
              <w:right w:val="nil"/>
            </w:tcBorders>
            <w:vAlign w:val="center"/>
          </w:tcPr>
          <w:p w14:paraId="6E6DD4BF" w14:textId="77777777" w:rsidR="00925007" w:rsidRPr="00485A40" w:rsidRDefault="00925007" w:rsidP="0029437B">
            <w:pPr>
              <w:autoSpaceDE w:val="0"/>
              <w:autoSpaceDN w:val="0"/>
              <w:adjustRightInd w:val="0"/>
              <w:spacing w:after="0"/>
              <w:jc w:val="center"/>
              <w:rPr>
                <w:rFonts w:ascii="Times New Roman" w:hAnsi="Times New Roman" w:cs="Times New Roman"/>
                <w:iCs/>
                <w:color w:val="000000"/>
                <w:sz w:val="20"/>
                <w:szCs w:val="20"/>
              </w:rPr>
            </w:pPr>
            <w:r w:rsidRPr="00485A40">
              <w:rPr>
                <w:rFonts w:ascii="Times New Roman" w:hAnsi="Times New Roman" w:cs="Times New Roman"/>
                <w:iCs/>
                <w:color w:val="000000"/>
                <w:sz w:val="20"/>
                <w:szCs w:val="20"/>
              </w:rPr>
              <w:t>(1)</w:t>
            </w:r>
          </w:p>
        </w:tc>
        <w:tc>
          <w:tcPr>
            <w:tcW w:w="1666" w:type="dxa"/>
            <w:tcBorders>
              <w:left w:val="nil"/>
              <w:right w:val="nil"/>
            </w:tcBorders>
            <w:vAlign w:val="center"/>
          </w:tcPr>
          <w:p w14:paraId="06879FEC" w14:textId="77777777" w:rsidR="00925007" w:rsidRPr="00485A40" w:rsidRDefault="00925007" w:rsidP="0029437B">
            <w:pPr>
              <w:autoSpaceDE w:val="0"/>
              <w:autoSpaceDN w:val="0"/>
              <w:adjustRightInd w:val="0"/>
              <w:spacing w:after="0"/>
              <w:jc w:val="center"/>
              <w:rPr>
                <w:rFonts w:ascii="Times New Roman" w:hAnsi="Times New Roman" w:cs="Times New Roman"/>
                <w:iCs/>
                <w:color w:val="000000"/>
                <w:sz w:val="20"/>
                <w:szCs w:val="20"/>
              </w:rPr>
            </w:pPr>
            <w:r w:rsidRPr="00485A40">
              <w:rPr>
                <w:rFonts w:ascii="Times New Roman" w:hAnsi="Times New Roman" w:cs="Times New Roman"/>
                <w:iCs/>
                <w:color w:val="000000"/>
                <w:sz w:val="20"/>
                <w:szCs w:val="20"/>
              </w:rPr>
              <w:t>(2)</w:t>
            </w:r>
          </w:p>
        </w:tc>
        <w:tc>
          <w:tcPr>
            <w:tcW w:w="1666" w:type="dxa"/>
            <w:tcBorders>
              <w:left w:val="nil"/>
              <w:right w:val="nil"/>
            </w:tcBorders>
            <w:vAlign w:val="center"/>
          </w:tcPr>
          <w:p w14:paraId="1C0ED004" w14:textId="77777777" w:rsidR="00925007" w:rsidRPr="00485A40" w:rsidRDefault="00925007" w:rsidP="0029437B">
            <w:pPr>
              <w:autoSpaceDE w:val="0"/>
              <w:autoSpaceDN w:val="0"/>
              <w:adjustRightInd w:val="0"/>
              <w:spacing w:after="0"/>
              <w:jc w:val="center"/>
              <w:rPr>
                <w:rFonts w:ascii="Times New Roman" w:hAnsi="Times New Roman" w:cs="Times New Roman"/>
                <w:iCs/>
                <w:color w:val="000000"/>
                <w:sz w:val="20"/>
                <w:szCs w:val="20"/>
              </w:rPr>
            </w:pPr>
            <w:r w:rsidRPr="00485A40">
              <w:rPr>
                <w:rFonts w:ascii="Times New Roman" w:hAnsi="Times New Roman" w:cs="Times New Roman"/>
                <w:iCs/>
                <w:color w:val="000000"/>
                <w:sz w:val="20"/>
                <w:szCs w:val="20"/>
              </w:rPr>
              <w:t>(3)</w:t>
            </w:r>
          </w:p>
        </w:tc>
        <w:tc>
          <w:tcPr>
            <w:tcW w:w="1666" w:type="dxa"/>
            <w:tcBorders>
              <w:left w:val="nil"/>
              <w:right w:val="nil"/>
            </w:tcBorders>
            <w:vAlign w:val="center"/>
          </w:tcPr>
          <w:p w14:paraId="7F4EF487" w14:textId="77777777" w:rsidR="00925007" w:rsidRPr="00485A40" w:rsidRDefault="00925007" w:rsidP="0029437B">
            <w:pPr>
              <w:autoSpaceDE w:val="0"/>
              <w:autoSpaceDN w:val="0"/>
              <w:adjustRightInd w:val="0"/>
              <w:spacing w:after="0"/>
              <w:jc w:val="center"/>
              <w:rPr>
                <w:rFonts w:ascii="Times New Roman" w:hAnsi="Times New Roman" w:cs="Times New Roman"/>
                <w:iCs/>
                <w:color w:val="000000"/>
                <w:sz w:val="20"/>
                <w:szCs w:val="20"/>
              </w:rPr>
            </w:pPr>
            <w:r w:rsidRPr="00485A40">
              <w:rPr>
                <w:rFonts w:ascii="Times New Roman" w:hAnsi="Times New Roman" w:cs="Times New Roman"/>
                <w:iCs/>
                <w:color w:val="000000"/>
                <w:sz w:val="20"/>
                <w:szCs w:val="20"/>
              </w:rPr>
              <w:t>(4)</w:t>
            </w:r>
          </w:p>
        </w:tc>
      </w:tr>
      <w:tr w:rsidR="00925007" w14:paraId="5B45C89D" w14:textId="77777777" w:rsidTr="0029437B">
        <w:trPr>
          <w:trHeight w:val="283"/>
        </w:trPr>
        <w:tc>
          <w:tcPr>
            <w:tcW w:w="1701" w:type="dxa"/>
            <w:tcBorders>
              <w:left w:val="nil"/>
              <w:right w:val="nil"/>
            </w:tcBorders>
            <w:vAlign w:val="center"/>
          </w:tcPr>
          <w:p w14:paraId="30120560" w14:textId="77777777" w:rsidR="00925007" w:rsidRPr="00485A40" w:rsidRDefault="00925007" w:rsidP="0029437B">
            <w:pPr>
              <w:autoSpaceDE w:val="0"/>
              <w:autoSpaceDN w:val="0"/>
              <w:adjustRightInd w:val="0"/>
              <w:spacing w:after="0"/>
              <w:jc w:val="both"/>
              <w:rPr>
                <w:rFonts w:ascii="Times New Roman" w:hAnsi="Times New Roman" w:cs="Times New Roman"/>
                <w:sz w:val="20"/>
                <w:szCs w:val="20"/>
              </w:rPr>
            </w:pPr>
          </w:p>
        </w:tc>
        <w:tc>
          <w:tcPr>
            <w:tcW w:w="1665" w:type="dxa"/>
            <w:tcBorders>
              <w:left w:val="nil"/>
              <w:bottom w:val="single" w:sz="4" w:space="0" w:color="auto"/>
              <w:right w:val="nil"/>
            </w:tcBorders>
            <w:vAlign w:val="center"/>
          </w:tcPr>
          <w:p w14:paraId="3E650BFE" w14:textId="77777777" w:rsidR="00925007" w:rsidRPr="00485A40" w:rsidRDefault="00925007" w:rsidP="0029437B">
            <w:pPr>
              <w:autoSpaceDE w:val="0"/>
              <w:autoSpaceDN w:val="0"/>
              <w:adjustRightInd w:val="0"/>
              <w:spacing w:after="0"/>
              <w:jc w:val="center"/>
              <w:rPr>
                <w:rFonts w:ascii="Times New Roman" w:hAnsi="Times New Roman" w:cs="Times New Roman"/>
                <w:sz w:val="20"/>
                <w:szCs w:val="20"/>
              </w:rPr>
            </w:pPr>
            <w:r w:rsidRPr="00485A40">
              <w:rPr>
                <w:rFonts w:ascii="Times New Roman" w:hAnsi="Times New Roman" w:cs="Times New Roman"/>
                <w:i/>
                <w:iCs/>
                <w:color w:val="000000"/>
                <w:sz w:val="20"/>
                <w:szCs w:val="20"/>
              </w:rPr>
              <w:t>Standard_LM</w:t>
            </w:r>
          </w:p>
        </w:tc>
        <w:tc>
          <w:tcPr>
            <w:tcW w:w="1666" w:type="dxa"/>
            <w:tcBorders>
              <w:left w:val="nil"/>
              <w:bottom w:val="single" w:sz="4" w:space="0" w:color="auto"/>
              <w:right w:val="nil"/>
            </w:tcBorders>
            <w:vAlign w:val="center"/>
          </w:tcPr>
          <w:p w14:paraId="4589DA20" w14:textId="77777777" w:rsidR="00925007" w:rsidRPr="00485A40" w:rsidRDefault="00925007" w:rsidP="0029437B">
            <w:pPr>
              <w:autoSpaceDE w:val="0"/>
              <w:autoSpaceDN w:val="0"/>
              <w:adjustRightInd w:val="0"/>
              <w:spacing w:after="0"/>
              <w:jc w:val="center"/>
              <w:rPr>
                <w:rFonts w:ascii="Times New Roman" w:hAnsi="Times New Roman" w:cs="Times New Roman"/>
                <w:sz w:val="20"/>
                <w:szCs w:val="20"/>
              </w:rPr>
            </w:pPr>
            <w:r w:rsidRPr="00485A40">
              <w:rPr>
                <w:rFonts w:ascii="Times New Roman" w:hAnsi="Times New Roman" w:cs="Times New Roman"/>
                <w:i/>
                <w:iCs/>
                <w:color w:val="000000"/>
                <w:sz w:val="20"/>
                <w:szCs w:val="20"/>
              </w:rPr>
              <w:t>Standard_S</w:t>
            </w:r>
          </w:p>
        </w:tc>
        <w:tc>
          <w:tcPr>
            <w:tcW w:w="1666" w:type="dxa"/>
            <w:tcBorders>
              <w:left w:val="nil"/>
              <w:bottom w:val="single" w:sz="4" w:space="0" w:color="auto"/>
              <w:right w:val="nil"/>
            </w:tcBorders>
            <w:vAlign w:val="center"/>
          </w:tcPr>
          <w:p w14:paraId="5481E912" w14:textId="77777777" w:rsidR="00925007" w:rsidRPr="00485A40" w:rsidRDefault="00925007" w:rsidP="0029437B">
            <w:pPr>
              <w:autoSpaceDE w:val="0"/>
              <w:autoSpaceDN w:val="0"/>
              <w:adjustRightInd w:val="0"/>
              <w:spacing w:after="0"/>
              <w:jc w:val="center"/>
              <w:rPr>
                <w:rFonts w:ascii="Times New Roman" w:hAnsi="Times New Roman" w:cs="Times New Roman"/>
                <w:sz w:val="20"/>
                <w:szCs w:val="20"/>
              </w:rPr>
            </w:pPr>
            <w:r w:rsidRPr="00485A40">
              <w:rPr>
                <w:rFonts w:ascii="Times New Roman" w:hAnsi="Times New Roman" w:cs="Times New Roman"/>
                <w:i/>
                <w:iCs/>
                <w:color w:val="000000"/>
                <w:sz w:val="20"/>
                <w:szCs w:val="20"/>
              </w:rPr>
              <w:t>Demand_LM</w:t>
            </w:r>
          </w:p>
        </w:tc>
        <w:tc>
          <w:tcPr>
            <w:tcW w:w="1666" w:type="dxa"/>
            <w:tcBorders>
              <w:left w:val="nil"/>
              <w:bottom w:val="single" w:sz="4" w:space="0" w:color="auto"/>
              <w:right w:val="nil"/>
            </w:tcBorders>
            <w:vAlign w:val="center"/>
          </w:tcPr>
          <w:p w14:paraId="16D74383" w14:textId="77777777" w:rsidR="00925007" w:rsidRPr="00485A40" w:rsidRDefault="00925007" w:rsidP="0029437B">
            <w:pPr>
              <w:autoSpaceDE w:val="0"/>
              <w:autoSpaceDN w:val="0"/>
              <w:adjustRightInd w:val="0"/>
              <w:spacing w:after="0"/>
              <w:jc w:val="center"/>
              <w:rPr>
                <w:rFonts w:ascii="Times New Roman" w:hAnsi="Times New Roman" w:cs="Times New Roman"/>
                <w:sz w:val="20"/>
                <w:szCs w:val="20"/>
              </w:rPr>
            </w:pPr>
            <w:r w:rsidRPr="00485A40">
              <w:rPr>
                <w:rFonts w:ascii="Times New Roman" w:hAnsi="Times New Roman" w:cs="Times New Roman"/>
                <w:i/>
                <w:iCs/>
                <w:color w:val="000000"/>
                <w:sz w:val="20"/>
                <w:szCs w:val="20"/>
              </w:rPr>
              <w:t>Demand_S</w:t>
            </w:r>
          </w:p>
        </w:tc>
      </w:tr>
      <w:tr w:rsidR="00925007" w14:paraId="5025A0C1" w14:textId="77777777" w:rsidTr="0029437B">
        <w:trPr>
          <w:trHeight w:val="283"/>
        </w:trPr>
        <w:tc>
          <w:tcPr>
            <w:tcW w:w="1701" w:type="dxa"/>
            <w:tcBorders>
              <w:left w:val="nil"/>
              <w:bottom w:val="nil"/>
              <w:right w:val="nil"/>
            </w:tcBorders>
            <w:vAlign w:val="center"/>
          </w:tcPr>
          <w:p w14:paraId="1F2E0894" w14:textId="77777777" w:rsidR="00925007" w:rsidRPr="00485A40" w:rsidRDefault="00925007" w:rsidP="0029437B">
            <w:pPr>
              <w:spacing w:before="100" w:beforeAutospacing="1" w:after="100" w:afterAutospacing="1" w:line="240" w:lineRule="auto"/>
              <w:jc w:val="both"/>
              <w:rPr>
                <w:rFonts w:ascii="Times New Roman" w:hAnsi="Times New Roman" w:cs="Times New Roman"/>
                <w:i/>
                <w:sz w:val="20"/>
                <w:szCs w:val="20"/>
              </w:rPr>
            </w:pPr>
            <w:r w:rsidRPr="00485A40">
              <w:rPr>
                <w:rFonts w:ascii="Times New Roman" w:hAnsi="Times New Roman" w:cs="Times New Roman"/>
                <w:i/>
                <w:sz w:val="20"/>
                <w:szCs w:val="20"/>
              </w:rPr>
              <w:t>log</w:t>
            </w:r>
            <w:r w:rsidRPr="00485A40">
              <w:rPr>
                <w:rFonts w:ascii="Times New Roman" w:hAnsi="Times New Roman" w:cs="Times New Roman" w:hint="eastAsia"/>
                <w:i/>
                <w:sz w:val="20"/>
                <w:szCs w:val="20"/>
              </w:rPr>
              <w:t>VRP</w:t>
            </w:r>
            <w:r w:rsidRPr="00485A40">
              <w:rPr>
                <w:rFonts w:ascii="Times New Roman" w:hAnsi="Times New Roman" w:cs="Times New Roman"/>
                <w:i/>
                <w:sz w:val="20"/>
                <w:szCs w:val="20"/>
                <w:vertAlign w:val="subscript"/>
              </w:rPr>
              <w:t>t-1</w:t>
            </w:r>
          </w:p>
        </w:tc>
        <w:tc>
          <w:tcPr>
            <w:tcW w:w="1665" w:type="dxa"/>
            <w:tcBorders>
              <w:top w:val="single" w:sz="4" w:space="0" w:color="auto"/>
              <w:left w:val="nil"/>
              <w:right w:val="nil"/>
            </w:tcBorders>
            <w:vAlign w:val="center"/>
          </w:tcPr>
          <w:p w14:paraId="440BCB90" w14:textId="77777777" w:rsidR="00925007" w:rsidRPr="00485A40" w:rsidRDefault="00925007" w:rsidP="0029437B">
            <w:pPr>
              <w:tabs>
                <w:tab w:val="decimal" w:pos="59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15.986</w:t>
            </w:r>
          </w:p>
        </w:tc>
        <w:tc>
          <w:tcPr>
            <w:tcW w:w="1666" w:type="dxa"/>
            <w:tcBorders>
              <w:top w:val="single" w:sz="4" w:space="0" w:color="auto"/>
              <w:left w:val="nil"/>
              <w:right w:val="nil"/>
            </w:tcBorders>
            <w:vAlign w:val="center"/>
          </w:tcPr>
          <w:p w14:paraId="138D3D30" w14:textId="77777777" w:rsidR="00925007" w:rsidRPr="00485A40" w:rsidRDefault="00925007" w:rsidP="0029437B">
            <w:pPr>
              <w:tabs>
                <w:tab w:val="decimal" w:pos="61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13.031</w:t>
            </w:r>
          </w:p>
        </w:tc>
        <w:tc>
          <w:tcPr>
            <w:tcW w:w="1666" w:type="dxa"/>
            <w:tcBorders>
              <w:top w:val="single" w:sz="4" w:space="0" w:color="auto"/>
              <w:left w:val="nil"/>
              <w:right w:val="nil"/>
            </w:tcBorders>
            <w:vAlign w:val="center"/>
          </w:tcPr>
          <w:p w14:paraId="2C71272A" w14:textId="77777777" w:rsidR="00925007" w:rsidRPr="00485A40" w:rsidRDefault="00925007" w:rsidP="0029437B">
            <w:pPr>
              <w:tabs>
                <w:tab w:val="decimal" w:pos="60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-15.639</w:t>
            </w:r>
          </w:p>
        </w:tc>
        <w:tc>
          <w:tcPr>
            <w:tcW w:w="1666" w:type="dxa"/>
            <w:tcBorders>
              <w:top w:val="single" w:sz="4" w:space="0" w:color="auto"/>
              <w:left w:val="nil"/>
              <w:right w:val="nil"/>
            </w:tcBorders>
            <w:vAlign w:val="center"/>
          </w:tcPr>
          <w:p w14:paraId="0BF8501A" w14:textId="77777777" w:rsidR="00925007" w:rsidRPr="00485A40" w:rsidRDefault="00925007" w:rsidP="0029437B">
            <w:pPr>
              <w:tabs>
                <w:tab w:val="decimal" w:pos="59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-16.346</w:t>
            </w:r>
          </w:p>
        </w:tc>
      </w:tr>
      <w:tr w:rsidR="00925007" w14:paraId="03867676" w14:textId="77777777" w:rsidTr="0029437B">
        <w:trPr>
          <w:trHeight w:val="283"/>
        </w:trPr>
        <w:tc>
          <w:tcPr>
            <w:tcW w:w="1701" w:type="dxa"/>
            <w:tcBorders>
              <w:top w:val="nil"/>
              <w:left w:val="nil"/>
              <w:bottom w:val="nil"/>
              <w:right w:val="nil"/>
            </w:tcBorders>
            <w:vAlign w:val="center"/>
          </w:tcPr>
          <w:p w14:paraId="4E94E581" w14:textId="77777777" w:rsidR="00925007" w:rsidRPr="00485A40"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65" w:type="dxa"/>
            <w:tcBorders>
              <w:left w:val="nil"/>
              <w:right w:val="nil"/>
            </w:tcBorders>
            <w:vAlign w:val="center"/>
          </w:tcPr>
          <w:p w14:paraId="41355417" w14:textId="77777777" w:rsidR="00925007" w:rsidRPr="00485A40" w:rsidRDefault="00925007" w:rsidP="0029437B">
            <w:pPr>
              <w:tabs>
                <w:tab w:val="decimal" w:pos="59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(0.000)</w:t>
            </w:r>
          </w:p>
        </w:tc>
        <w:tc>
          <w:tcPr>
            <w:tcW w:w="1666" w:type="dxa"/>
            <w:tcBorders>
              <w:left w:val="nil"/>
              <w:right w:val="nil"/>
            </w:tcBorders>
            <w:vAlign w:val="center"/>
          </w:tcPr>
          <w:p w14:paraId="35E7C21C" w14:textId="77777777" w:rsidR="00925007" w:rsidRPr="00485A40" w:rsidRDefault="00925007" w:rsidP="0029437B">
            <w:pPr>
              <w:tabs>
                <w:tab w:val="decimal" w:pos="61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(0.000)</w:t>
            </w:r>
          </w:p>
        </w:tc>
        <w:tc>
          <w:tcPr>
            <w:tcW w:w="1666" w:type="dxa"/>
            <w:tcBorders>
              <w:left w:val="nil"/>
              <w:right w:val="nil"/>
            </w:tcBorders>
            <w:vAlign w:val="center"/>
          </w:tcPr>
          <w:p w14:paraId="170E7827" w14:textId="77777777" w:rsidR="00925007" w:rsidRPr="00485A40" w:rsidRDefault="00925007" w:rsidP="0029437B">
            <w:pPr>
              <w:tabs>
                <w:tab w:val="decimal" w:pos="60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(0.001)</w:t>
            </w:r>
          </w:p>
        </w:tc>
        <w:tc>
          <w:tcPr>
            <w:tcW w:w="1666" w:type="dxa"/>
            <w:tcBorders>
              <w:left w:val="nil"/>
              <w:right w:val="nil"/>
            </w:tcBorders>
            <w:vAlign w:val="center"/>
          </w:tcPr>
          <w:p w14:paraId="21242AB0" w14:textId="77777777" w:rsidR="00925007" w:rsidRPr="00485A40" w:rsidRDefault="00925007" w:rsidP="0029437B">
            <w:pPr>
              <w:tabs>
                <w:tab w:val="decimal" w:pos="590"/>
              </w:tabs>
              <w:autoSpaceDE w:val="0"/>
              <w:autoSpaceDN w:val="0"/>
              <w:adjustRightInd w:val="0"/>
              <w:spacing w:after="0"/>
              <w:jc w:val="both"/>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082883B7" w14:textId="77777777" w:rsidTr="0029437B">
        <w:trPr>
          <w:trHeight w:val="283"/>
        </w:trPr>
        <w:tc>
          <w:tcPr>
            <w:tcW w:w="1701" w:type="dxa"/>
            <w:tcBorders>
              <w:top w:val="nil"/>
              <w:left w:val="nil"/>
              <w:bottom w:val="single" w:sz="4" w:space="0" w:color="auto"/>
              <w:right w:val="nil"/>
            </w:tcBorders>
            <w:vAlign w:val="center"/>
          </w:tcPr>
          <w:p w14:paraId="587B3C25" w14:textId="77777777" w:rsidR="00925007" w:rsidRPr="00485A40" w:rsidRDefault="00925007" w:rsidP="0029437B">
            <w:pPr>
              <w:spacing w:before="100" w:beforeAutospacing="1" w:after="100" w:afterAutospacing="1" w:line="240" w:lineRule="auto"/>
              <w:jc w:val="both"/>
              <w:rPr>
                <w:rFonts w:ascii="Times New Roman" w:hAnsi="Times New Roman" w:cs="Times New Roman"/>
                <w:sz w:val="20"/>
                <w:szCs w:val="20"/>
              </w:rPr>
            </w:pPr>
            <w:r w:rsidRPr="00485A40">
              <w:rPr>
                <w:rFonts w:ascii="Times New Roman" w:hAnsi="Times New Roman"/>
                <w:sz w:val="20"/>
                <w:szCs w:val="20"/>
              </w:rPr>
              <w:t xml:space="preserve">adj. </w:t>
            </w:r>
            <w:r w:rsidRPr="00485A40">
              <w:rPr>
                <w:rFonts w:ascii="Times New Roman" w:hAnsi="Times New Roman"/>
                <w:i/>
                <w:iCs/>
                <w:sz w:val="20"/>
                <w:szCs w:val="20"/>
              </w:rPr>
              <w:t>R</w:t>
            </w:r>
            <w:r w:rsidRPr="00485A40">
              <w:rPr>
                <w:rFonts w:ascii="Times New Roman" w:hAnsi="Times New Roman"/>
                <w:sz w:val="20"/>
                <w:szCs w:val="20"/>
                <w:vertAlign w:val="superscript"/>
              </w:rPr>
              <w:t>2</w:t>
            </w:r>
          </w:p>
        </w:tc>
        <w:tc>
          <w:tcPr>
            <w:tcW w:w="1665" w:type="dxa"/>
            <w:tcBorders>
              <w:left w:val="nil"/>
              <w:bottom w:val="single" w:sz="4" w:space="0" w:color="auto"/>
              <w:right w:val="nil"/>
            </w:tcBorders>
            <w:vAlign w:val="center"/>
          </w:tcPr>
          <w:p w14:paraId="0ABF48E3"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w:t>
            </w:r>
            <w:r w:rsidRPr="00485A40">
              <w:rPr>
                <w:rFonts w:ascii="Times New Roman" w:hAnsi="Times New Roman" w:cs="Times New Roman"/>
                <w:sz w:val="20"/>
                <w:szCs w:val="20"/>
              </w:rPr>
              <w:t>553</w:t>
            </w:r>
          </w:p>
        </w:tc>
        <w:tc>
          <w:tcPr>
            <w:tcW w:w="1666" w:type="dxa"/>
            <w:tcBorders>
              <w:left w:val="nil"/>
              <w:bottom w:val="single" w:sz="4" w:space="0" w:color="auto"/>
              <w:right w:val="nil"/>
            </w:tcBorders>
            <w:vAlign w:val="center"/>
          </w:tcPr>
          <w:p w14:paraId="675BE017"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0.5</w:t>
            </w:r>
            <w:r w:rsidRPr="00485A40">
              <w:rPr>
                <w:rFonts w:ascii="Times New Roman" w:hAnsi="Times New Roman" w:cs="Times New Roman"/>
                <w:sz w:val="20"/>
                <w:szCs w:val="20"/>
              </w:rPr>
              <w:t>48</w:t>
            </w:r>
          </w:p>
        </w:tc>
        <w:tc>
          <w:tcPr>
            <w:tcW w:w="1666" w:type="dxa"/>
            <w:tcBorders>
              <w:left w:val="nil"/>
              <w:bottom w:val="single" w:sz="4" w:space="0" w:color="auto"/>
              <w:right w:val="nil"/>
            </w:tcBorders>
            <w:vAlign w:val="center"/>
          </w:tcPr>
          <w:p w14:paraId="4AB0B1F7"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0.4</w:t>
            </w:r>
            <w:r w:rsidRPr="00485A40">
              <w:rPr>
                <w:rFonts w:ascii="Times New Roman" w:hAnsi="Times New Roman" w:cs="Times New Roman"/>
                <w:sz w:val="20"/>
                <w:szCs w:val="20"/>
              </w:rPr>
              <w:t>15</w:t>
            </w:r>
          </w:p>
        </w:tc>
        <w:tc>
          <w:tcPr>
            <w:tcW w:w="1666" w:type="dxa"/>
            <w:tcBorders>
              <w:left w:val="nil"/>
              <w:bottom w:val="single" w:sz="4" w:space="0" w:color="auto"/>
              <w:right w:val="nil"/>
            </w:tcBorders>
            <w:vAlign w:val="center"/>
          </w:tcPr>
          <w:p w14:paraId="77A821E0"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w:t>
            </w:r>
            <w:r w:rsidRPr="00485A40">
              <w:rPr>
                <w:rFonts w:ascii="Times New Roman" w:hAnsi="Times New Roman" w:cs="Times New Roman"/>
                <w:sz w:val="20"/>
                <w:szCs w:val="20"/>
              </w:rPr>
              <w:t>488</w:t>
            </w:r>
          </w:p>
        </w:tc>
      </w:tr>
      <w:tr w:rsidR="00925007" w14:paraId="7D7F88AB" w14:textId="77777777" w:rsidTr="0029437B">
        <w:trPr>
          <w:trHeight w:val="283"/>
        </w:trPr>
        <w:tc>
          <w:tcPr>
            <w:tcW w:w="8364" w:type="dxa"/>
            <w:gridSpan w:val="5"/>
            <w:tcBorders>
              <w:top w:val="single" w:sz="4" w:space="0" w:color="auto"/>
              <w:left w:val="nil"/>
              <w:right w:val="nil"/>
            </w:tcBorders>
            <w:vAlign w:val="center"/>
          </w:tcPr>
          <w:p w14:paraId="1551C858" w14:textId="49E235AF" w:rsidR="00925007" w:rsidRPr="00485A40" w:rsidRDefault="00925007" w:rsidP="0083761C">
            <w:pPr>
              <w:autoSpaceDE w:val="0"/>
              <w:autoSpaceDN w:val="0"/>
              <w:adjustRightInd w:val="0"/>
              <w:spacing w:after="0"/>
              <w:rPr>
                <w:rFonts w:ascii="Times New Roman" w:hAnsi="Times New Roman" w:cs="Times New Roman"/>
                <w:i/>
                <w:iCs/>
                <w:color w:val="000000"/>
                <w:sz w:val="20"/>
                <w:szCs w:val="20"/>
              </w:rPr>
            </w:pPr>
            <w:r w:rsidRPr="00485A40">
              <w:rPr>
                <w:rFonts w:ascii="Times New Roman" w:hAnsi="Times New Roman" w:cs="Times New Roman"/>
                <w:sz w:val="20"/>
                <w:szCs w:val="20"/>
              </w:rPr>
              <w:t xml:space="preserve">Panel C: Loan </w:t>
            </w:r>
            <w:r w:rsidR="0083761C">
              <w:rPr>
                <w:rFonts w:ascii="Times New Roman" w:hAnsi="Times New Roman" w:cs="Times New Roman"/>
                <w:sz w:val="20"/>
                <w:szCs w:val="20"/>
              </w:rPr>
              <w:t>s</w:t>
            </w:r>
            <w:r w:rsidRPr="00485A40">
              <w:rPr>
                <w:rFonts w:ascii="Times New Roman" w:hAnsi="Times New Roman" w:cs="Times New Roman"/>
                <w:sz w:val="20"/>
                <w:szCs w:val="20"/>
              </w:rPr>
              <w:t>preads</w:t>
            </w:r>
          </w:p>
        </w:tc>
      </w:tr>
      <w:tr w:rsidR="00925007" w:rsidRPr="00F354D3" w14:paraId="156F5809" w14:textId="77777777" w:rsidTr="0029437B">
        <w:trPr>
          <w:trHeight w:val="283"/>
        </w:trPr>
        <w:tc>
          <w:tcPr>
            <w:tcW w:w="1701" w:type="dxa"/>
            <w:tcBorders>
              <w:left w:val="nil"/>
              <w:right w:val="nil"/>
            </w:tcBorders>
            <w:vAlign w:val="center"/>
          </w:tcPr>
          <w:p w14:paraId="20AB0AE0" w14:textId="77777777" w:rsidR="00925007" w:rsidRPr="00485A40" w:rsidRDefault="00925007" w:rsidP="0029437B">
            <w:pPr>
              <w:spacing w:before="100" w:beforeAutospacing="1" w:after="100" w:afterAutospacing="1" w:line="240" w:lineRule="auto"/>
              <w:jc w:val="both"/>
              <w:rPr>
                <w:rFonts w:ascii="Times New Roman" w:hAnsi="Times New Roman"/>
                <w:sz w:val="20"/>
                <w:szCs w:val="20"/>
              </w:rPr>
            </w:pPr>
          </w:p>
        </w:tc>
        <w:tc>
          <w:tcPr>
            <w:tcW w:w="1665" w:type="dxa"/>
            <w:tcBorders>
              <w:left w:val="nil"/>
              <w:right w:val="nil"/>
            </w:tcBorders>
            <w:vAlign w:val="center"/>
          </w:tcPr>
          <w:p w14:paraId="5CCCE580"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sz w:val="20"/>
                <w:szCs w:val="20"/>
              </w:rPr>
              <w:t>(1)</w:t>
            </w:r>
          </w:p>
        </w:tc>
        <w:tc>
          <w:tcPr>
            <w:tcW w:w="1666" w:type="dxa"/>
            <w:tcBorders>
              <w:left w:val="nil"/>
              <w:right w:val="nil"/>
            </w:tcBorders>
            <w:vAlign w:val="center"/>
          </w:tcPr>
          <w:p w14:paraId="3B8D4D32"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sz w:val="20"/>
                <w:szCs w:val="20"/>
              </w:rPr>
              <w:t>(2)</w:t>
            </w:r>
          </w:p>
        </w:tc>
        <w:tc>
          <w:tcPr>
            <w:tcW w:w="1666" w:type="dxa"/>
            <w:tcBorders>
              <w:left w:val="nil"/>
              <w:right w:val="nil"/>
            </w:tcBorders>
            <w:vAlign w:val="center"/>
          </w:tcPr>
          <w:p w14:paraId="36D74E02"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sz w:val="20"/>
                <w:szCs w:val="20"/>
              </w:rPr>
              <w:t>(3)</w:t>
            </w:r>
          </w:p>
        </w:tc>
        <w:tc>
          <w:tcPr>
            <w:tcW w:w="1666" w:type="dxa"/>
            <w:tcBorders>
              <w:left w:val="nil"/>
              <w:right w:val="nil"/>
            </w:tcBorders>
            <w:vAlign w:val="center"/>
          </w:tcPr>
          <w:p w14:paraId="7CD86A34"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485A40">
              <w:rPr>
                <w:rFonts w:ascii="Times New Roman" w:hAnsi="Times New Roman" w:cs="Times New Roman"/>
                <w:sz w:val="20"/>
                <w:szCs w:val="20"/>
              </w:rPr>
              <w:t>(4)</w:t>
            </w:r>
          </w:p>
        </w:tc>
      </w:tr>
      <w:tr w:rsidR="00925007" w14:paraId="5A08E90C" w14:textId="77777777" w:rsidTr="0029437B">
        <w:trPr>
          <w:trHeight w:val="283"/>
        </w:trPr>
        <w:tc>
          <w:tcPr>
            <w:tcW w:w="1701" w:type="dxa"/>
            <w:tcBorders>
              <w:left w:val="nil"/>
              <w:right w:val="nil"/>
            </w:tcBorders>
            <w:vAlign w:val="center"/>
          </w:tcPr>
          <w:p w14:paraId="6B911095" w14:textId="77777777" w:rsidR="00925007" w:rsidRPr="00485A40" w:rsidRDefault="00925007" w:rsidP="0029437B">
            <w:pPr>
              <w:spacing w:before="100" w:beforeAutospacing="1" w:after="100" w:afterAutospacing="1" w:line="240" w:lineRule="auto"/>
              <w:jc w:val="both"/>
              <w:rPr>
                <w:rFonts w:ascii="Times New Roman" w:hAnsi="Times New Roman"/>
                <w:sz w:val="20"/>
                <w:szCs w:val="20"/>
              </w:rPr>
            </w:pPr>
          </w:p>
        </w:tc>
        <w:tc>
          <w:tcPr>
            <w:tcW w:w="1665" w:type="dxa"/>
            <w:tcBorders>
              <w:left w:val="nil"/>
              <w:bottom w:val="single" w:sz="4" w:space="0" w:color="auto"/>
              <w:right w:val="nil"/>
            </w:tcBorders>
            <w:vAlign w:val="center"/>
          </w:tcPr>
          <w:p w14:paraId="373610A0"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Spr_LM</w:t>
            </w:r>
          </w:p>
        </w:tc>
        <w:tc>
          <w:tcPr>
            <w:tcW w:w="1666" w:type="dxa"/>
            <w:tcBorders>
              <w:left w:val="nil"/>
              <w:bottom w:val="single" w:sz="4" w:space="0" w:color="auto"/>
              <w:right w:val="nil"/>
            </w:tcBorders>
            <w:vAlign w:val="center"/>
          </w:tcPr>
          <w:p w14:paraId="3028A491"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Spr_S</w:t>
            </w:r>
          </w:p>
        </w:tc>
        <w:tc>
          <w:tcPr>
            <w:tcW w:w="1666" w:type="dxa"/>
            <w:tcBorders>
              <w:left w:val="nil"/>
              <w:bottom w:val="single" w:sz="4" w:space="0" w:color="auto"/>
              <w:right w:val="nil"/>
            </w:tcBorders>
            <w:vAlign w:val="center"/>
          </w:tcPr>
          <w:p w14:paraId="223E0B5F"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Loan_Spr</w:t>
            </w:r>
          </w:p>
        </w:tc>
        <w:tc>
          <w:tcPr>
            <w:tcW w:w="1666" w:type="dxa"/>
            <w:tcBorders>
              <w:left w:val="nil"/>
              <w:bottom w:val="single" w:sz="4" w:space="0" w:color="auto"/>
              <w:right w:val="nil"/>
            </w:tcBorders>
            <w:vAlign w:val="center"/>
          </w:tcPr>
          <w:p w14:paraId="4146F3EF" w14:textId="77777777" w:rsidR="00925007" w:rsidRPr="00485A40"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Spr_Synd</w:t>
            </w:r>
          </w:p>
        </w:tc>
      </w:tr>
      <w:tr w:rsidR="00925007" w14:paraId="760C7015" w14:textId="77777777" w:rsidTr="0029437B">
        <w:trPr>
          <w:trHeight w:val="283"/>
        </w:trPr>
        <w:tc>
          <w:tcPr>
            <w:tcW w:w="1701" w:type="dxa"/>
            <w:tcBorders>
              <w:left w:val="nil"/>
              <w:bottom w:val="nil"/>
              <w:right w:val="nil"/>
            </w:tcBorders>
            <w:vAlign w:val="center"/>
          </w:tcPr>
          <w:p w14:paraId="22E1474E" w14:textId="77777777" w:rsidR="00925007" w:rsidRPr="00485A40" w:rsidRDefault="00925007" w:rsidP="0029437B">
            <w:pPr>
              <w:spacing w:before="100" w:beforeAutospacing="1" w:after="100" w:afterAutospacing="1" w:line="240" w:lineRule="auto"/>
              <w:jc w:val="both"/>
              <w:rPr>
                <w:rFonts w:ascii="Times New Roman" w:hAnsi="Times New Roman"/>
                <w:sz w:val="20"/>
                <w:szCs w:val="20"/>
              </w:rPr>
            </w:pPr>
            <w:r w:rsidRPr="00485A40">
              <w:rPr>
                <w:rFonts w:ascii="Times New Roman" w:hAnsi="Times New Roman" w:cs="Times New Roman"/>
                <w:i/>
                <w:sz w:val="20"/>
                <w:szCs w:val="20"/>
              </w:rPr>
              <w:t>log</w:t>
            </w:r>
            <w:r w:rsidRPr="00485A40">
              <w:rPr>
                <w:rFonts w:ascii="Times New Roman" w:hAnsi="Times New Roman" w:cs="Times New Roman" w:hint="eastAsia"/>
                <w:i/>
                <w:sz w:val="20"/>
                <w:szCs w:val="20"/>
              </w:rPr>
              <w:t>VRP</w:t>
            </w:r>
            <w:r w:rsidRPr="00485A40">
              <w:rPr>
                <w:rFonts w:ascii="Times New Roman" w:hAnsi="Times New Roman" w:cs="Times New Roman"/>
                <w:i/>
                <w:sz w:val="20"/>
                <w:szCs w:val="20"/>
                <w:vertAlign w:val="subscript"/>
              </w:rPr>
              <w:t>t-1</w:t>
            </w:r>
          </w:p>
        </w:tc>
        <w:tc>
          <w:tcPr>
            <w:tcW w:w="1665" w:type="dxa"/>
            <w:tcBorders>
              <w:top w:val="single" w:sz="4" w:space="0" w:color="auto"/>
              <w:left w:val="nil"/>
              <w:right w:val="nil"/>
            </w:tcBorders>
            <w:vAlign w:val="center"/>
          </w:tcPr>
          <w:p w14:paraId="37793BED" w14:textId="77777777" w:rsidR="00925007" w:rsidRPr="00485A40"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41.498</w:t>
            </w:r>
          </w:p>
        </w:tc>
        <w:tc>
          <w:tcPr>
            <w:tcW w:w="1666" w:type="dxa"/>
            <w:tcBorders>
              <w:top w:val="single" w:sz="4" w:space="0" w:color="auto"/>
              <w:left w:val="nil"/>
              <w:right w:val="nil"/>
            </w:tcBorders>
            <w:vAlign w:val="center"/>
          </w:tcPr>
          <w:p w14:paraId="40FCBC9A" w14:textId="77777777" w:rsidR="00925007" w:rsidRPr="00485A40" w:rsidRDefault="00925007" w:rsidP="0029437B">
            <w:pPr>
              <w:tabs>
                <w:tab w:val="decimal" w:pos="62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28.194</w:t>
            </w:r>
          </w:p>
        </w:tc>
        <w:tc>
          <w:tcPr>
            <w:tcW w:w="1666" w:type="dxa"/>
            <w:tcBorders>
              <w:top w:val="single" w:sz="4" w:space="0" w:color="auto"/>
              <w:left w:val="nil"/>
              <w:right w:val="nil"/>
            </w:tcBorders>
            <w:vAlign w:val="center"/>
          </w:tcPr>
          <w:p w14:paraId="3ADC410E" w14:textId="77777777" w:rsidR="00925007" w:rsidRPr="00485A40" w:rsidRDefault="00925007" w:rsidP="0029437B">
            <w:pPr>
              <w:tabs>
                <w:tab w:val="decimal" w:pos="66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0.160</w:t>
            </w:r>
          </w:p>
        </w:tc>
        <w:tc>
          <w:tcPr>
            <w:tcW w:w="1666" w:type="dxa"/>
            <w:tcBorders>
              <w:top w:val="single" w:sz="4" w:space="0" w:color="auto"/>
              <w:left w:val="nil"/>
              <w:right w:val="nil"/>
            </w:tcBorders>
            <w:vAlign w:val="center"/>
          </w:tcPr>
          <w:p w14:paraId="2EB87926" w14:textId="77777777" w:rsidR="00925007" w:rsidRPr="00485A40" w:rsidRDefault="00925007" w:rsidP="0029437B">
            <w:pPr>
              <w:tabs>
                <w:tab w:val="decimal" w:pos="63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0.431</w:t>
            </w:r>
          </w:p>
        </w:tc>
      </w:tr>
      <w:tr w:rsidR="00925007" w14:paraId="73019D97" w14:textId="77777777" w:rsidTr="0029437B">
        <w:trPr>
          <w:trHeight w:val="283"/>
        </w:trPr>
        <w:tc>
          <w:tcPr>
            <w:tcW w:w="1701" w:type="dxa"/>
            <w:tcBorders>
              <w:top w:val="nil"/>
              <w:left w:val="nil"/>
              <w:bottom w:val="nil"/>
              <w:right w:val="nil"/>
            </w:tcBorders>
            <w:vAlign w:val="center"/>
          </w:tcPr>
          <w:p w14:paraId="5634C831" w14:textId="77777777" w:rsidR="00925007" w:rsidRPr="00485A40" w:rsidRDefault="00925007" w:rsidP="0029437B">
            <w:pPr>
              <w:spacing w:before="100" w:beforeAutospacing="1" w:after="100" w:afterAutospacing="1" w:line="240" w:lineRule="auto"/>
              <w:jc w:val="both"/>
              <w:rPr>
                <w:rFonts w:ascii="Times New Roman" w:hAnsi="Times New Roman"/>
                <w:sz w:val="20"/>
                <w:szCs w:val="20"/>
              </w:rPr>
            </w:pPr>
          </w:p>
        </w:tc>
        <w:tc>
          <w:tcPr>
            <w:tcW w:w="1665" w:type="dxa"/>
            <w:tcBorders>
              <w:left w:val="nil"/>
              <w:right w:val="nil"/>
            </w:tcBorders>
            <w:vAlign w:val="center"/>
          </w:tcPr>
          <w:p w14:paraId="41F0F5AA" w14:textId="77777777" w:rsidR="00925007" w:rsidRPr="00485A40"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666" w:type="dxa"/>
            <w:tcBorders>
              <w:left w:val="nil"/>
              <w:right w:val="nil"/>
            </w:tcBorders>
            <w:vAlign w:val="center"/>
          </w:tcPr>
          <w:p w14:paraId="540D49E2" w14:textId="77777777" w:rsidR="00925007" w:rsidRPr="00485A40" w:rsidRDefault="00925007" w:rsidP="0029437B">
            <w:pPr>
              <w:tabs>
                <w:tab w:val="decimal" w:pos="62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666" w:type="dxa"/>
            <w:tcBorders>
              <w:left w:val="nil"/>
              <w:right w:val="nil"/>
            </w:tcBorders>
            <w:vAlign w:val="center"/>
          </w:tcPr>
          <w:p w14:paraId="1CD835C0" w14:textId="77777777" w:rsidR="00925007" w:rsidRPr="00485A40" w:rsidRDefault="00925007" w:rsidP="0029437B">
            <w:pPr>
              <w:tabs>
                <w:tab w:val="decimal" w:pos="66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(0.003)</w:t>
            </w:r>
          </w:p>
        </w:tc>
        <w:tc>
          <w:tcPr>
            <w:tcW w:w="1666" w:type="dxa"/>
            <w:tcBorders>
              <w:left w:val="nil"/>
              <w:right w:val="nil"/>
            </w:tcBorders>
            <w:vAlign w:val="center"/>
          </w:tcPr>
          <w:p w14:paraId="2D92C7A4" w14:textId="77777777" w:rsidR="00925007" w:rsidRPr="00485A40" w:rsidRDefault="00925007" w:rsidP="0029437B">
            <w:pPr>
              <w:tabs>
                <w:tab w:val="decimal" w:pos="630"/>
              </w:tabs>
              <w:autoSpaceDE w:val="0"/>
              <w:autoSpaceDN w:val="0"/>
              <w:adjustRightInd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41674366" w14:textId="77777777" w:rsidTr="0029437B">
        <w:trPr>
          <w:trHeight w:val="283"/>
        </w:trPr>
        <w:tc>
          <w:tcPr>
            <w:tcW w:w="1701" w:type="dxa"/>
            <w:tcBorders>
              <w:top w:val="nil"/>
              <w:left w:val="nil"/>
              <w:bottom w:val="single" w:sz="4" w:space="0" w:color="auto"/>
              <w:right w:val="nil"/>
            </w:tcBorders>
            <w:vAlign w:val="center"/>
          </w:tcPr>
          <w:p w14:paraId="2007A0D8" w14:textId="77777777" w:rsidR="00925007" w:rsidRPr="00485A40" w:rsidRDefault="00925007" w:rsidP="0029437B">
            <w:pPr>
              <w:spacing w:before="100" w:beforeAutospacing="1" w:after="100" w:afterAutospacing="1" w:line="240" w:lineRule="auto"/>
              <w:jc w:val="both"/>
              <w:rPr>
                <w:rFonts w:ascii="Times New Roman" w:hAnsi="Times New Roman"/>
                <w:sz w:val="20"/>
                <w:szCs w:val="20"/>
              </w:rPr>
            </w:pPr>
            <w:r w:rsidRPr="00485A40">
              <w:rPr>
                <w:rFonts w:ascii="Times New Roman" w:hAnsi="Times New Roman"/>
                <w:sz w:val="20"/>
                <w:szCs w:val="20"/>
              </w:rPr>
              <w:t xml:space="preserve">adj. </w:t>
            </w:r>
            <w:r w:rsidRPr="00485A40">
              <w:rPr>
                <w:rFonts w:ascii="Times New Roman" w:hAnsi="Times New Roman"/>
                <w:i/>
                <w:iCs/>
                <w:sz w:val="20"/>
                <w:szCs w:val="20"/>
              </w:rPr>
              <w:t>R</w:t>
            </w:r>
            <w:r w:rsidRPr="00485A40">
              <w:rPr>
                <w:rFonts w:ascii="Times New Roman" w:hAnsi="Times New Roman"/>
                <w:sz w:val="20"/>
                <w:szCs w:val="20"/>
                <w:vertAlign w:val="superscript"/>
              </w:rPr>
              <w:t>2</w:t>
            </w:r>
          </w:p>
        </w:tc>
        <w:tc>
          <w:tcPr>
            <w:tcW w:w="1665" w:type="dxa"/>
            <w:tcBorders>
              <w:left w:val="nil"/>
              <w:bottom w:val="single" w:sz="4" w:space="0" w:color="auto"/>
              <w:right w:val="nil"/>
            </w:tcBorders>
            <w:vAlign w:val="center"/>
          </w:tcPr>
          <w:p w14:paraId="5FB24307" w14:textId="77777777" w:rsidR="00925007" w:rsidRPr="00485A40"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w:t>
            </w:r>
            <w:r w:rsidRPr="00485A40">
              <w:rPr>
                <w:rFonts w:ascii="Times New Roman" w:hAnsi="Times New Roman" w:cs="Times New Roman"/>
                <w:sz w:val="20"/>
                <w:szCs w:val="20"/>
              </w:rPr>
              <w:t>610</w:t>
            </w:r>
          </w:p>
        </w:tc>
        <w:tc>
          <w:tcPr>
            <w:tcW w:w="1666" w:type="dxa"/>
            <w:tcBorders>
              <w:left w:val="nil"/>
              <w:bottom w:val="single" w:sz="4" w:space="0" w:color="auto"/>
              <w:right w:val="nil"/>
            </w:tcBorders>
            <w:vAlign w:val="center"/>
          </w:tcPr>
          <w:p w14:paraId="54C24519" w14:textId="77777777" w:rsidR="00925007" w:rsidRPr="00485A40"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0.5</w:t>
            </w:r>
            <w:r w:rsidRPr="00485A40">
              <w:rPr>
                <w:rFonts w:ascii="Times New Roman" w:hAnsi="Times New Roman" w:cs="Times New Roman"/>
                <w:sz w:val="20"/>
                <w:szCs w:val="20"/>
              </w:rPr>
              <w:t>16</w:t>
            </w:r>
          </w:p>
        </w:tc>
        <w:tc>
          <w:tcPr>
            <w:tcW w:w="1666" w:type="dxa"/>
            <w:tcBorders>
              <w:left w:val="nil"/>
              <w:bottom w:val="single" w:sz="4" w:space="0" w:color="auto"/>
              <w:right w:val="nil"/>
            </w:tcBorders>
            <w:vAlign w:val="center"/>
          </w:tcPr>
          <w:p w14:paraId="3BE1BCF4" w14:textId="77777777" w:rsidR="00925007" w:rsidRPr="00485A40"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0.679</w:t>
            </w:r>
          </w:p>
        </w:tc>
        <w:tc>
          <w:tcPr>
            <w:tcW w:w="1666" w:type="dxa"/>
            <w:tcBorders>
              <w:left w:val="nil"/>
              <w:bottom w:val="single" w:sz="4" w:space="0" w:color="auto"/>
              <w:right w:val="nil"/>
            </w:tcBorders>
            <w:vAlign w:val="center"/>
          </w:tcPr>
          <w:p w14:paraId="5E1AB38E" w14:textId="77777777" w:rsidR="00925007" w:rsidRPr="00485A40"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0.7</w:t>
            </w:r>
            <w:r w:rsidRPr="00485A40">
              <w:rPr>
                <w:rFonts w:ascii="Times New Roman" w:hAnsi="Times New Roman" w:cs="Times New Roman"/>
                <w:sz w:val="20"/>
                <w:szCs w:val="20"/>
              </w:rPr>
              <w:t>46</w:t>
            </w:r>
          </w:p>
        </w:tc>
      </w:tr>
    </w:tbl>
    <w:p w14:paraId="319180B7" w14:textId="77777777" w:rsidR="00925007" w:rsidRPr="00B3008D" w:rsidRDefault="00925007" w:rsidP="00925007">
      <w:pPr>
        <w:tabs>
          <w:tab w:val="left" w:pos="7655"/>
        </w:tabs>
        <w:spacing w:after="0" w:line="240" w:lineRule="auto"/>
        <w:jc w:val="both"/>
        <w:rPr>
          <w:rFonts w:ascii="Times New Roman" w:hAnsi="Times New Roman" w:cs="Times New Roman"/>
          <w:sz w:val="20"/>
          <w:szCs w:val="20"/>
        </w:rPr>
      </w:pPr>
      <w:r w:rsidRPr="00266B4D">
        <w:rPr>
          <w:rFonts w:ascii="Times New Roman" w:hAnsi="Times New Roman" w:cs="Times New Roman"/>
          <w:sz w:val="20"/>
          <w:szCs w:val="20"/>
        </w:rPr>
        <w:t xml:space="preserve">NOTES: The regression follows equation (1): </w:t>
      </w:r>
      <m:oMath>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Y</m:t>
            </m:r>
          </m:e>
          <m:sub>
            <m:r>
              <w:rPr>
                <w:rFonts w:ascii="Cambria Math" w:hAnsi="Cambria Math" w:cs="Times New Roman"/>
                <w:color w:val="231F20"/>
                <w:sz w:val="20"/>
                <w:szCs w:val="20"/>
              </w:rPr>
              <m:t>t</m:t>
            </m:r>
          </m:sub>
        </m:sSub>
        <m:r>
          <w:rPr>
            <w:rFonts w:ascii="Cambria Math" w:hAnsi="Cambria Math" w:cs="Times New Roman"/>
            <w:color w:val="231F20"/>
            <w:sz w:val="20"/>
            <w:szCs w:val="20"/>
          </w:rPr>
          <m:t>=α+β</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logVRP</m:t>
            </m:r>
          </m:e>
          <m:sub>
            <m:r>
              <w:rPr>
                <w:rFonts w:ascii="Cambria Math" w:hAnsi="Cambria Math" w:cs="Times New Roman"/>
                <w:color w:val="231F20"/>
                <w:sz w:val="20"/>
                <w:szCs w:val="20"/>
              </w:rPr>
              <m:t>t-1</m:t>
            </m:r>
          </m:sub>
        </m:sSub>
        <m:r>
          <w:rPr>
            <w:rFonts w:ascii="Cambria Math" w:hAnsi="Cambria Math" w:cs="Times New Roman"/>
            <w:color w:val="231F20"/>
            <w:sz w:val="20"/>
            <w:szCs w:val="20"/>
          </w:rPr>
          <m:t>+</m:t>
        </m:r>
        <m:r>
          <m:rPr>
            <m:sty m:val="bi"/>
          </m:rPr>
          <w:rPr>
            <w:rFonts w:ascii="Cambria Math" w:hAnsi="Cambria Math" w:cs="Times New Roman"/>
            <w:color w:val="231F20"/>
            <w:sz w:val="20"/>
            <w:szCs w:val="20"/>
          </w:rPr>
          <m:t>XΓ</m:t>
        </m:r>
        <m:r>
          <w:rPr>
            <w:rFonts w:ascii="Cambria Math" w:hAnsi="Cambria Math" w:cs="Times New Roman"/>
            <w:color w:val="231F20"/>
            <w:sz w:val="20"/>
            <w:szCs w:val="20"/>
          </w:rPr>
          <m:t>+</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ε</m:t>
            </m:r>
          </m:e>
          <m:sub>
            <m:r>
              <w:rPr>
                <w:rFonts w:ascii="Cambria Math" w:hAnsi="Cambria Math" w:cs="Times New Roman"/>
                <w:color w:val="231F20"/>
                <w:sz w:val="20"/>
                <w:szCs w:val="20"/>
              </w:rPr>
              <m:t>t</m:t>
            </m:r>
          </m:sub>
        </m:sSub>
      </m:oMath>
      <w:r>
        <w:rPr>
          <w:rFonts w:ascii="Times New Roman" w:hAnsi="Times New Roman" w:cs="Times New Roman" w:hint="eastAsia"/>
          <w:color w:val="231F20"/>
          <w:sz w:val="20"/>
          <w:szCs w:val="20"/>
          <w:lang w:eastAsia="zh-TW"/>
        </w:rPr>
        <w:t xml:space="preserve">, </w:t>
      </w:r>
      <w:r w:rsidRPr="00F14005">
        <w:rPr>
          <w:rFonts w:ascii="Times New Roman" w:hAnsi="Times New Roman" w:cs="Times New Roman"/>
          <w:sz w:val="20"/>
          <w:szCs w:val="20"/>
        </w:rPr>
        <w:t xml:space="preserve">where </w:t>
      </w:r>
      <w:r w:rsidRPr="00F14005">
        <w:rPr>
          <w:rFonts w:ascii="Times New Roman" w:hAnsi="Times New Roman" w:cs="Times New Roman"/>
          <w:i/>
          <w:sz w:val="20"/>
          <w:szCs w:val="20"/>
        </w:rPr>
        <w:t>Y</w:t>
      </w:r>
      <w:r w:rsidRPr="00F14005">
        <w:rPr>
          <w:rFonts w:ascii="Times New Roman" w:hAnsi="Times New Roman" w:cs="Times New Roman"/>
          <w:i/>
          <w:sz w:val="20"/>
          <w:szCs w:val="20"/>
          <w:vertAlign w:val="subscript"/>
        </w:rPr>
        <w:t>t</w:t>
      </w:r>
      <w:r w:rsidRPr="00F14005">
        <w:rPr>
          <w:rFonts w:ascii="Times New Roman" w:hAnsi="Times New Roman" w:cs="Times New Roman"/>
          <w:sz w:val="20"/>
          <w:szCs w:val="20"/>
        </w:rPr>
        <w:t xml:space="preserve"> is one of the variables reported in the first row of</w:t>
      </w:r>
      <w:r>
        <w:rPr>
          <w:rFonts w:ascii="Times New Roman" w:hAnsi="Times New Roman" w:cs="Times New Roman"/>
          <w:sz w:val="20"/>
          <w:szCs w:val="20"/>
        </w:rPr>
        <w:t xml:space="preserve"> the three panels and</w:t>
      </w:r>
      <w:r w:rsidRPr="00266B4D">
        <w:rPr>
          <w:rFonts w:ascii="Times New Roman" w:hAnsi="Times New Roman" w:cs="Times New Roman"/>
          <w:sz w:val="20"/>
          <w:szCs w:val="20"/>
        </w:rPr>
        <w:t xml:space="preserve"> </w:t>
      </w:r>
      <m:oMath>
        <m:r>
          <m:rPr>
            <m:sty m:val="bi"/>
          </m:rPr>
          <w:rPr>
            <w:rFonts w:ascii="Cambria Math" w:hAnsi="Cambria Math" w:cs="Times New Roman"/>
            <w:color w:val="231F20"/>
            <w:sz w:val="20"/>
            <w:szCs w:val="20"/>
          </w:rPr>
          <m:t>X</m:t>
        </m:r>
      </m:oMath>
      <w:r w:rsidRPr="00266B4D">
        <w:rPr>
          <w:rFonts w:ascii="Times New Roman" w:hAnsi="Times New Roman" w:cs="Times New Roman"/>
          <w:sz w:val="20"/>
          <w:szCs w:val="20"/>
        </w:rPr>
        <w:t xml:space="preserve"> comprises the six principal components</w:t>
      </w:r>
      <w:r w:rsidRPr="00266B4D">
        <w:rPr>
          <w:rFonts w:ascii="Times New Roman" w:hAnsi="Times New Roman" w:cs="Times New Roman" w:hint="eastAsia"/>
          <w:sz w:val="20"/>
          <w:szCs w:val="20"/>
        </w:rPr>
        <w:t xml:space="preserve"> </w:t>
      </w:r>
      <w:r w:rsidRPr="00266B4D">
        <w:rPr>
          <w:rFonts w:ascii="Times New Roman" w:hAnsi="Times New Roman" w:cs="Times New Roman"/>
          <w:sz w:val="20"/>
          <w:szCs w:val="20"/>
        </w:rPr>
        <w:t xml:space="preserve">obtained from </w:t>
      </w:r>
      <w:r>
        <w:rPr>
          <w:rFonts w:ascii="Times New Roman" w:hAnsi="Times New Roman" w:cs="Times New Roman"/>
          <w:sz w:val="20"/>
          <w:szCs w:val="20"/>
        </w:rPr>
        <w:t xml:space="preserve">the </w:t>
      </w:r>
      <w:r w:rsidRPr="00266B4D">
        <w:rPr>
          <w:rFonts w:ascii="Times New Roman" w:hAnsi="Times New Roman" w:cs="Times New Roman"/>
          <w:sz w:val="20"/>
          <w:szCs w:val="20"/>
        </w:rPr>
        <w:t>Federal funds rate (</w:t>
      </w:r>
      <w:r w:rsidRPr="00266B4D">
        <w:rPr>
          <w:rFonts w:ascii="Times New Roman" w:hAnsi="Times New Roman" w:cs="Times New Roman"/>
          <w:i/>
          <w:sz w:val="20"/>
          <w:szCs w:val="20"/>
        </w:rPr>
        <w:t>FF_Rate</w:t>
      </w:r>
      <w:r w:rsidRPr="00266B4D">
        <w:rPr>
          <w:rFonts w:ascii="Times New Roman" w:hAnsi="Times New Roman" w:cs="Times New Roman"/>
          <w:sz w:val="20"/>
          <w:szCs w:val="20"/>
        </w:rPr>
        <w:t>), real</w:t>
      </w:r>
      <w:r w:rsidRPr="00B3008D">
        <w:rPr>
          <w:rFonts w:ascii="Times New Roman" w:hAnsi="Times New Roman" w:cs="Times New Roman"/>
          <w:sz w:val="20"/>
          <w:szCs w:val="20"/>
        </w:rPr>
        <w:t xml:space="preserve"> GDP growth rate (</w:t>
      </w:r>
      <w:r w:rsidRPr="00B3008D">
        <w:rPr>
          <w:rFonts w:ascii="Times New Roman" w:hAnsi="Times New Roman" w:cs="Times New Roman"/>
          <w:i/>
          <w:sz w:val="20"/>
          <w:szCs w:val="20"/>
        </w:rPr>
        <w:t>GDP</w:t>
      </w:r>
      <w:r w:rsidRPr="00B3008D">
        <w:rPr>
          <w:rFonts w:ascii="Times New Roman" w:hAnsi="Times New Roman" w:cs="Times New Roman"/>
          <w:sz w:val="20"/>
          <w:szCs w:val="20"/>
        </w:rPr>
        <w:t>), percentage change in CPI (</w:t>
      </w:r>
      <w:r w:rsidRPr="00B3008D">
        <w:rPr>
          <w:rFonts w:ascii="Times New Roman" w:hAnsi="Times New Roman" w:cs="Times New Roman"/>
          <w:i/>
          <w:sz w:val="20"/>
          <w:szCs w:val="20"/>
        </w:rPr>
        <w:t>CPI</w:t>
      </w:r>
      <w:r w:rsidRPr="00B3008D">
        <w:rPr>
          <w:rFonts w:ascii="Times New Roman" w:hAnsi="Times New Roman" w:cs="Times New Roman"/>
          <w:sz w:val="20"/>
          <w:szCs w:val="20"/>
        </w:rPr>
        <w:t>), Baa-Aaa corporate bond yield spread (</w:t>
      </w:r>
      <w:r w:rsidRPr="00B3008D">
        <w:rPr>
          <w:rFonts w:ascii="Times New Roman" w:hAnsi="Times New Roman" w:cs="Times New Roman" w:hint="eastAsia"/>
          <w:i/>
          <w:sz w:val="20"/>
          <w:szCs w:val="20"/>
        </w:rPr>
        <w:t>Credit_Spr</w:t>
      </w:r>
      <w:r w:rsidRPr="00B3008D">
        <w:rPr>
          <w:rFonts w:ascii="Times New Roman" w:hAnsi="Times New Roman" w:cs="Times New Roman"/>
          <w:sz w:val="20"/>
          <w:szCs w:val="20"/>
        </w:rPr>
        <w:t>), 10-1 year Treasury yield spread (</w:t>
      </w:r>
      <w:r w:rsidRPr="00B3008D">
        <w:rPr>
          <w:rFonts w:ascii="Times New Roman" w:hAnsi="Times New Roman" w:cs="Times New Roman"/>
          <w:i/>
          <w:sz w:val="20"/>
          <w:szCs w:val="20"/>
        </w:rPr>
        <w:t>Term_Spr</w:t>
      </w:r>
      <w:r w:rsidRPr="00B3008D">
        <w:rPr>
          <w:rFonts w:ascii="Times New Roman" w:hAnsi="Times New Roman" w:cs="Times New Roman"/>
          <w:sz w:val="20"/>
          <w:szCs w:val="20"/>
        </w:rPr>
        <w:t xml:space="preserve">), </w:t>
      </w:r>
      <w:r w:rsidRPr="00F7286A">
        <w:rPr>
          <w:rFonts w:ascii="Times New Roman" w:hAnsi="Times New Roman" w:cs="Times New Roman"/>
          <w:sz w:val="20"/>
          <w:szCs w:val="20"/>
        </w:rPr>
        <w:t>and the change in the</w:t>
      </w:r>
      <w:r w:rsidRPr="00B3008D">
        <w:rPr>
          <w:rFonts w:ascii="Times New Roman" w:hAnsi="Times New Roman" w:cs="Times New Roman"/>
          <w:sz w:val="20"/>
          <w:szCs w:val="20"/>
        </w:rPr>
        <w:t xml:space="preserve"> Index of Consumer Sentiment from the University of Michigan (</w:t>
      </w:r>
      <w:r w:rsidRPr="00B3008D">
        <w:rPr>
          <w:rFonts w:ascii="Times New Roman" w:hAnsi="Times New Roman" w:cs="Times New Roman" w:hint="eastAsia"/>
          <w:i/>
          <w:sz w:val="20"/>
          <w:szCs w:val="20"/>
        </w:rPr>
        <w:t>C</w:t>
      </w:r>
      <w:r w:rsidRPr="00B3008D">
        <w:rPr>
          <w:rFonts w:ascii="Times New Roman" w:hAnsi="Times New Roman" w:cs="Times New Roman"/>
          <w:i/>
          <w:sz w:val="20"/>
          <w:szCs w:val="20"/>
        </w:rPr>
        <w:t>SI</w:t>
      </w:r>
      <w:r w:rsidRPr="00B3008D">
        <w:rPr>
          <w:rFonts w:ascii="Times New Roman" w:hAnsi="Times New Roman" w:cs="Times New Roman"/>
          <w:sz w:val="20"/>
          <w:szCs w:val="20"/>
        </w:rPr>
        <w:t>)</w:t>
      </w:r>
      <w:r w:rsidRPr="00382621">
        <w:rPr>
          <w:rFonts w:ascii="Times New Roman" w:hAnsi="Times New Roman" w:cs="Times New Roman"/>
          <w:sz w:val="20"/>
          <w:szCs w:val="20"/>
        </w:rPr>
        <w:t>.</w:t>
      </w:r>
      <w:r>
        <w:rPr>
          <w:rFonts w:ascii="Times New Roman" w:hAnsi="Times New Roman" w:cs="Times New Roman"/>
          <w:sz w:val="20"/>
          <w:szCs w:val="20"/>
        </w:rPr>
        <w:t xml:space="preserve"> The coefficients on </w:t>
      </w:r>
      <m:oMath>
        <m:r>
          <m:rPr>
            <m:sty m:val="bi"/>
          </m:rPr>
          <w:rPr>
            <w:rFonts w:ascii="Cambria Math" w:hAnsi="Cambria Math" w:cs="Times New Roman"/>
            <w:color w:val="231F20"/>
            <w:sz w:val="20"/>
            <w:szCs w:val="20"/>
          </w:rPr>
          <m:t>X</m:t>
        </m:r>
      </m:oMath>
      <w:r>
        <w:rPr>
          <w:rFonts w:ascii="Times New Roman" w:hAnsi="Times New Roman" w:cs="Times New Roman" w:hint="eastAsia"/>
          <w:color w:val="231F20"/>
          <w:sz w:val="20"/>
          <w:szCs w:val="20"/>
          <w:lang w:eastAsia="zh-TW"/>
        </w:rPr>
        <w:t xml:space="preserve"> </w:t>
      </w:r>
      <w:r>
        <w:rPr>
          <w:rFonts w:ascii="Times New Roman" w:hAnsi="Times New Roman" w:cs="Times New Roman"/>
          <w:color w:val="231F20"/>
          <w:sz w:val="20"/>
          <w:szCs w:val="20"/>
          <w:lang w:eastAsia="zh-TW"/>
        </w:rPr>
        <w:t>are not reported in the table.</w:t>
      </w:r>
      <w:r>
        <w:rPr>
          <w:rFonts w:ascii="Times New Roman" w:hAnsi="Times New Roman" w:cs="Times New Roman"/>
          <w:sz w:val="20"/>
          <w:szCs w:val="20"/>
          <w:lang w:eastAsia="zh-HK"/>
        </w:rPr>
        <w:t xml:space="preserve"> </w:t>
      </w:r>
      <w:r w:rsidRPr="00B3008D">
        <w:rPr>
          <w:rFonts w:ascii="Times New Roman" w:hAnsi="Times New Roman" w:cs="Times New Roman"/>
          <w:sz w:val="20"/>
          <w:szCs w:val="20"/>
        </w:rPr>
        <w:t>Variable definitions are provided in Table A</w:t>
      </w:r>
      <w:r>
        <w:rPr>
          <w:rFonts w:ascii="Times New Roman" w:hAnsi="Times New Roman" w:cs="Times New Roman"/>
          <w:sz w:val="20"/>
          <w:szCs w:val="20"/>
        </w:rPr>
        <w:t>2</w:t>
      </w:r>
      <w:r w:rsidRPr="00B3008D">
        <w:rPr>
          <w:rFonts w:ascii="Times New Roman" w:hAnsi="Times New Roman" w:cs="Times New Roman"/>
          <w:sz w:val="20"/>
          <w:szCs w:val="20"/>
        </w:rPr>
        <w:t xml:space="preserve">. P-values reported in parentheses are based on Newey-West heteroskedasticity and autocorrelation consistent standard errors. There are </w:t>
      </w:r>
      <w:r>
        <w:rPr>
          <w:rFonts w:ascii="Times New Roman" w:hAnsi="Times New Roman" w:cs="Times New Roman" w:hint="eastAsia"/>
          <w:sz w:val="20"/>
          <w:szCs w:val="20"/>
          <w:lang w:eastAsia="zh-TW"/>
        </w:rPr>
        <w:t>103</w:t>
      </w:r>
      <w:r w:rsidRPr="00B3008D">
        <w:rPr>
          <w:rFonts w:ascii="Times New Roman" w:hAnsi="Times New Roman" w:cs="Times New Roman"/>
          <w:sz w:val="20"/>
          <w:szCs w:val="20"/>
        </w:rPr>
        <w:t xml:space="preserve"> observations</w:t>
      </w:r>
      <w:r>
        <w:rPr>
          <w:rFonts w:ascii="Times New Roman" w:hAnsi="Times New Roman" w:cs="Times New Roman"/>
          <w:sz w:val="20"/>
          <w:szCs w:val="20"/>
        </w:rPr>
        <w:t xml:space="preserve"> except columns (3) and (4) of Panel B with 98 observations</w:t>
      </w:r>
      <w:r w:rsidRPr="00B3008D">
        <w:rPr>
          <w:rFonts w:ascii="Times New Roman" w:hAnsi="Times New Roman" w:cs="Times New Roman"/>
          <w:sz w:val="20"/>
          <w:szCs w:val="20"/>
        </w:rPr>
        <w:t>.</w:t>
      </w:r>
    </w:p>
    <w:p w14:paraId="3603AC18" w14:textId="77777777" w:rsidR="00925007" w:rsidRPr="00094091" w:rsidRDefault="00925007" w:rsidP="00925007">
      <w:pPr>
        <w:tabs>
          <w:tab w:val="left" w:pos="7938"/>
        </w:tabs>
        <w:spacing w:after="0"/>
        <w:ind w:right="572"/>
        <w:jc w:val="both"/>
        <w:rPr>
          <w:rFonts w:ascii="Times New Roman" w:hAnsi="Times New Roman" w:cs="Times New Roman"/>
          <w:sz w:val="24"/>
          <w:szCs w:val="24"/>
        </w:rPr>
        <w:sectPr w:rsidR="00925007" w:rsidRPr="00094091" w:rsidSect="00D44D93">
          <w:pgSz w:w="11906" w:h="16838"/>
          <w:pgMar w:top="1440" w:right="1797" w:bottom="1440" w:left="1797" w:header="851" w:footer="992" w:gutter="0"/>
          <w:cols w:space="425"/>
          <w:docGrid w:linePitch="360"/>
        </w:sectPr>
      </w:pPr>
      <w:r>
        <w:rPr>
          <w:rFonts w:ascii="Times New Roman" w:hAnsi="Times New Roman" w:cs="Times New Roman"/>
          <w:sz w:val="24"/>
          <w:szCs w:val="24"/>
        </w:rPr>
        <w:t xml:space="preserve"> </w:t>
      </w:r>
    </w:p>
    <w:p w14:paraId="45EDF6BA" w14:textId="77777777" w:rsidR="00925007" w:rsidRPr="00FF4169" w:rsidRDefault="00925007" w:rsidP="00925007">
      <w:pPr>
        <w:spacing w:after="0"/>
        <w:jc w:val="both"/>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hint="eastAsia"/>
          <w:sz w:val="24"/>
          <w:szCs w:val="24"/>
        </w:rPr>
        <w:t xml:space="preserve"> </w:t>
      </w:r>
      <w:r>
        <w:rPr>
          <w:rFonts w:ascii="Times New Roman" w:hAnsi="Times New Roman" w:cs="Times New Roman"/>
          <w:sz w:val="24"/>
          <w:szCs w:val="24"/>
        </w:rPr>
        <w:t>4</w:t>
      </w:r>
    </w:p>
    <w:p w14:paraId="551F0786" w14:textId="4C8E0B2C" w:rsidR="00925007" w:rsidRPr="00F354D3" w:rsidRDefault="009526EC" w:rsidP="00925007">
      <w:pPr>
        <w:spacing w:after="0"/>
        <w:jc w:val="both"/>
        <w:rPr>
          <w:rFonts w:ascii="Times New Roman" w:hAnsi="Times New Roman" w:cs="Times New Roman"/>
        </w:rPr>
      </w:pPr>
      <w:r w:rsidRPr="00F354D3">
        <w:rPr>
          <w:rFonts w:ascii="Times New Roman" w:hAnsi="Times New Roman" w:cs="Times New Roman"/>
        </w:rPr>
        <w:t>THE EFFECTS OF UNCERTAINTY ON LOAN TERMS DURING RECESSION AND NON-RECESSION PERIODS</w:t>
      </w:r>
    </w:p>
    <w:tbl>
      <w:tblPr>
        <w:tblW w:w="13901" w:type="dxa"/>
        <w:tblLayout w:type="fixed"/>
        <w:tblCellMar>
          <w:left w:w="57" w:type="dxa"/>
          <w:right w:w="57" w:type="dxa"/>
        </w:tblCellMar>
        <w:tblLook w:val="0000" w:firstRow="0" w:lastRow="0" w:firstColumn="0" w:lastColumn="0" w:noHBand="0" w:noVBand="0"/>
      </w:tblPr>
      <w:tblGrid>
        <w:gridCol w:w="1317"/>
        <w:gridCol w:w="1258"/>
        <w:gridCol w:w="140"/>
        <w:gridCol w:w="1118"/>
        <w:gridCol w:w="281"/>
        <w:gridCol w:w="978"/>
        <w:gridCol w:w="420"/>
        <w:gridCol w:w="838"/>
        <w:gridCol w:w="560"/>
        <w:gridCol w:w="699"/>
        <w:gridCol w:w="699"/>
        <w:gridCol w:w="559"/>
        <w:gridCol w:w="839"/>
        <w:gridCol w:w="419"/>
        <w:gridCol w:w="979"/>
        <w:gridCol w:w="280"/>
        <w:gridCol w:w="1118"/>
        <w:gridCol w:w="140"/>
        <w:gridCol w:w="1259"/>
      </w:tblGrid>
      <w:tr w:rsidR="00925007" w:rsidRPr="00F354D3" w14:paraId="518DC27E" w14:textId="77777777" w:rsidTr="0029437B">
        <w:trPr>
          <w:trHeight w:val="283"/>
        </w:trPr>
        <w:tc>
          <w:tcPr>
            <w:tcW w:w="13901" w:type="dxa"/>
            <w:gridSpan w:val="19"/>
            <w:tcBorders>
              <w:top w:val="single" w:sz="4" w:space="0" w:color="auto"/>
              <w:left w:val="nil"/>
              <w:right w:val="nil"/>
            </w:tcBorders>
            <w:vAlign w:val="center"/>
          </w:tcPr>
          <w:p w14:paraId="2270843C" w14:textId="77777777" w:rsidR="00925007" w:rsidRPr="00485A40" w:rsidRDefault="00925007" w:rsidP="0029437B">
            <w:pPr>
              <w:spacing w:after="0" w:line="240" w:lineRule="auto"/>
              <w:jc w:val="both"/>
              <w:rPr>
                <w:rFonts w:ascii="Times New Roman" w:hAnsi="Times New Roman" w:cs="Times New Roman"/>
                <w:sz w:val="20"/>
                <w:szCs w:val="20"/>
              </w:rPr>
            </w:pPr>
            <w:r w:rsidRPr="00485A40">
              <w:rPr>
                <w:rFonts w:ascii="Times New Roman" w:hAnsi="Times New Roman" w:cs="Times New Roman"/>
                <w:sz w:val="20"/>
                <w:szCs w:val="20"/>
              </w:rPr>
              <w:t>Panel A: Effect of uncertainty on non-price l</w:t>
            </w:r>
            <w:r w:rsidRPr="00485A40">
              <w:rPr>
                <w:rFonts w:ascii="Times New Roman" w:hAnsi="Times New Roman" w:cs="Times New Roman" w:hint="eastAsia"/>
                <w:sz w:val="20"/>
                <w:szCs w:val="20"/>
              </w:rPr>
              <w:t>oan terms</w:t>
            </w:r>
          </w:p>
        </w:tc>
      </w:tr>
      <w:tr w:rsidR="00925007" w:rsidRPr="00F354D3" w14:paraId="28615418" w14:textId="77777777" w:rsidTr="0029437B">
        <w:trPr>
          <w:trHeight w:hRule="exact" w:val="259"/>
        </w:trPr>
        <w:tc>
          <w:tcPr>
            <w:tcW w:w="1317" w:type="dxa"/>
            <w:tcBorders>
              <w:left w:val="nil"/>
              <w:right w:val="nil"/>
            </w:tcBorders>
            <w:vAlign w:val="center"/>
          </w:tcPr>
          <w:p w14:paraId="466B4DAA" w14:textId="77777777" w:rsidR="00925007" w:rsidRPr="00485A40" w:rsidRDefault="00925007" w:rsidP="0029437B">
            <w:pPr>
              <w:autoSpaceDE w:val="0"/>
              <w:autoSpaceDN w:val="0"/>
              <w:spacing w:after="0" w:line="240" w:lineRule="auto"/>
              <w:ind w:left="-180" w:firstLine="180"/>
              <w:jc w:val="both"/>
              <w:rPr>
                <w:rFonts w:ascii="Times New Roman" w:hAnsi="Times New Roman" w:cs="Times New Roman"/>
                <w:sz w:val="20"/>
                <w:szCs w:val="20"/>
              </w:rPr>
            </w:pPr>
          </w:p>
        </w:tc>
        <w:tc>
          <w:tcPr>
            <w:tcW w:w="1398" w:type="dxa"/>
            <w:gridSpan w:val="2"/>
            <w:tcBorders>
              <w:bottom w:val="nil"/>
            </w:tcBorders>
            <w:vAlign w:val="center"/>
          </w:tcPr>
          <w:p w14:paraId="1D8F5032" w14:textId="77777777" w:rsidR="00925007" w:rsidRPr="00485A40" w:rsidRDefault="00925007" w:rsidP="0029437B">
            <w:pPr>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w:t>
            </w:r>
          </w:p>
        </w:tc>
        <w:tc>
          <w:tcPr>
            <w:tcW w:w="1399" w:type="dxa"/>
            <w:gridSpan w:val="2"/>
            <w:tcBorders>
              <w:bottom w:val="nil"/>
            </w:tcBorders>
            <w:vAlign w:val="center"/>
          </w:tcPr>
          <w:p w14:paraId="1E04550C" w14:textId="77777777" w:rsidR="00925007" w:rsidRPr="00485A40" w:rsidRDefault="00925007" w:rsidP="0029437B">
            <w:pPr>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w:t>
            </w:r>
          </w:p>
        </w:tc>
        <w:tc>
          <w:tcPr>
            <w:tcW w:w="1398" w:type="dxa"/>
            <w:gridSpan w:val="2"/>
            <w:tcBorders>
              <w:bottom w:val="nil"/>
            </w:tcBorders>
            <w:vAlign w:val="center"/>
          </w:tcPr>
          <w:p w14:paraId="273F80C2" w14:textId="77777777" w:rsidR="00925007" w:rsidRPr="00485A40" w:rsidRDefault="00925007" w:rsidP="0029437B">
            <w:pPr>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(3)</w:t>
            </w:r>
          </w:p>
        </w:tc>
        <w:tc>
          <w:tcPr>
            <w:tcW w:w="1398" w:type="dxa"/>
            <w:gridSpan w:val="2"/>
            <w:tcBorders>
              <w:bottom w:val="nil"/>
            </w:tcBorders>
            <w:vAlign w:val="center"/>
          </w:tcPr>
          <w:p w14:paraId="4A3B4C5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w:t>
            </w:r>
          </w:p>
        </w:tc>
        <w:tc>
          <w:tcPr>
            <w:tcW w:w="1398" w:type="dxa"/>
            <w:gridSpan w:val="2"/>
            <w:tcBorders>
              <w:bottom w:val="nil"/>
            </w:tcBorders>
            <w:vAlign w:val="center"/>
          </w:tcPr>
          <w:p w14:paraId="5FEBC85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(5)</w:t>
            </w:r>
          </w:p>
        </w:tc>
        <w:tc>
          <w:tcPr>
            <w:tcW w:w="1398" w:type="dxa"/>
            <w:gridSpan w:val="2"/>
            <w:tcBorders>
              <w:bottom w:val="nil"/>
            </w:tcBorders>
            <w:vAlign w:val="center"/>
          </w:tcPr>
          <w:p w14:paraId="7370C62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(6)</w:t>
            </w:r>
          </w:p>
        </w:tc>
        <w:tc>
          <w:tcPr>
            <w:tcW w:w="1398" w:type="dxa"/>
            <w:gridSpan w:val="2"/>
            <w:tcBorders>
              <w:bottom w:val="nil"/>
            </w:tcBorders>
            <w:vAlign w:val="center"/>
          </w:tcPr>
          <w:p w14:paraId="486EDA9A" w14:textId="77777777" w:rsidR="00925007" w:rsidRPr="00485A40" w:rsidRDefault="00925007" w:rsidP="0029437B">
            <w:pPr>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w:t>
            </w:r>
          </w:p>
        </w:tc>
        <w:tc>
          <w:tcPr>
            <w:tcW w:w="1398" w:type="dxa"/>
            <w:gridSpan w:val="2"/>
            <w:tcBorders>
              <w:bottom w:val="nil"/>
            </w:tcBorders>
            <w:vAlign w:val="center"/>
          </w:tcPr>
          <w:p w14:paraId="5FC51957" w14:textId="77777777" w:rsidR="00925007" w:rsidRPr="00485A40" w:rsidRDefault="00925007" w:rsidP="0029437B">
            <w:pPr>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(8)</w:t>
            </w:r>
          </w:p>
        </w:tc>
        <w:tc>
          <w:tcPr>
            <w:tcW w:w="1399" w:type="dxa"/>
            <w:gridSpan w:val="2"/>
            <w:tcBorders>
              <w:left w:val="nil"/>
              <w:bottom w:val="nil"/>
              <w:right w:val="nil"/>
            </w:tcBorders>
            <w:vAlign w:val="center"/>
          </w:tcPr>
          <w:p w14:paraId="2769FED1" w14:textId="77777777" w:rsidR="00925007" w:rsidRPr="00485A40" w:rsidRDefault="00925007" w:rsidP="0029437B">
            <w:pPr>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(9)</w:t>
            </w:r>
          </w:p>
        </w:tc>
      </w:tr>
      <w:tr w:rsidR="00925007" w14:paraId="0085A5B6" w14:textId="77777777" w:rsidTr="0029437B">
        <w:trPr>
          <w:trHeight w:val="283"/>
        </w:trPr>
        <w:tc>
          <w:tcPr>
            <w:tcW w:w="1317" w:type="dxa"/>
            <w:tcBorders>
              <w:left w:val="nil"/>
              <w:right w:val="nil"/>
            </w:tcBorders>
            <w:vAlign w:val="center"/>
          </w:tcPr>
          <w:p w14:paraId="38E3F117" w14:textId="77777777" w:rsidR="00925007" w:rsidRPr="00485A40" w:rsidRDefault="00925007" w:rsidP="0029437B">
            <w:pPr>
              <w:autoSpaceDE w:val="0"/>
              <w:autoSpaceDN w:val="0"/>
              <w:spacing w:after="0" w:line="240" w:lineRule="auto"/>
              <w:ind w:left="-180" w:firstLine="180"/>
              <w:jc w:val="both"/>
              <w:rPr>
                <w:rFonts w:ascii="Times New Roman" w:hAnsi="Times New Roman" w:cs="Times New Roman"/>
                <w:sz w:val="20"/>
                <w:szCs w:val="20"/>
              </w:rPr>
            </w:pPr>
          </w:p>
        </w:tc>
        <w:tc>
          <w:tcPr>
            <w:tcW w:w="1398" w:type="dxa"/>
            <w:gridSpan w:val="2"/>
            <w:tcBorders>
              <w:bottom w:val="single" w:sz="4" w:space="0" w:color="auto"/>
            </w:tcBorders>
            <w:vAlign w:val="center"/>
          </w:tcPr>
          <w:p w14:paraId="1BA4C710" w14:textId="77777777" w:rsidR="00925007" w:rsidRPr="00485A40" w:rsidRDefault="00925007" w:rsidP="0029437B">
            <w:pPr>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Loan</w:t>
            </w:r>
            <w:r w:rsidRPr="00485A40">
              <w:rPr>
                <w:rFonts w:ascii="Times New Roman" w:hAnsi="Times New Roman" w:cs="Times New Roman" w:hint="eastAsia"/>
                <w:i/>
                <w:sz w:val="20"/>
                <w:szCs w:val="20"/>
              </w:rPr>
              <w:t>Size_LM</w:t>
            </w:r>
          </w:p>
          <w:p w14:paraId="1B758423"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sz w:val="20"/>
                <w:szCs w:val="20"/>
              </w:rPr>
              <w:t>(SLOOS)</w:t>
            </w:r>
          </w:p>
        </w:tc>
        <w:tc>
          <w:tcPr>
            <w:tcW w:w="1399" w:type="dxa"/>
            <w:gridSpan w:val="2"/>
            <w:tcBorders>
              <w:bottom w:val="single" w:sz="4" w:space="0" w:color="auto"/>
            </w:tcBorders>
            <w:vAlign w:val="center"/>
          </w:tcPr>
          <w:p w14:paraId="065AE598" w14:textId="77777777" w:rsidR="00925007" w:rsidRPr="00485A40" w:rsidRDefault="00925007" w:rsidP="0029437B">
            <w:pPr>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Maturity_LM</w:t>
            </w:r>
          </w:p>
          <w:p w14:paraId="6826B881"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sz w:val="20"/>
                <w:szCs w:val="20"/>
              </w:rPr>
              <w:t>(SLOOS)</w:t>
            </w:r>
          </w:p>
        </w:tc>
        <w:tc>
          <w:tcPr>
            <w:tcW w:w="1398" w:type="dxa"/>
            <w:gridSpan w:val="2"/>
            <w:tcBorders>
              <w:bottom w:val="single" w:sz="4" w:space="0" w:color="auto"/>
            </w:tcBorders>
            <w:vAlign w:val="center"/>
          </w:tcPr>
          <w:p w14:paraId="30812739" w14:textId="77777777" w:rsidR="00925007" w:rsidRPr="00485A40" w:rsidRDefault="00925007" w:rsidP="0029437B">
            <w:pPr>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Secured_LM</w:t>
            </w:r>
          </w:p>
          <w:p w14:paraId="65CA80E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398" w:type="dxa"/>
            <w:gridSpan w:val="2"/>
            <w:tcBorders>
              <w:bottom w:val="single" w:sz="4" w:space="0" w:color="auto"/>
            </w:tcBorders>
            <w:vAlign w:val="center"/>
          </w:tcPr>
          <w:p w14:paraId="24C138C0"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LoanSize</w:t>
            </w:r>
          </w:p>
          <w:p w14:paraId="23AAF51E"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sz w:val="20"/>
                <w:szCs w:val="20"/>
              </w:rPr>
              <w:t>(STBL)</w:t>
            </w:r>
          </w:p>
        </w:tc>
        <w:tc>
          <w:tcPr>
            <w:tcW w:w="1398" w:type="dxa"/>
            <w:gridSpan w:val="2"/>
            <w:tcBorders>
              <w:bottom w:val="single" w:sz="4" w:space="0" w:color="auto"/>
            </w:tcBorders>
            <w:vAlign w:val="center"/>
          </w:tcPr>
          <w:p w14:paraId="708A51CB"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Maturity</w:t>
            </w:r>
          </w:p>
          <w:p w14:paraId="0570C70B"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sz w:val="20"/>
                <w:szCs w:val="20"/>
              </w:rPr>
              <w:t>(STBL)</w:t>
            </w:r>
          </w:p>
        </w:tc>
        <w:tc>
          <w:tcPr>
            <w:tcW w:w="1398" w:type="dxa"/>
            <w:gridSpan w:val="2"/>
            <w:tcBorders>
              <w:bottom w:val="single" w:sz="4" w:space="0" w:color="auto"/>
            </w:tcBorders>
            <w:vAlign w:val="center"/>
          </w:tcPr>
          <w:p w14:paraId="5290B2DB"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Secured</w:t>
            </w:r>
          </w:p>
          <w:p w14:paraId="142A6ECD"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sz w:val="20"/>
                <w:szCs w:val="20"/>
              </w:rPr>
              <w:t>(STBL)</w:t>
            </w:r>
          </w:p>
        </w:tc>
        <w:tc>
          <w:tcPr>
            <w:tcW w:w="1398" w:type="dxa"/>
            <w:gridSpan w:val="2"/>
            <w:tcBorders>
              <w:bottom w:val="single" w:sz="4" w:space="0" w:color="auto"/>
            </w:tcBorders>
            <w:vAlign w:val="center"/>
          </w:tcPr>
          <w:p w14:paraId="3AE96FE3" w14:textId="77777777" w:rsidR="00925007" w:rsidRPr="00485A40" w:rsidRDefault="00925007" w:rsidP="0029437B">
            <w:pPr>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Loan</w:t>
            </w:r>
            <w:r w:rsidRPr="00485A40">
              <w:rPr>
                <w:rFonts w:ascii="Times New Roman" w:hAnsi="Times New Roman" w:cs="Times New Roman" w:hint="eastAsia"/>
                <w:i/>
                <w:sz w:val="20"/>
                <w:szCs w:val="20"/>
              </w:rPr>
              <w:t>Size_</w:t>
            </w:r>
            <w:r w:rsidRPr="00485A40">
              <w:rPr>
                <w:rFonts w:ascii="Times New Roman" w:hAnsi="Times New Roman" w:cs="Times New Roman"/>
                <w:i/>
                <w:sz w:val="20"/>
                <w:szCs w:val="20"/>
              </w:rPr>
              <w:t>Synd</w:t>
            </w:r>
          </w:p>
          <w:p w14:paraId="287620E5"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sz w:val="20"/>
                <w:szCs w:val="20"/>
              </w:rPr>
              <w:t>(</w:t>
            </w:r>
            <w:r w:rsidRPr="00485A40">
              <w:rPr>
                <w:rFonts w:ascii="Times New Roman" w:hAnsi="Times New Roman" w:cs="Times New Roman"/>
                <w:sz w:val="20"/>
                <w:szCs w:val="20"/>
              </w:rPr>
              <w:t>LPC</w:t>
            </w:r>
            <w:r w:rsidRPr="00485A40">
              <w:rPr>
                <w:rFonts w:ascii="Times New Roman" w:hAnsi="Times New Roman" w:cs="Times New Roman" w:hint="eastAsia"/>
                <w:sz w:val="20"/>
                <w:szCs w:val="20"/>
              </w:rPr>
              <w:t>)</w:t>
            </w:r>
          </w:p>
        </w:tc>
        <w:tc>
          <w:tcPr>
            <w:tcW w:w="1398" w:type="dxa"/>
            <w:gridSpan w:val="2"/>
            <w:tcBorders>
              <w:bottom w:val="single" w:sz="4" w:space="0" w:color="auto"/>
            </w:tcBorders>
            <w:vAlign w:val="center"/>
          </w:tcPr>
          <w:p w14:paraId="56D8CB54" w14:textId="77777777" w:rsidR="00925007" w:rsidRPr="00485A40" w:rsidRDefault="00925007" w:rsidP="0029437B">
            <w:pPr>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Maturity_</w:t>
            </w:r>
            <w:r w:rsidRPr="00485A40">
              <w:rPr>
                <w:rFonts w:ascii="Times New Roman" w:hAnsi="Times New Roman" w:cs="Times New Roman"/>
                <w:i/>
                <w:sz w:val="20"/>
                <w:szCs w:val="20"/>
              </w:rPr>
              <w:t xml:space="preserve"> Synd</w:t>
            </w:r>
          </w:p>
          <w:p w14:paraId="55FD430F"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sz w:val="20"/>
                <w:szCs w:val="20"/>
              </w:rPr>
              <w:t>(</w:t>
            </w:r>
            <w:r w:rsidRPr="00485A40">
              <w:rPr>
                <w:rFonts w:ascii="Times New Roman" w:hAnsi="Times New Roman" w:cs="Times New Roman"/>
                <w:sz w:val="20"/>
                <w:szCs w:val="20"/>
              </w:rPr>
              <w:t>LPC</w:t>
            </w:r>
            <w:r w:rsidRPr="00485A40">
              <w:rPr>
                <w:rFonts w:ascii="Times New Roman" w:hAnsi="Times New Roman" w:cs="Times New Roman" w:hint="eastAsia"/>
                <w:sz w:val="20"/>
                <w:szCs w:val="20"/>
              </w:rPr>
              <w:t>)</w:t>
            </w:r>
          </w:p>
        </w:tc>
        <w:tc>
          <w:tcPr>
            <w:tcW w:w="1399" w:type="dxa"/>
            <w:gridSpan w:val="2"/>
            <w:tcBorders>
              <w:left w:val="nil"/>
              <w:bottom w:val="single" w:sz="4" w:space="0" w:color="auto"/>
              <w:right w:val="nil"/>
            </w:tcBorders>
            <w:vAlign w:val="center"/>
          </w:tcPr>
          <w:p w14:paraId="700285B7" w14:textId="77777777" w:rsidR="00925007" w:rsidRPr="00485A40" w:rsidRDefault="00925007" w:rsidP="0029437B">
            <w:pPr>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Secured_ Synd</w:t>
            </w:r>
          </w:p>
          <w:p w14:paraId="2BD0B39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w:t>
            </w:r>
            <w:r w:rsidRPr="00485A40">
              <w:rPr>
                <w:rFonts w:ascii="Times New Roman" w:hAnsi="Times New Roman" w:cs="Times New Roman"/>
                <w:sz w:val="20"/>
                <w:szCs w:val="20"/>
              </w:rPr>
              <w:t>LPC</w:t>
            </w:r>
            <w:r w:rsidRPr="00485A40">
              <w:rPr>
                <w:rFonts w:ascii="Times New Roman" w:hAnsi="Times New Roman" w:cs="Times New Roman" w:hint="eastAsia"/>
                <w:sz w:val="20"/>
                <w:szCs w:val="20"/>
              </w:rPr>
              <w:t>)</w:t>
            </w:r>
          </w:p>
        </w:tc>
      </w:tr>
      <w:tr w:rsidR="00925007" w14:paraId="0C5836A0" w14:textId="77777777" w:rsidTr="0029437B">
        <w:trPr>
          <w:trHeight w:hRule="exact" w:val="245"/>
        </w:trPr>
        <w:tc>
          <w:tcPr>
            <w:tcW w:w="1317" w:type="dxa"/>
            <w:tcBorders>
              <w:left w:val="nil"/>
              <w:bottom w:val="nil"/>
              <w:right w:val="nil"/>
            </w:tcBorders>
            <w:vAlign w:val="center"/>
          </w:tcPr>
          <w:p w14:paraId="2232D70A" w14:textId="77777777" w:rsidR="00925007" w:rsidRPr="00485A40" w:rsidRDefault="00925007" w:rsidP="0029437B">
            <w:pPr>
              <w:spacing w:after="0" w:line="240" w:lineRule="auto"/>
              <w:ind w:left="-180" w:firstLine="180"/>
              <w:jc w:val="both"/>
              <w:rPr>
                <w:rFonts w:ascii="Times New Roman" w:hAnsi="Times New Roman" w:cs="Times New Roman"/>
                <w:i/>
                <w:sz w:val="20"/>
                <w:szCs w:val="20"/>
              </w:rPr>
            </w:pPr>
            <w:r w:rsidRPr="00485A40">
              <w:rPr>
                <w:rFonts w:ascii="Times New Roman" w:hAnsi="Times New Roman" w:cs="Times New Roman"/>
                <w:i/>
                <w:sz w:val="20"/>
                <w:szCs w:val="20"/>
              </w:rPr>
              <w:t>logVR</w:t>
            </w:r>
            <w:r w:rsidRPr="00485A40">
              <w:rPr>
                <w:rFonts w:ascii="Times New Roman" w:hAnsi="Times New Roman" w:cs="Times New Roman" w:hint="eastAsia"/>
                <w:i/>
                <w:sz w:val="20"/>
                <w:szCs w:val="20"/>
              </w:rPr>
              <w:t>P</w:t>
            </w:r>
            <w:r w:rsidRPr="00485A40">
              <w:rPr>
                <w:rFonts w:ascii="Times New Roman" w:hAnsi="Times New Roman" w:cs="Times New Roman"/>
                <w:i/>
                <w:sz w:val="20"/>
                <w:szCs w:val="20"/>
                <w:vertAlign w:val="subscript"/>
                <w:lang w:eastAsia="zh-HK"/>
              </w:rPr>
              <w:t>t</w:t>
            </w:r>
            <w:r w:rsidRPr="00485A40">
              <w:rPr>
                <w:rFonts w:ascii="Times New Roman" w:hAnsi="Times New Roman" w:cs="Times New Roman"/>
                <w:sz w:val="20"/>
                <w:szCs w:val="20"/>
                <w:vertAlign w:val="subscript"/>
                <w:lang w:eastAsia="zh-HK"/>
              </w:rPr>
              <w:t>-1</w:t>
            </w:r>
          </w:p>
        </w:tc>
        <w:tc>
          <w:tcPr>
            <w:tcW w:w="1398" w:type="dxa"/>
            <w:gridSpan w:val="2"/>
            <w:tcBorders>
              <w:top w:val="single" w:sz="4" w:space="0" w:color="auto"/>
              <w:bottom w:val="nil"/>
            </w:tcBorders>
            <w:vAlign w:val="center"/>
          </w:tcPr>
          <w:p w14:paraId="13705CA6" w14:textId="77777777" w:rsidR="00925007" w:rsidRPr="00485A40" w:rsidRDefault="00925007" w:rsidP="0029437B">
            <w:pPr>
              <w:tabs>
                <w:tab w:val="decimal" w:pos="54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19.119</w:t>
            </w:r>
          </w:p>
        </w:tc>
        <w:tc>
          <w:tcPr>
            <w:tcW w:w="1399" w:type="dxa"/>
            <w:gridSpan w:val="2"/>
            <w:tcBorders>
              <w:top w:val="single" w:sz="4" w:space="0" w:color="auto"/>
              <w:bottom w:val="nil"/>
            </w:tcBorders>
            <w:vAlign w:val="center"/>
          </w:tcPr>
          <w:p w14:paraId="589F0C41" w14:textId="77777777" w:rsidR="00925007" w:rsidRPr="00485A40" w:rsidRDefault="00925007" w:rsidP="0029437B">
            <w:pPr>
              <w:tabs>
                <w:tab w:val="decimal" w:pos="54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11.628</w:t>
            </w:r>
          </w:p>
        </w:tc>
        <w:tc>
          <w:tcPr>
            <w:tcW w:w="1398" w:type="dxa"/>
            <w:gridSpan w:val="2"/>
            <w:tcBorders>
              <w:top w:val="single" w:sz="4" w:space="0" w:color="auto"/>
              <w:bottom w:val="nil"/>
            </w:tcBorders>
            <w:vAlign w:val="center"/>
          </w:tcPr>
          <w:p w14:paraId="68A607CB" w14:textId="77777777" w:rsidR="00925007" w:rsidRPr="00485A40" w:rsidRDefault="00925007" w:rsidP="0029437B">
            <w:pPr>
              <w:tabs>
                <w:tab w:val="decimal" w:pos="56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15.536</w:t>
            </w:r>
          </w:p>
        </w:tc>
        <w:tc>
          <w:tcPr>
            <w:tcW w:w="1398" w:type="dxa"/>
            <w:gridSpan w:val="2"/>
            <w:tcBorders>
              <w:top w:val="single" w:sz="4" w:space="0" w:color="auto"/>
              <w:bottom w:val="nil"/>
            </w:tcBorders>
            <w:vAlign w:val="center"/>
          </w:tcPr>
          <w:p w14:paraId="4485E7BD" w14:textId="77777777" w:rsidR="00925007" w:rsidRPr="00485A40" w:rsidRDefault="00925007" w:rsidP="0029437B">
            <w:pPr>
              <w:tabs>
                <w:tab w:val="decimal" w:pos="58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-10.320</w:t>
            </w:r>
          </w:p>
        </w:tc>
        <w:tc>
          <w:tcPr>
            <w:tcW w:w="1398" w:type="dxa"/>
            <w:gridSpan w:val="2"/>
            <w:tcBorders>
              <w:top w:val="single" w:sz="4" w:space="0" w:color="auto"/>
              <w:bottom w:val="nil"/>
            </w:tcBorders>
            <w:vAlign w:val="center"/>
          </w:tcPr>
          <w:p w14:paraId="60181433" w14:textId="77777777" w:rsidR="00925007" w:rsidRPr="00485A40" w:rsidRDefault="00925007" w:rsidP="0029437B">
            <w:pPr>
              <w:tabs>
                <w:tab w:val="decimal" w:pos="53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-101.668</w:t>
            </w:r>
          </w:p>
        </w:tc>
        <w:tc>
          <w:tcPr>
            <w:tcW w:w="1398" w:type="dxa"/>
            <w:gridSpan w:val="2"/>
            <w:tcBorders>
              <w:top w:val="single" w:sz="4" w:space="0" w:color="auto"/>
              <w:bottom w:val="nil"/>
            </w:tcBorders>
            <w:vAlign w:val="center"/>
          </w:tcPr>
          <w:p w14:paraId="16CBE0DD" w14:textId="77777777" w:rsidR="00925007" w:rsidRPr="00485A40" w:rsidRDefault="00925007" w:rsidP="0029437B">
            <w:pPr>
              <w:tabs>
                <w:tab w:val="decimal" w:pos="52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-0.314</w:t>
            </w:r>
          </w:p>
        </w:tc>
        <w:tc>
          <w:tcPr>
            <w:tcW w:w="1398" w:type="dxa"/>
            <w:gridSpan w:val="2"/>
            <w:tcBorders>
              <w:top w:val="single" w:sz="4" w:space="0" w:color="auto"/>
              <w:bottom w:val="nil"/>
            </w:tcBorders>
            <w:vAlign w:val="center"/>
          </w:tcPr>
          <w:p w14:paraId="267E4D30" w14:textId="77777777" w:rsidR="00925007" w:rsidRPr="00485A40" w:rsidRDefault="00925007" w:rsidP="0029437B">
            <w:pPr>
              <w:tabs>
                <w:tab w:val="decimal" w:pos="54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-49.438</w:t>
            </w:r>
          </w:p>
        </w:tc>
        <w:tc>
          <w:tcPr>
            <w:tcW w:w="1398" w:type="dxa"/>
            <w:gridSpan w:val="2"/>
            <w:tcBorders>
              <w:top w:val="single" w:sz="4" w:space="0" w:color="auto"/>
              <w:bottom w:val="nil"/>
            </w:tcBorders>
            <w:vAlign w:val="center"/>
          </w:tcPr>
          <w:p w14:paraId="5663E82D" w14:textId="77777777" w:rsidR="00925007" w:rsidRPr="00485A40" w:rsidRDefault="00925007" w:rsidP="0029437B">
            <w:pPr>
              <w:tabs>
                <w:tab w:val="decimal" w:pos="53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-5.045</w:t>
            </w:r>
          </w:p>
        </w:tc>
        <w:tc>
          <w:tcPr>
            <w:tcW w:w="1399" w:type="dxa"/>
            <w:gridSpan w:val="2"/>
            <w:tcBorders>
              <w:top w:val="single" w:sz="4" w:space="0" w:color="auto"/>
              <w:left w:val="nil"/>
              <w:bottom w:val="nil"/>
              <w:right w:val="nil"/>
            </w:tcBorders>
            <w:vAlign w:val="center"/>
          </w:tcPr>
          <w:p w14:paraId="51CEF9F6" w14:textId="77777777" w:rsidR="00925007" w:rsidRPr="00485A40" w:rsidRDefault="00925007" w:rsidP="0029437B">
            <w:pPr>
              <w:tabs>
                <w:tab w:val="decimal" w:pos="52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6.963</w:t>
            </w:r>
          </w:p>
        </w:tc>
      </w:tr>
      <w:tr w:rsidR="00925007" w14:paraId="747290E4" w14:textId="77777777" w:rsidTr="0029437B">
        <w:trPr>
          <w:trHeight w:hRule="exact" w:val="223"/>
        </w:trPr>
        <w:tc>
          <w:tcPr>
            <w:tcW w:w="1317" w:type="dxa"/>
            <w:tcBorders>
              <w:top w:val="nil"/>
              <w:left w:val="nil"/>
              <w:bottom w:val="nil"/>
              <w:right w:val="nil"/>
            </w:tcBorders>
            <w:vAlign w:val="center"/>
          </w:tcPr>
          <w:p w14:paraId="2F344CF3" w14:textId="77777777" w:rsidR="00925007" w:rsidRPr="00485A40" w:rsidRDefault="00925007" w:rsidP="0029437B">
            <w:pPr>
              <w:spacing w:after="0" w:line="240" w:lineRule="auto"/>
              <w:ind w:left="-180" w:firstLine="180"/>
              <w:jc w:val="both"/>
              <w:rPr>
                <w:rFonts w:ascii="Times New Roman" w:hAnsi="Times New Roman" w:cs="Times New Roman"/>
                <w:sz w:val="20"/>
                <w:szCs w:val="20"/>
              </w:rPr>
            </w:pPr>
          </w:p>
        </w:tc>
        <w:tc>
          <w:tcPr>
            <w:tcW w:w="1398" w:type="dxa"/>
            <w:gridSpan w:val="2"/>
            <w:tcBorders>
              <w:top w:val="nil"/>
              <w:bottom w:val="nil"/>
            </w:tcBorders>
            <w:vAlign w:val="center"/>
          </w:tcPr>
          <w:p w14:paraId="0478E24B" w14:textId="77777777" w:rsidR="00925007" w:rsidRPr="00485A40" w:rsidRDefault="00925007" w:rsidP="0029437B">
            <w:pPr>
              <w:tabs>
                <w:tab w:val="decimal" w:pos="54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399" w:type="dxa"/>
            <w:gridSpan w:val="2"/>
            <w:tcBorders>
              <w:top w:val="nil"/>
              <w:bottom w:val="nil"/>
            </w:tcBorders>
            <w:vAlign w:val="center"/>
          </w:tcPr>
          <w:p w14:paraId="2C8E0CD2" w14:textId="77777777" w:rsidR="00925007" w:rsidRPr="00485A40" w:rsidRDefault="00925007" w:rsidP="0029437B">
            <w:pPr>
              <w:tabs>
                <w:tab w:val="decimal" w:pos="54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(0.029)</w:t>
            </w:r>
          </w:p>
        </w:tc>
        <w:tc>
          <w:tcPr>
            <w:tcW w:w="1398" w:type="dxa"/>
            <w:gridSpan w:val="2"/>
            <w:tcBorders>
              <w:top w:val="nil"/>
              <w:bottom w:val="nil"/>
            </w:tcBorders>
            <w:vAlign w:val="center"/>
          </w:tcPr>
          <w:p w14:paraId="608EA942" w14:textId="77777777" w:rsidR="00925007" w:rsidRPr="00485A40" w:rsidRDefault="00925007" w:rsidP="0029437B">
            <w:pPr>
              <w:tabs>
                <w:tab w:val="decimal" w:pos="56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5C002211" w14:textId="77777777" w:rsidR="00925007" w:rsidRPr="00485A40" w:rsidRDefault="00925007" w:rsidP="0029437B">
            <w:pPr>
              <w:tabs>
                <w:tab w:val="decimal" w:pos="58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(0.512)</w:t>
            </w:r>
          </w:p>
        </w:tc>
        <w:tc>
          <w:tcPr>
            <w:tcW w:w="1398" w:type="dxa"/>
            <w:gridSpan w:val="2"/>
            <w:tcBorders>
              <w:top w:val="nil"/>
              <w:bottom w:val="nil"/>
            </w:tcBorders>
            <w:vAlign w:val="center"/>
          </w:tcPr>
          <w:p w14:paraId="0C27BEE5" w14:textId="77777777" w:rsidR="00925007" w:rsidRPr="00485A40" w:rsidRDefault="00925007" w:rsidP="0029437B">
            <w:pPr>
              <w:tabs>
                <w:tab w:val="decimal" w:pos="53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6BD30D10" w14:textId="77777777" w:rsidR="00925007" w:rsidRPr="00485A40" w:rsidRDefault="00925007" w:rsidP="0029437B">
            <w:pPr>
              <w:tabs>
                <w:tab w:val="decimal" w:pos="52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(0.814)</w:t>
            </w:r>
          </w:p>
        </w:tc>
        <w:tc>
          <w:tcPr>
            <w:tcW w:w="1398" w:type="dxa"/>
            <w:gridSpan w:val="2"/>
            <w:tcBorders>
              <w:top w:val="nil"/>
              <w:bottom w:val="nil"/>
            </w:tcBorders>
            <w:vAlign w:val="center"/>
          </w:tcPr>
          <w:p w14:paraId="1AA90FA8" w14:textId="77777777" w:rsidR="00925007" w:rsidRPr="00485A40" w:rsidRDefault="00925007" w:rsidP="0029437B">
            <w:pPr>
              <w:tabs>
                <w:tab w:val="decimal" w:pos="54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62CA68C9" w14:textId="77777777" w:rsidR="00925007" w:rsidRPr="00485A40" w:rsidRDefault="00925007" w:rsidP="0029437B">
            <w:pPr>
              <w:tabs>
                <w:tab w:val="decimal" w:pos="53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c>
          <w:tcPr>
            <w:tcW w:w="1399" w:type="dxa"/>
            <w:gridSpan w:val="2"/>
            <w:tcBorders>
              <w:top w:val="nil"/>
              <w:left w:val="nil"/>
              <w:bottom w:val="nil"/>
              <w:right w:val="nil"/>
            </w:tcBorders>
            <w:vAlign w:val="center"/>
          </w:tcPr>
          <w:p w14:paraId="0A22CF2C" w14:textId="77777777" w:rsidR="00925007" w:rsidRPr="00485A40" w:rsidRDefault="00925007" w:rsidP="0029437B">
            <w:pPr>
              <w:tabs>
                <w:tab w:val="decimal" w:pos="520"/>
              </w:tabs>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5D41D46B" w14:textId="77777777" w:rsidTr="0029437B">
        <w:trPr>
          <w:trHeight w:hRule="exact" w:val="223"/>
        </w:trPr>
        <w:tc>
          <w:tcPr>
            <w:tcW w:w="1317" w:type="dxa"/>
            <w:tcBorders>
              <w:top w:val="nil"/>
              <w:left w:val="nil"/>
              <w:bottom w:val="nil"/>
              <w:right w:val="nil"/>
            </w:tcBorders>
            <w:vAlign w:val="center"/>
          </w:tcPr>
          <w:p w14:paraId="6A2D66B9" w14:textId="77777777" w:rsidR="00925007" w:rsidRPr="00485A40" w:rsidRDefault="00925007" w:rsidP="0029437B">
            <w:pPr>
              <w:spacing w:after="0" w:line="240" w:lineRule="auto"/>
              <w:ind w:left="-180" w:firstLine="180"/>
              <w:jc w:val="both"/>
              <w:rPr>
                <w:rFonts w:ascii="Times New Roman" w:hAnsi="Times New Roman" w:cs="Times New Roman"/>
                <w:sz w:val="20"/>
                <w:szCs w:val="20"/>
              </w:rPr>
            </w:pPr>
            <w:r w:rsidRPr="00485A40">
              <w:rPr>
                <w:rFonts w:ascii="Times New Roman" w:hAnsi="Times New Roman" w:cs="Times New Roman" w:hint="eastAsia"/>
                <w:sz w:val="20"/>
                <w:szCs w:val="20"/>
              </w:rPr>
              <w:t>Obs.</w:t>
            </w:r>
          </w:p>
        </w:tc>
        <w:tc>
          <w:tcPr>
            <w:tcW w:w="1398" w:type="dxa"/>
            <w:gridSpan w:val="2"/>
            <w:tcBorders>
              <w:top w:val="nil"/>
              <w:bottom w:val="nil"/>
            </w:tcBorders>
            <w:vAlign w:val="center"/>
          </w:tcPr>
          <w:p w14:paraId="6ACAB6A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9" w:type="dxa"/>
            <w:gridSpan w:val="2"/>
            <w:tcBorders>
              <w:top w:val="nil"/>
              <w:bottom w:val="nil"/>
            </w:tcBorders>
            <w:vAlign w:val="center"/>
          </w:tcPr>
          <w:p w14:paraId="7DCCF5C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43</w:t>
            </w:r>
          </w:p>
        </w:tc>
        <w:tc>
          <w:tcPr>
            <w:tcW w:w="1398" w:type="dxa"/>
            <w:gridSpan w:val="2"/>
            <w:tcBorders>
              <w:top w:val="nil"/>
              <w:bottom w:val="nil"/>
            </w:tcBorders>
            <w:vAlign w:val="center"/>
          </w:tcPr>
          <w:p w14:paraId="3AFDFBF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8" w:type="dxa"/>
            <w:gridSpan w:val="2"/>
            <w:tcBorders>
              <w:top w:val="nil"/>
              <w:bottom w:val="nil"/>
            </w:tcBorders>
            <w:vAlign w:val="center"/>
          </w:tcPr>
          <w:p w14:paraId="3CB7BB0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75</w:t>
            </w:r>
          </w:p>
        </w:tc>
        <w:tc>
          <w:tcPr>
            <w:tcW w:w="1398" w:type="dxa"/>
            <w:gridSpan w:val="2"/>
            <w:tcBorders>
              <w:top w:val="nil"/>
              <w:bottom w:val="nil"/>
            </w:tcBorders>
            <w:vAlign w:val="center"/>
          </w:tcPr>
          <w:p w14:paraId="6F8F9B6A"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75</w:t>
            </w:r>
          </w:p>
        </w:tc>
        <w:tc>
          <w:tcPr>
            <w:tcW w:w="1398" w:type="dxa"/>
            <w:gridSpan w:val="2"/>
            <w:tcBorders>
              <w:top w:val="nil"/>
              <w:bottom w:val="nil"/>
            </w:tcBorders>
            <w:vAlign w:val="center"/>
          </w:tcPr>
          <w:p w14:paraId="734A2C7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75</w:t>
            </w:r>
          </w:p>
        </w:tc>
        <w:tc>
          <w:tcPr>
            <w:tcW w:w="1398" w:type="dxa"/>
            <w:gridSpan w:val="2"/>
            <w:tcBorders>
              <w:top w:val="nil"/>
              <w:bottom w:val="nil"/>
            </w:tcBorders>
            <w:vAlign w:val="center"/>
          </w:tcPr>
          <w:p w14:paraId="7F98ADEA"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8" w:type="dxa"/>
            <w:gridSpan w:val="2"/>
            <w:tcBorders>
              <w:top w:val="nil"/>
              <w:bottom w:val="nil"/>
            </w:tcBorders>
            <w:vAlign w:val="center"/>
          </w:tcPr>
          <w:p w14:paraId="1F54DE6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9" w:type="dxa"/>
            <w:gridSpan w:val="2"/>
            <w:tcBorders>
              <w:top w:val="nil"/>
              <w:left w:val="nil"/>
              <w:bottom w:val="nil"/>
              <w:right w:val="nil"/>
            </w:tcBorders>
            <w:vAlign w:val="center"/>
          </w:tcPr>
          <w:p w14:paraId="15E3BFC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r>
      <w:tr w:rsidR="00925007" w14:paraId="10CBD3A9" w14:textId="77777777" w:rsidTr="0029437B">
        <w:trPr>
          <w:trHeight w:hRule="exact" w:val="223"/>
        </w:trPr>
        <w:tc>
          <w:tcPr>
            <w:tcW w:w="1317" w:type="dxa"/>
            <w:tcBorders>
              <w:top w:val="nil"/>
              <w:left w:val="nil"/>
              <w:bottom w:val="single" w:sz="4" w:space="0" w:color="auto"/>
              <w:right w:val="nil"/>
            </w:tcBorders>
            <w:vAlign w:val="center"/>
          </w:tcPr>
          <w:p w14:paraId="417EE882" w14:textId="77777777" w:rsidR="00925007" w:rsidRPr="00485A40" w:rsidRDefault="00925007" w:rsidP="0029437B">
            <w:pPr>
              <w:spacing w:after="0" w:line="240" w:lineRule="auto"/>
              <w:ind w:left="-180" w:firstLine="180"/>
              <w:jc w:val="both"/>
              <w:rPr>
                <w:rFonts w:ascii="Times New Roman" w:hAnsi="Times New Roman" w:cs="Times New Roman"/>
                <w:sz w:val="20"/>
                <w:szCs w:val="20"/>
              </w:rPr>
            </w:pPr>
            <w:r w:rsidRPr="00485A40">
              <w:rPr>
                <w:rFonts w:ascii="Times New Roman" w:hAnsi="Times New Roman"/>
                <w:sz w:val="20"/>
                <w:szCs w:val="20"/>
              </w:rPr>
              <w:t xml:space="preserve">adj. </w:t>
            </w:r>
            <w:r w:rsidRPr="00485A40">
              <w:rPr>
                <w:rFonts w:ascii="Times New Roman" w:hAnsi="Times New Roman"/>
                <w:i/>
                <w:iCs/>
                <w:sz w:val="20"/>
                <w:szCs w:val="20"/>
              </w:rPr>
              <w:t>R</w:t>
            </w:r>
            <w:r w:rsidRPr="00485A40">
              <w:rPr>
                <w:rFonts w:ascii="Times New Roman" w:hAnsi="Times New Roman"/>
                <w:sz w:val="20"/>
                <w:szCs w:val="20"/>
                <w:vertAlign w:val="superscript"/>
              </w:rPr>
              <w:t>2</w:t>
            </w:r>
          </w:p>
        </w:tc>
        <w:tc>
          <w:tcPr>
            <w:tcW w:w="1398" w:type="dxa"/>
            <w:gridSpan w:val="2"/>
            <w:tcBorders>
              <w:top w:val="nil"/>
              <w:bottom w:val="single" w:sz="4" w:space="0" w:color="auto"/>
            </w:tcBorders>
            <w:vAlign w:val="center"/>
          </w:tcPr>
          <w:p w14:paraId="3CAAA2B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0.601</w:t>
            </w:r>
          </w:p>
        </w:tc>
        <w:tc>
          <w:tcPr>
            <w:tcW w:w="1399" w:type="dxa"/>
            <w:gridSpan w:val="2"/>
            <w:tcBorders>
              <w:top w:val="nil"/>
              <w:bottom w:val="single" w:sz="4" w:space="0" w:color="auto"/>
            </w:tcBorders>
            <w:vAlign w:val="center"/>
          </w:tcPr>
          <w:p w14:paraId="792FFD2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0.404</w:t>
            </w:r>
          </w:p>
        </w:tc>
        <w:tc>
          <w:tcPr>
            <w:tcW w:w="1398" w:type="dxa"/>
            <w:gridSpan w:val="2"/>
            <w:tcBorders>
              <w:top w:val="nil"/>
              <w:bottom w:val="single" w:sz="4" w:space="0" w:color="auto"/>
            </w:tcBorders>
            <w:vAlign w:val="center"/>
          </w:tcPr>
          <w:p w14:paraId="410F720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0.545</w:t>
            </w:r>
          </w:p>
        </w:tc>
        <w:tc>
          <w:tcPr>
            <w:tcW w:w="1398" w:type="dxa"/>
            <w:gridSpan w:val="2"/>
            <w:tcBorders>
              <w:top w:val="nil"/>
              <w:bottom w:val="single" w:sz="4" w:space="0" w:color="auto"/>
            </w:tcBorders>
            <w:vAlign w:val="center"/>
          </w:tcPr>
          <w:p w14:paraId="0896142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0.019</w:t>
            </w:r>
          </w:p>
        </w:tc>
        <w:tc>
          <w:tcPr>
            <w:tcW w:w="1398" w:type="dxa"/>
            <w:gridSpan w:val="2"/>
            <w:tcBorders>
              <w:top w:val="nil"/>
              <w:bottom w:val="single" w:sz="4" w:space="0" w:color="auto"/>
            </w:tcBorders>
            <w:vAlign w:val="center"/>
          </w:tcPr>
          <w:p w14:paraId="008F794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0.474</w:t>
            </w:r>
          </w:p>
        </w:tc>
        <w:tc>
          <w:tcPr>
            <w:tcW w:w="1398" w:type="dxa"/>
            <w:gridSpan w:val="2"/>
            <w:tcBorders>
              <w:top w:val="nil"/>
              <w:bottom w:val="single" w:sz="4" w:space="0" w:color="auto"/>
            </w:tcBorders>
            <w:vAlign w:val="center"/>
          </w:tcPr>
          <w:p w14:paraId="1B2B73B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0.254</w:t>
            </w:r>
          </w:p>
        </w:tc>
        <w:tc>
          <w:tcPr>
            <w:tcW w:w="1398" w:type="dxa"/>
            <w:gridSpan w:val="2"/>
            <w:tcBorders>
              <w:top w:val="nil"/>
              <w:bottom w:val="single" w:sz="4" w:space="0" w:color="auto"/>
            </w:tcBorders>
            <w:vAlign w:val="center"/>
          </w:tcPr>
          <w:p w14:paraId="6D037A7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0.354</w:t>
            </w:r>
          </w:p>
        </w:tc>
        <w:tc>
          <w:tcPr>
            <w:tcW w:w="1398" w:type="dxa"/>
            <w:gridSpan w:val="2"/>
            <w:tcBorders>
              <w:top w:val="nil"/>
              <w:bottom w:val="single" w:sz="4" w:space="0" w:color="auto"/>
            </w:tcBorders>
            <w:vAlign w:val="center"/>
          </w:tcPr>
          <w:p w14:paraId="397F038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0.462</w:t>
            </w:r>
          </w:p>
        </w:tc>
        <w:tc>
          <w:tcPr>
            <w:tcW w:w="1399" w:type="dxa"/>
            <w:gridSpan w:val="2"/>
            <w:tcBorders>
              <w:top w:val="nil"/>
              <w:left w:val="nil"/>
              <w:bottom w:val="single" w:sz="4" w:space="0" w:color="auto"/>
              <w:right w:val="nil"/>
            </w:tcBorders>
            <w:vAlign w:val="center"/>
          </w:tcPr>
          <w:p w14:paraId="58B7733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0.329</w:t>
            </w:r>
          </w:p>
        </w:tc>
      </w:tr>
      <w:tr w:rsidR="00925007" w:rsidRPr="00F354D3" w14:paraId="3319E80D" w14:textId="77777777" w:rsidTr="0029437B">
        <w:trPr>
          <w:trHeight w:hRule="exact" w:val="371"/>
        </w:trPr>
        <w:tc>
          <w:tcPr>
            <w:tcW w:w="13901" w:type="dxa"/>
            <w:gridSpan w:val="19"/>
            <w:tcBorders>
              <w:top w:val="single" w:sz="4" w:space="0" w:color="auto"/>
              <w:left w:val="nil"/>
              <w:right w:val="nil"/>
            </w:tcBorders>
            <w:vAlign w:val="center"/>
          </w:tcPr>
          <w:p w14:paraId="7683A33A" w14:textId="77777777" w:rsidR="00925007" w:rsidRPr="00485A40" w:rsidRDefault="00925007" w:rsidP="0029437B">
            <w:pPr>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Panel B: Effect of uncertainty on non-price l</w:t>
            </w:r>
            <w:r w:rsidRPr="00485A40">
              <w:rPr>
                <w:rFonts w:ascii="Times New Roman" w:hAnsi="Times New Roman" w:cs="Times New Roman" w:hint="eastAsia"/>
                <w:sz w:val="20"/>
                <w:szCs w:val="20"/>
              </w:rPr>
              <w:t>oan terms</w:t>
            </w:r>
            <w:r w:rsidRPr="00485A40">
              <w:rPr>
                <w:rFonts w:ascii="Times New Roman" w:hAnsi="Times New Roman" w:cs="Times New Roman"/>
                <w:sz w:val="20"/>
                <w:szCs w:val="20"/>
              </w:rPr>
              <w:t xml:space="preserve"> in recession and non-recession periods</w:t>
            </w:r>
          </w:p>
        </w:tc>
      </w:tr>
      <w:tr w:rsidR="00925007" w14:paraId="4FB607CF" w14:textId="77777777" w:rsidTr="0029437B">
        <w:trPr>
          <w:trHeight w:hRule="exact" w:val="245"/>
        </w:trPr>
        <w:tc>
          <w:tcPr>
            <w:tcW w:w="1317" w:type="dxa"/>
            <w:tcBorders>
              <w:left w:val="nil"/>
              <w:bottom w:val="nil"/>
              <w:right w:val="nil"/>
            </w:tcBorders>
            <w:vAlign w:val="center"/>
          </w:tcPr>
          <w:p w14:paraId="03E7F77E" w14:textId="77777777" w:rsidR="00925007" w:rsidRPr="00485A40" w:rsidRDefault="00925007" w:rsidP="0029437B">
            <w:pPr>
              <w:autoSpaceDE w:val="0"/>
              <w:autoSpaceDN w:val="0"/>
              <w:spacing w:after="0" w:line="240" w:lineRule="auto"/>
              <w:ind w:left="-180" w:firstLine="180"/>
              <w:jc w:val="both"/>
              <w:rPr>
                <w:rFonts w:ascii="Times New Roman" w:hAnsi="Times New Roman"/>
                <w:i/>
                <w:sz w:val="20"/>
                <w:szCs w:val="20"/>
              </w:rPr>
            </w:pPr>
            <w:r w:rsidRPr="00485A40">
              <w:rPr>
                <w:rFonts w:ascii="Times New Roman" w:hAnsi="Times New Roman" w:cs="Times New Roman"/>
                <w:i/>
                <w:sz w:val="20"/>
                <w:szCs w:val="20"/>
              </w:rPr>
              <w:t>logVR</w:t>
            </w:r>
            <w:r w:rsidRPr="00485A40">
              <w:rPr>
                <w:rFonts w:ascii="Times New Roman" w:hAnsi="Times New Roman" w:cs="Times New Roman" w:hint="eastAsia"/>
                <w:i/>
                <w:sz w:val="20"/>
                <w:szCs w:val="20"/>
              </w:rPr>
              <w:t>P</w:t>
            </w:r>
            <w:r w:rsidRPr="00485A40">
              <w:rPr>
                <w:rFonts w:ascii="Times New Roman" w:hAnsi="Times New Roman" w:cs="Times New Roman"/>
                <w:i/>
                <w:sz w:val="20"/>
                <w:szCs w:val="20"/>
                <w:vertAlign w:val="subscript"/>
                <w:lang w:eastAsia="zh-HK"/>
              </w:rPr>
              <w:t>t</w:t>
            </w:r>
            <w:r w:rsidRPr="00485A40">
              <w:rPr>
                <w:rFonts w:ascii="Times New Roman" w:hAnsi="Times New Roman" w:cs="Times New Roman"/>
                <w:sz w:val="20"/>
                <w:szCs w:val="20"/>
                <w:vertAlign w:val="subscript"/>
                <w:lang w:eastAsia="zh-HK"/>
              </w:rPr>
              <w:t xml:space="preserve">-1 </w:t>
            </w:r>
          </w:p>
        </w:tc>
        <w:tc>
          <w:tcPr>
            <w:tcW w:w="1398" w:type="dxa"/>
            <w:gridSpan w:val="2"/>
            <w:tcBorders>
              <w:bottom w:val="nil"/>
            </w:tcBorders>
            <w:vAlign w:val="center"/>
          </w:tcPr>
          <w:p w14:paraId="750E5C2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22.731</w:t>
            </w:r>
            <w:r w:rsidRPr="00485A40">
              <w:rPr>
                <w:rFonts w:ascii="Times New Roman" w:hAnsi="Times New Roman" w:cs="Times New Roman"/>
                <w:sz w:val="20"/>
                <w:szCs w:val="20"/>
                <w:vertAlign w:val="superscript"/>
              </w:rPr>
              <w:t>***</w:t>
            </w:r>
          </w:p>
        </w:tc>
        <w:tc>
          <w:tcPr>
            <w:tcW w:w="1399" w:type="dxa"/>
            <w:gridSpan w:val="2"/>
            <w:tcBorders>
              <w:bottom w:val="nil"/>
            </w:tcBorders>
            <w:vAlign w:val="center"/>
          </w:tcPr>
          <w:p w14:paraId="42F2845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12.421</w:t>
            </w:r>
            <w:r w:rsidRPr="00485A40">
              <w:rPr>
                <w:rFonts w:ascii="Times New Roman" w:hAnsi="Times New Roman" w:cs="Times New Roman"/>
                <w:sz w:val="20"/>
                <w:szCs w:val="20"/>
                <w:vertAlign w:val="superscript"/>
              </w:rPr>
              <w:t>***</w:t>
            </w:r>
          </w:p>
        </w:tc>
        <w:tc>
          <w:tcPr>
            <w:tcW w:w="1398" w:type="dxa"/>
            <w:gridSpan w:val="2"/>
            <w:tcBorders>
              <w:bottom w:val="nil"/>
            </w:tcBorders>
            <w:vAlign w:val="center"/>
          </w:tcPr>
          <w:p w14:paraId="6CCC93D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18.997</w:t>
            </w:r>
            <w:r w:rsidRPr="00485A40">
              <w:rPr>
                <w:rFonts w:ascii="Times New Roman" w:hAnsi="Times New Roman" w:cs="Times New Roman"/>
                <w:sz w:val="20"/>
                <w:szCs w:val="20"/>
                <w:vertAlign w:val="superscript"/>
              </w:rPr>
              <w:t>***</w:t>
            </w:r>
          </w:p>
        </w:tc>
        <w:tc>
          <w:tcPr>
            <w:tcW w:w="1398" w:type="dxa"/>
            <w:gridSpan w:val="2"/>
            <w:tcBorders>
              <w:bottom w:val="nil"/>
            </w:tcBorders>
            <w:vAlign w:val="center"/>
          </w:tcPr>
          <w:p w14:paraId="7F4F7CF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-17.602</w:t>
            </w:r>
          </w:p>
        </w:tc>
        <w:tc>
          <w:tcPr>
            <w:tcW w:w="1398" w:type="dxa"/>
            <w:gridSpan w:val="2"/>
            <w:tcBorders>
              <w:bottom w:val="nil"/>
            </w:tcBorders>
            <w:vAlign w:val="center"/>
          </w:tcPr>
          <w:p w14:paraId="2779C08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-109.612</w:t>
            </w:r>
          </w:p>
        </w:tc>
        <w:tc>
          <w:tcPr>
            <w:tcW w:w="1398" w:type="dxa"/>
            <w:gridSpan w:val="2"/>
            <w:tcBorders>
              <w:bottom w:val="nil"/>
            </w:tcBorders>
            <w:vAlign w:val="center"/>
          </w:tcPr>
          <w:p w14:paraId="04DB1EA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-0.144</w:t>
            </w:r>
          </w:p>
        </w:tc>
        <w:tc>
          <w:tcPr>
            <w:tcW w:w="1398" w:type="dxa"/>
            <w:gridSpan w:val="2"/>
            <w:tcBorders>
              <w:bottom w:val="nil"/>
            </w:tcBorders>
            <w:vAlign w:val="center"/>
          </w:tcPr>
          <w:p w14:paraId="6533EE4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-51.154</w:t>
            </w:r>
          </w:p>
        </w:tc>
        <w:tc>
          <w:tcPr>
            <w:tcW w:w="1398" w:type="dxa"/>
            <w:gridSpan w:val="2"/>
            <w:tcBorders>
              <w:bottom w:val="nil"/>
            </w:tcBorders>
            <w:vAlign w:val="center"/>
          </w:tcPr>
          <w:p w14:paraId="1449963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-5.478</w:t>
            </w:r>
          </w:p>
        </w:tc>
        <w:tc>
          <w:tcPr>
            <w:tcW w:w="1399" w:type="dxa"/>
            <w:gridSpan w:val="2"/>
            <w:tcBorders>
              <w:left w:val="nil"/>
              <w:bottom w:val="nil"/>
              <w:right w:val="nil"/>
            </w:tcBorders>
            <w:vAlign w:val="center"/>
          </w:tcPr>
          <w:p w14:paraId="661506E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7.760</w:t>
            </w:r>
          </w:p>
        </w:tc>
      </w:tr>
      <w:tr w:rsidR="00925007" w14:paraId="053D7598" w14:textId="77777777" w:rsidTr="0029437B">
        <w:trPr>
          <w:trHeight w:hRule="exact" w:val="245"/>
        </w:trPr>
        <w:tc>
          <w:tcPr>
            <w:tcW w:w="1317" w:type="dxa"/>
            <w:tcBorders>
              <w:top w:val="nil"/>
              <w:left w:val="nil"/>
              <w:bottom w:val="nil"/>
              <w:right w:val="nil"/>
            </w:tcBorders>
          </w:tcPr>
          <w:p w14:paraId="155665C5" w14:textId="77777777" w:rsidR="00925007" w:rsidRPr="00485A40" w:rsidRDefault="00925007" w:rsidP="0029437B">
            <w:pPr>
              <w:autoSpaceDE w:val="0"/>
              <w:autoSpaceDN w:val="0"/>
              <w:spacing w:before="100" w:beforeAutospacing="1" w:after="0" w:line="240" w:lineRule="auto"/>
              <w:ind w:left="-180" w:firstLine="180"/>
              <w:rPr>
                <w:rFonts w:ascii="Times New Roman" w:hAnsi="Times New Roman"/>
                <w:i/>
                <w:sz w:val="20"/>
                <w:szCs w:val="20"/>
              </w:rPr>
            </w:pPr>
            <m:oMath>
              <m:r>
                <w:rPr>
                  <w:rFonts w:ascii="Cambria Math" w:hAnsi="Cambria Math" w:cs="Times New Roman"/>
                  <w:sz w:val="20"/>
                  <w:szCs w:val="20"/>
                  <w:vertAlign w:val="subscript"/>
                  <w:lang w:eastAsia="zh-HK"/>
                </w:rPr>
                <m:t>×</m:t>
              </m:r>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REC</m:t>
                  </m:r>
                </m:sub>
              </m:sSub>
            </m:oMath>
            <w:r w:rsidRPr="00485A40">
              <w:rPr>
                <w:rFonts w:ascii="Times New Roman" w:hAnsi="Times New Roman"/>
                <w:i/>
                <w:sz w:val="20"/>
                <w:szCs w:val="20"/>
              </w:rPr>
              <w:t xml:space="preserve"> </w:t>
            </w:r>
          </w:p>
        </w:tc>
        <w:tc>
          <w:tcPr>
            <w:tcW w:w="1398" w:type="dxa"/>
            <w:gridSpan w:val="2"/>
            <w:tcBorders>
              <w:top w:val="nil"/>
              <w:bottom w:val="nil"/>
            </w:tcBorders>
            <w:vAlign w:val="center"/>
          </w:tcPr>
          <w:p w14:paraId="2E8AFAA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9" w:type="dxa"/>
            <w:gridSpan w:val="2"/>
            <w:tcBorders>
              <w:top w:val="nil"/>
              <w:bottom w:val="nil"/>
            </w:tcBorders>
            <w:vAlign w:val="center"/>
          </w:tcPr>
          <w:p w14:paraId="24BF9CF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(0.001)</w:t>
            </w:r>
          </w:p>
        </w:tc>
        <w:tc>
          <w:tcPr>
            <w:tcW w:w="1398" w:type="dxa"/>
            <w:gridSpan w:val="2"/>
            <w:tcBorders>
              <w:top w:val="nil"/>
              <w:bottom w:val="nil"/>
            </w:tcBorders>
            <w:vAlign w:val="center"/>
          </w:tcPr>
          <w:p w14:paraId="65F5423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0CFAF2D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(0.286)</w:t>
            </w:r>
          </w:p>
        </w:tc>
        <w:tc>
          <w:tcPr>
            <w:tcW w:w="1398" w:type="dxa"/>
            <w:gridSpan w:val="2"/>
            <w:tcBorders>
              <w:top w:val="nil"/>
              <w:bottom w:val="nil"/>
            </w:tcBorders>
            <w:vAlign w:val="center"/>
          </w:tcPr>
          <w:p w14:paraId="1242929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1EFEBA6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(0.918)</w:t>
            </w:r>
          </w:p>
        </w:tc>
        <w:tc>
          <w:tcPr>
            <w:tcW w:w="1398" w:type="dxa"/>
            <w:gridSpan w:val="2"/>
            <w:tcBorders>
              <w:top w:val="nil"/>
              <w:bottom w:val="nil"/>
            </w:tcBorders>
            <w:vAlign w:val="center"/>
          </w:tcPr>
          <w:p w14:paraId="2D42759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69A6BA3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9" w:type="dxa"/>
            <w:gridSpan w:val="2"/>
            <w:tcBorders>
              <w:top w:val="nil"/>
              <w:left w:val="nil"/>
              <w:bottom w:val="nil"/>
              <w:right w:val="nil"/>
            </w:tcBorders>
            <w:vAlign w:val="center"/>
          </w:tcPr>
          <w:p w14:paraId="3C43847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389EF1F5" w14:textId="77777777" w:rsidTr="0029437B">
        <w:trPr>
          <w:trHeight w:hRule="exact" w:val="245"/>
        </w:trPr>
        <w:tc>
          <w:tcPr>
            <w:tcW w:w="1317" w:type="dxa"/>
            <w:tcBorders>
              <w:top w:val="nil"/>
              <w:left w:val="nil"/>
              <w:bottom w:val="nil"/>
              <w:right w:val="nil"/>
            </w:tcBorders>
            <w:vAlign w:val="center"/>
          </w:tcPr>
          <w:p w14:paraId="21D4E9B7" w14:textId="77777777" w:rsidR="00925007" w:rsidRPr="00485A40" w:rsidRDefault="00925007" w:rsidP="0029437B">
            <w:pPr>
              <w:autoSpaceDE w:val="0"/>
              <w:autoSpaceDN w:val="0"/>
              <w:spacing w:after="0" w:line="240" w:lineRule="auto"/>
              <w:ind w:left="-180" w:firstLine="180"/>
              <w:jc w:val="both"/>
              <w:rPr>
                <w:rFonts w:ascii="Times New Roman" w:hAnsi="Times New Roman"/>
                <w:i/>
                <w:sz w:val="20"/>
                <w:szCs w:val="20"/>
              </w:rPr>
            </w:pPr>
            <w:r w:rsidRPr="00485A40">
              <w:rPr>
                <w:rFonts w:ascii="Times New Roman" w:hAnsi="Times New Roman" w:cs="Times New Roman"/>
                <w:i/>
                <w:sz w:val="20"/>
                <w:szCs w:val="20"/>
              </w:rPr>
              <w:t>logVR</w:t>
            </w:r>
            <w:r w:rsidRPr="00485A40">
              <w:rPr>
                <w:rFonts w:ascii="Times New Roman" w:hAnsi="Times New Roman" w:cs="Times New Roman" w:hint="eastAsia"/>
                <w:i/>
                <w:sz w:val="20"/>
                <w:szCs w:val="20"/>
              </w:rPr>
              <w:t>P</w:t>
            </w:r>
            <w:r w:rsidRPr="00485A40">
              <w:rPr>
                <w:rFonts w:ascii="Times New Roman" w:hAnsi="Times New Roman" w:cs="Times New Roman"/>
                <w:i/>
                <w:sz w:val="20"/>
                <w:szCs w:val="20"/>
                <w:vertAlign w:val="subscript"/>
                <w:lang w:eastAsia="zh-HK"/>
              </w:rPr>
              <w:t>t</w:t>
            </w:r>
            <w:r w:rsidRPr="00485A40">
              <w:rPr>
                <w:rFonts w:ascii="Times New Roman" w:hAnsi="Times New Roman" w:cs="Times New Roman"/>
                <w:sz w:val="20"/>
                <w:szCs w:val="20"/>
                <w:vertAlign w:val="subscript"/>
                <w:lang w:eastAsia="zh-HK"/>
              </w:rPr>
              <w:t>-1</w:t>
            </w:r>
          </w:p>
        </w:tc>
        <w:tc>
          <w:tcPr>
            <w:tcW w:w="1398" w:type="dxa"/>
            <w:gridSpan w:val="2"/>
            <w:tcBorders>
              <w:top w:val="nil"/>
              <w:bottom w:val="nil"/>
            </w:tcBorders>
            <w:vAlign w:val="center"/>
          </w:tcPr>
          <w:p w14:paraId="0016CC6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16.036</w:t>
            </w:r>
          </w:p>
        </w:tc>
        <w:tc>
          <w:tcPr>
            <w:tcW w:w="1399" w:type="dxa"/>
            <w:gridSpan w:val="2"/>
            <w:tcBorders>
              <w:top w:val="nil"/>
              <w:bottom w:val="nil"/>
            </w:tcBorders>
            <w:vAlign w:val="center"/>
          </w:tcPr>
          <w:p w14:paraId="05AB4FE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-0.792</w:t>
            </w:r>
          </w:p>
        </w:tc>
        <w:tc>
          <w:tcPr>
            <w:tcW w:w="1398" w:type="dxa"/>
            <w:gridSpan w:val="2"/>
            <w:tcBorders>
              <w:top w:val="nil"/>
              <w:bottom w:val="nil"/>
            </w:tcBorders>
            <w:vAlign w:val="center"/>
          </w:tcPr>
          <w:p w14:paraId="1824056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12.581</w:t>
            </w:r>
          </w:p>
        </w:tc>
        <w:tc>
          <w:tcPr>
            <w:tcW w:w="1398" w:type="dxa"/>
            <w:gridSpan w:val="2"/>
            <w:tcBorders>
              <w:top w:val="nil"/>
              <w:bottom w:val="nil"/>
            </w:tcBorders>
            <w:vAlign w:val="center"/>
          </w:tcPr>
          <w:p w14:paraId="38F08E1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-6.695</w:t>
            </w:r>
          </w:p>
        </w:tc>
        <w:tc>
          <w:tcPr>
            <w:tcW w:w="1398" w:type="dxa"/>
            <w:gridSpan w:val="2"/>
            <w:tcBorders>
              <w:top w:val="nil"/>
              <w:bottom w:val="nil"/>
            </w:tcBorders>
            <w:vAlign w:val="center"/>
          </w:tcPr>
          <w:p w14:paraId="7F88D7A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-97.713</w:t>
            </w:r>
          </w:p>
        </w:tc>
        <w:tc>
          <w:tcPr>
            <w:tcW w:w="1398" w:type="dxa"/>
            <w:gridSpan w:val="2"/>
            <w:tcBorders>
              <w:top w:val="nil"/>
              <w:bottom w:val="nil"/>
            </w:tcBorders>
            <w:vAlign w:val="center"/>
          </w:tcPr>
          <w:p w14:paraId="3FC6FA1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-0.399</w:t>
            </w:r>
          </w:p>
        </w:tc>
        <w:tc>
          <w:tcPr>
            <w:tcW w:w="1398" w:type="dxa"/>
            <w:gridSpan w:val="2"/>
            <w:tcBorders>
              <w:top w:val="nil"/>
              <w:bottom w:val="nil"/>
            </w:tcBorders>
            <w:vAlign w:val="center"/>
          </w:tcPr>
          <w:p w14:paraId="4F76048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-47.973</w:t>
            </w:r>
          </w:p>
        </w:tc>
        <w:tc>
          <w:tcPr>
            <w:tcW w:w="1398" w:type="dxa"/>
            <w:gridSpan w:val="2"/>
            <w:tcBorders>
              <w:top w:val="nil"/>
              <w:bottom w:val="nil"/>
            </w:tcBorders>
            <w:vAlign w:val="center"/>
          </w:tcPr>
          <w:p w14:paraId="7D98684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-4.675</w:t>
            </w:r>
          </w:p>
        </w:tc>
        <w:tc>
          <w:tcPr>
            <w:tcW w:w="1399" w:type="dxa"/>
            <w:gridSpan w:val="2"/>
            <w:tcBorders>
              <w:top w:val="nil"/>
              <w:left w:val="nil"/>
              <w:bottom w:val="nil"/>
              <w:right w:val="nil"/>
            </w:tcBorders>
            <w:vAlign w:val="center"/>
          </w:tcPr>
          <w:p w14:paraId="5AE5B007"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6.282</w:t>
            </w:r>
          </w:p>
        </w:tc>
      </w:tr>
      <w:tr w:rsidR="00925007" w14:paraId="36646015" w14:textId="77777777" w:rsidTr="0029437B">
        <w:trPr>
          <w:trHeight w:hRule="exact" w:val="245"/>
        </w:trPr>
        <w:tc>
          <w:tcPr>
            <w:tcW w:w="1317" w:type="dxa"/>
            <w:tcBorders>
              <w:top w:val="nil"/>
              <w:left w:val="nil"/>
              <w:bottom w:val="nil"/>
              <w:right w:val="nil"/>
            </w:tcBorders>
          </w:tcPr>
          <w:p w14:paraId="44B50FAE" w14:textId="77777777" w:rsidR="00925007" w:rsidRPr="00485A40" w:rsidRDefault="00925007" w:rsidP="0029437B">
            <w:pPr>
              <w:spacing w:after="0" w:line="240" w:lineRule="auto"/>
              <w:ind w:left="-180" w:firstLine="180"/>
              <w:rPr>
                <w:rFonts w:ascii="Times New Roman" w:hAnsi="Times New Roman" w:cs="Times New Roman"/>
                <w:sz w:val="20"/>
                <w:szCs w:val="20"/>
              </w:rPr>
            </w:pPr>
            <m:oMath>
              <m:r>
                <w:rPr>
                  <w:rFonts w:ascii="Cambria Math" w:hAnsi="Cambria Math" w:cs="Times New Roman"/>
                  <w:sz w:val="20"/>
                  <w:szCs w:val="20"/>
                  <w:vertAlign w:val="subscript"/>
                  <w:lang w:eastAsia="zh-HK"/>
                </w:rPr>
                <m:t>×(1-</m:t>
              </m:r>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REC</m:t>
                  </m:r>
                </m:sub>
              </m:sSub>
              <m:r>
                <w:rPr>
                  <w:rFonts w:ascii="Cambria Math" w:hAnsi="Cambria Math"/>
                  <w:sz w:val="20"/>
                  <w:szCs w:val="20"/>
                </w:rPr>
                <m:t>)</m:t>
              </m:r>
            </m:oMath>
            <w:r w:rsidRPr="00485A40">
              <w:rPr>
                <w:rFonts w:ascii="Times New Roman" w:hAnsi="Times New Roman" w:cs="Times New Roman"/>
                <w:sz w:val="20"/>
                <w:szCs w:val="20"/>
              </w:rPr>
              <w:t xml:space="preserve"> </w:t>
            </w:r>
          </w:p>
        </w:tc>
        <w:tc>
          <w:tcPr>
            <w:tcW w:w="1398" w:type="dxa"/>
            <w:gridSpan w:val="2"/>
            <w:tcBorders>
              <w:top w:val="nil"/>
              <w:bottom w:val="nil"/>
            </w:tcBorders>
            <w:vAlign w:val="center"/>
          </w:tcPr>
          <w:p w14:paraId="7127719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9" w:type="dxa"/>
            <w:gridSpan w:val="2"/>
            <w:tcBorders>
              <w:top w:val="nil"/>
              <w:bottom w:val="nil"/>
            </w:tcBorders>
            <w:vAlign w:val="center"/>
          </w:tcPr>
          <w:p w14:paraId="113D462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(0.868)</w:t>
            </w:r>
          </w:p>
        </w:tc>
        <w:tc>
          <w:tcPr>
            <w:tcW w:w="1398" w:type="dxa"/>
            <w:gridSpan w:val="2"/>
            <w:tcBorders>
              <w:top w:val="nil"/>
              <w:bottom w:val="nil"/>
            </w:tcBorders>
            <w:vAlign w:val="center"/>
          </w:tcPr>
          <w:p w14:paraId="76B85A7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1974934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(0.699)</w:t>
            </w:r>
          </w:p>
        </w:tc>
        <w:tc>
          <w:tcPr>
            <w:tcW w:w="1398" w:type="dxa"/>
            <w:gridSpan w:val="2"/>
            <w:tcBorders>
              <w:top w:val="nil"/>
              <w:bottom w:val="nil"/>
            </w:tcBorders>
            <w:vAlign w:val="center"/>
          </w:tcPr>
          <w:p w14:paraId="2843D0C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4CAE54E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(0.779)</w:t>
            </w:r>
          </w:p>
        </w:tc>
        <w:tc>
          <w:tcPr>
            <w:tcW w:w="1398" w:type="dxa"/>
            <w:gridSpan w:val="2"/>
            <w:tcBorders>
              <w:top w:val="nil"/>
              <w:bottom w:val="nil"/>
            </w:tcBorders>
            <w:vAlign w:val="center"/>
          </w:tcPr>
          <w:p w14:paraId="56FB717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8" w:type="dxa"/>
            <w:gridSpan w:val="2"/>
            <w:tcBorders>
              <w:top w:val="nil"/>
              <w:bottom w:val="nil"/>
            </w:tcBorders>
            <w:vAlign w:val="center"/>
          </w:tcPr>
          <w:p w14:paraId="073BC1E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399" w:type="dxa"/>
            <w:gridSpan w:val="2"/>
            <w:tcBorders>
              <w:top w:val="nil"/>
              <w:left w:val="nil"/>
              <w:bottom w:val="nil"/>
              <w:right w:val="nil"/>
            </w:tcBorders>
            <w:vAlign w:val="center"/>
          </w:tcPr>
          <w:p w14:paraId="1A89E00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3A341C52" w14:textId="77777777" w:rsidTr="0029437B">
        <w:trPr>
          <w:trHeight w:hRule="exact" w:val="223"/>
        </w:trPr>
        <w:tc>
          <w:tcPr>
            <w:tcW w:w="1317" w:type="dxa"/>
            <w:tcBorders>
              <w:top w:val="nil"/>
              <w:left w:val="nil"/>
              <w:right w:val="nil"/>
            </w:tcBorders>
            <w:vAlign w:val="center"/>
          </w:tcPr>
          <w:p w14:paraId="43C6E2EA" w14:textId="77777777" w:rsidR="00925007" w:rsidRPr="00485A40" w:rsidRDefault="00925007" w:rsidP="0029437B">
            <w:pPr>
              <w:spacing w:after="0" w:line="240" w:lineRule="auto"/>
              <w:jc w:val="both"/>
              <w:rPr>
                <w:rFonts w:ascii="Times New Roman" w:hAnsi="Times New Roman" w:cs="Times New Roman"/>
                <w:sz w:val="20"/>
                <w:szCs w:val="20"/>
              </w:rPr>
            </w:pPr>
            <w:r w:rsidRPr="00485A40">
              <w:rPr>
                <w:rFonts w:ascii="Times New Roman" w:hAnsi="Times New Roman" w:cs="Times New Roman" w:hint="eastAsia"/>
                <w:sz w:val="20"/>
                <w:szCs w:val="20"/>
              </w:rPr>
              <w:t>Obs.</w:t>
            </w:r>
          </w:p>
        </w:tc>
        <w:tc>
          <w:tcPr>
            <w:tcW w:w="1398" w:type="dxa"/>
            <w:gridSpan w:val="2"/>
            <w:tcBorders>
              <w:top w:val="nil"/>
            </w:tcBorders>
            <w:vAlign w:val="center"/>
          </w:tcPr>
          <w:p w14:paraId="3FFC0A5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9" w:type="dxa"/>
            <w:gridSpan w:val="2"/>
            <w:tcBorders>
              <w:top w:val="nil"/>
            </w:tcBorders>
            <w:vAlign w:val="center"/>
          </w:tcPr>
          <w:p w14:paraId="4324A11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43</w:t>
            </w:r>
          </w:p>
        </w:tc>
        <w:tc>
          <w:tcPr>
            <w:tcW w:w="1398" w:type="dxa"/>
            <w:gridSpan w:val="2"/>
            <w:tcBorders>
              <w:top w:val="nil"/>
            </w:tcBorders>
            <w:vAlign w:val="center"/>
          </w:tcPr>
          <w:p w14:paraId="6F43C24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8" w:type="dxa"/>
            <w:gridSpan w:val="2"/>
            <w:tcBorders>
              <w:top w:val="nil"/>
            </w:tcBorders>
            <w:vAlign w:val="center"/>
          </w:tcPr>
          <w:p w14:paraId="1580BAA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75</w:t>
            </w:r>
          </w:p>
        </w:tc>
        <w:tc>
          <w:tcPr>
            <w:tcW w:w="1398" w:type="dxa"/>
            <w:gridSpan w:val="2"/>
            <w:tcBorders>
              <w:top w:val="nil"/>
            </w:tcBorders>
            <w:vAlign w:val="center"/>
          </w:tcPr>
          <w:p w14:paraId="0684FCE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75</w:t>
            </w:r>
          </w:p>
        </w:tc>
        <w:tc>
          <w:tcPr>
            <w:tcW w:w="1398" w:type="dxa"/>
            <w:gridSpan w:val="2"/>
            <w:tcBorders>
              <w:top w:val="nil"/>
            </w:tcBorders>
            <w:vAlign w:val="center"/>
          </w:tcPr>
          <w:p w14:paraId="36E5C1F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75</w:t>
            </w:r>
          </w:p>
        </w:tc>
        <w:tc>
          <w:tcPr>
            <w:tcW w:w="1398" w:type="dxa"/>
            <w:gridSpan w:val="2"/>
            <w:tcBorders>
              <w:top w:val="nil"/>
            </w:tcBorders>
            <w:vAlign w:val="center"/>
          </w:tcPr>
          <w:p w14:paraId="274E069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8" w:type="dxa"/>
            <w:gridSpan w:val="2"/>
            <w:tcBorders>
              <w:top w:val="nil"/>
            </w:tcBorders>
            <w:vAlign w:val="center"/>
          </w:tcPr>
          <w:p w14:paraId="776029C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399" w:type="dxa"/>
            <w:gridSpan w:val="2"/>
            <w:tcBorders>
              <w:top w:val="nil"/>
              <w:left w:val="nil"/>
              <w:right w:val="nil"/>
            </w:tcBorders>
            <w:vAlign w:val="center"/>
          </w:tcPr>
          <w:p w14:paraId="3F30478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r>
      <w:tr w:rsidR="00925007" w14:paraId="5B534704" w14:textId="77777777" w:rsidTr="0029437B">
        <w:trPr>
          <w:trHeight w:hRule="exact" w:val="223"/>
        </w:trPr>
        <w:tc>
          <w:tcPr>
            <w:tcW w:w="1317" w:type="dxa"/>
            <w:tcBorders>
              <w:top w:val="nil"/>
              <w:left w:val="nil"/>
              <w:bottom w:val="single" w:sz="4" w:space="0" w:color="auto"/>
              <w:right w:val="nil"/>
            </w:tcBorders>
            <w:vAlign w:val="center"/>
          </w:tcPr>
          <w:p w14:paraId="7C2F4450" w14:textId="77777777" w:rsidR="00925007" w:rsidRPr="00485A40" w:rsidRDefault="00925007" w:rsidP="0029437B">
            <w:pPr>
              <w:spacing w:after="0" w:line="240" w:lineRule="auto"/>
              <w:jc w:val="both"/>
              <w:rPr>
                <w:rFonts w:ascii="Times New Roman" w:hAnsi="Times New Roman" w:cs="Times New Roman"/>
                <w:sz w:val="20"/>
                <w:szCs w:val="20"/>
              </w:rPr>
            </w:pPr>
            <w:r w:rsidRPr="00485A40">
              <w:rPr>
                <w:rFonts w:ascii="Times New Roman" w:hAnsi="Times New Roman"/>
                <w:sz w:val="20"/>
                <w:szCs w:val="20"/>
              </w:rPr>
              <w:t xml:space="preserve">adj. </w:t>
            </w:r>
            <w:r w:rsidRPr="00485A40">
              <w:rPr>
                <w:rFonts w:ascii="Times New Roman" w:hAnsi="Times New Roman"/>
                <w:i/>
                <w:iCs/>
                <w:sz w:val="20"/>
                <w:szCs w:val="20"/>
              </w:rPr>
              <w:t>R</w:t>
            </w:r>
            <w:r w:rsidRPr="00485A40">
              <w:rPr>
                <w:rFonts w:ascii="Times New Roman" w:hAnsi="Times New Roman"/>
                <w:sz w:val="20"/>
                <w:szCs w:val="20"/>
                <w:vertAlign w:val="superscript"/>
              </w:rPr>
              <w:t>2</w:t>
            </w:r>
          </w:p>
        </w:tc>
        <w:tc>
          <w:tcPr>
            <w:tcW w:w="1398" w:type="dxa"/>
            <w:gridSpan w:val="2"/>
            <w:tcBorders>
              <w:top w:val="nil"/>
              <w:bottom w:val="single" w:sz="4" w:space="0" w:color="auto"/>
            </w:tcBorders>
            <w:vAlign w:val="center"/>
          </w:tcPr>
          <w:p w14:paraId="3C5C98B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w:t>
            </w:r>
            <w:r w:rsidRPr="00485A40">
              <w:rPr>
                <w:rFonts w:ascii="Times New Roman" w:hAnsi="Times New Roman" w:cs="Times New Roman"/>
                <w:sz w:val="20"/>
                <w:szCs w:val="20"/>
              </w:rPr>
              <w:t>51</w:t>
            </w:r>
          </w:p>
        </w:tc>
        <w:tc>
          <w:tcPr>
            <w:tcW w:w="1399" w:type="dxa"/>
            <w:gridSpan w:val="2"/>
            <w:tcBorders>
              <w:top w:val="nil"/>
              <w:bottom w:val="single" w:sz="4" w:space="0" w:color="auto"/>
            </w:tcBorders>
            <w:vAlign w:val="center"/>
          </w:tcPr>
          <w:p w14:paraId="475A79D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w:t>
            </w:r>
            <w:r w:rsidRPr="00485A40">
              <w:rPr>
                <w:rFonts w:ascii="Times New Roman" w:hAnsi="Times New Roman" w:cs="Times New Roman"/>
                <w:sz w:val="20"/>
                <w:szCs w:val="20"/>
              </w:rPr>
              <w:t>67</w:t>
            </w:r>
            <w:r w:rsidRPr="00485A40">
              <w:rPr>
                <w:rFonts w:ascii="Times New Roman" w:hAnsi="Times New Roman" w:cs="Times New Roman" w:hint="eastAsia"/>
                <w:sz w:val="20"/>
                <w:szCs w:val="20"/>
              </w:rPr>
              <w:t>0</w:t>
            </w:r>
          </w:p>
        </w:tc>
        <w:tc>
          <w:tcPr>
            <w:tcW w:w="1398" w:type="dxa"/>
            <w:gridSpan w:val="2"/>
            <w:tcBorders>
              <w:top w:val="nil"/>
              <w:bottom w:val="single" w:sz="4" w:space="0" w:color="auto"/>
            </w:tcBorders>
            <w:vAlign w:val="center"/>
          </w:tcPr>
          <w:p w14:paraId="750222F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0.61</w:t>
            </w:r>
            <w:r w:rsidRPr="00485A40">
              <w:rPr>
                <w:rFonts w:ascii="Times New Roman" w:hAnsi="Times New Roman" w:cs="Times New Roman"/>
                <w:sz w:val="20"/>
                <w:szCs w:val="20"/>
              </w:rPr>
              <w:t>5</w:t>
            </w:r>
          </w:p>
        </w:tc>
        <w:tc>
          <w:tcPr>
            <w:tcW w:w="1398" w:type="dxa"/>
            <w:gridSpan w:val="2"/>
            <w:tcBorders>
              <w:top w:val="nil"/>
              <w:bottom w:val="single" w:sz="4" w:space="0" w:color="auto"/>
            </w:tcBorders>
            <w:vAlign w:val="center"/>
          </w:tcPr>
          <w:p w14:paraId="6E05794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0.025</w:t>
            </w:r>
          </w:p>
        </w:tc>
        <w:tc>
          <w:tcPr>
            <w:tcW w:w="1398" w:type="dxa"/>
            <w:gridSpan w:val="2"/>
            <w:tcBorders>
              <w:top w:val="nil"/>
              <w:bottom w:val="single" w:sz="4" w:space="0" w:color="auto"/>
            </w:tcBorders>
            <w:vAlign w:val="center"/>
          </w:tcPr>
          <w:p w14:paraId="630BC27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0.470</w:t>
            </w:r>
          </w:p>
        </w:tc>
        <w:tc>
          <w:tcPr>
            <w:tcW w:w="1398" w:type="dxa"/>
            <w:gridSpan w:val="2"/>
            <w:tcBorders>
              <w:top w:val="nil"/>
              <w:bottom w:val="single" w:sz="4" w:space="0" w:color="auto"/>
            </w:tcBorders>
            <w:vAlign w:val="center"/>
          </w:tcPr>
          <w:p w14:paraId="552FFEF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0.243</w:t>
            </w:r>
          </w:p>
        </w:tc>
        <w:tc>
          <w:tcPr>
            <w:tcW w:w="1398" w:type="dxa"/>
            <w:gridSpan w:val="2"/>
            <w:tcBorders>
              <w:top w:val="nil"/>
              <w:bottom w:val="single" w:sz="4" w:space="0" w:color="auto"/>
            </w:tcBorders>
            <w:vAlign w:val="center"/>
          </w:tcPr>
          <w:p w14:paraId="2D54F1E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0.3</w:t>
            </w:r>
            <w:r w:rsidRPr="00485A40">
              <w:rPr>
                <w:rFonts w:ascii="Times New Roman" w:hAnsi="Times New Roman" w:cs="Times New Roman"/>
                <w:sz w:val="20"/>
                <w:szCs w:val="20"/>
              </w:rPr>
              <w:t>49</w:t>
            </w:r>
          </w:p>
        </w:tc>
        <w:tc>
          <w:tcPr>
            <w:tcW w:w="1398" w:type="dxa"/>
            <w:gridSpan w:val="2"/>
            <w:tcBorders>
              <w:top w:val="nil"/>
              <w:bottom w:val="single" w:sz="4" w:space="0" w:color="auto"/>
            </w:tcBorders>
            <w:vAlign w:val="center"/>
          </w:tcPr>
          <w:p w14:paraId="2ED09F7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w:t>
            </w:r>
            <w:r w:rsidRPr="00485A40">
              <w:rPr>
                <w:rFonts w:ascii="Times New Roman" w:hAnsi="Times New Roman" w:cs="Times New Roman"/>
                <w:sz w:val="20"/>
                <w:szCs w:val="20"/>
              </w:rPr>
              <w:t>464</w:t>
            </w:r>
          </w:p>
        </w:tc>
        <w:tc>
          <w:tcPr>
            <w:tcW w:w="1399" w:type="dxa"/>
            <w:gridSpan w:val="2"/>
            <w:tcBorders>
              <w:top w:val="nil"/>
              <w:left w:val="nil"/>
              <w:bottom w:val="single" w:sz="4" w:space="0" w:color="auto"/>
              <w:right w:val="nil"/>
            </w:tcBorders>
            <w:vAlign w:val="center"/>
          </w:tcPr>
          <w:p w14:paraId="1482070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w:t>
            </w:r>
            <w:r w:rsidRPr="00485A40">
              <w:rPr>
                <w:rFonts w:ascii="Times New Roman" w:hAnsi="Times New Roman" w:cs="Times New Roman"/>
                <w:sz w:val="20"/>
                <w:szCs w:val="20"/>
              </w:rPr>
              <w:t>340</w:t>
            </w:r>
          </w:p>
        </w:tc>
      </w:tr>
      <w:tr w:rsidR="00925007" w:rsidRPr="00F354D3" w14:paraId="19B1D433" w14:textId="77777777" w:rsidTr="0029437B">
        <w:trPr>
          <w:trHeight w:hRule="exact" w:val="288"/>
        </w:trPr>
        <w:tc>
          <w:tcPr>
            <w:tcW w:w="13901" w:type="dxa"/>
            <w:gridSpan w:val="19"/>
            <w:tcBorders>
              <w:top w:val="single" w:sz="4" w:space="0" w:color="auto"/>
              <w:left w:val="nil"/>
              <w:right w:val="nil"/>
            </w:tcBorders>
            <w:vAlign w:val="center"/>
          </w:tcPr>
          <w:p w14:paraId="24D85140" w14:textId="77777777" w:rsidR="00925007" w:rsidRPr="00485A40" w:rsidRDefault="00925007" w:rsidP="0029437B">
            <w:pPr>
              <w:autoSpaceDE w:val="0"/>
              <w:autoSpaceDN w:val="0"/>
              <w:spacing w:after="0" w:line="240" w:lineRule="auto"/>
              <w:rPr>
                <w:rFonts w:ascii="Times New Roman" w:hAnsi="Times New Roman" w:cs="Times New Roman"/>
                <w:sz w:val="20"/>
                <w:szCs w:val="20"/>
              </w:rPr>
            </w:pPr>
            <w:r w:rsidRPr="00485A40">
              <w:rPr>
                <w:rFonts w:ascii="Times New Roman" w:hAnsi="Times New Roman" w:cs="Times New Roman"/>
                <w:sz w:val="20"/>
                <w:szCs w:val="20"/>
              </w:rPr>
              <w:t>Panel C: Effect of uncertainty on l</w:t>
            </w:r>
            <w:r w:rsidRPr="00485A40">
              <w:rPr>
                <w:rFonts w:ascii="Times New Roman" w:hAnsi="Times New Roman" w:cs="Times New Roman" w:hint="eastAsia"/>
                <w:sz w:val="20"/>
                <w:szCs w:val="20"/>
              </w:rPr>
              <w:t xml:space="preserve">oan </w:t>
            </w:r>
            <w:r w:rsidRPr="00485A40">
              <w:rPr>
                <w:rFonts w:ascii="Times New Roman" w:hAnsi="Times New Roman" w:cs="Times New Roman"/>
                <w:sz w:val="20"/>
                <w:szCs w:val="20"/>
              </w:rPr>
              <w:t>quantity and price in recession and non-recession periods</w:t>
            </w:r>
          </w:p>
        </w:tc>
      </w:tr>
      <w:tr w:rsidR="00925007" w14:paraId="4FFAB529" w14:textId="77777777" w:rsidTr="0029437B">
        <w:trPr>
          <w:trHeight w:hRule="exact" w:val="245"/>
        </w:trPr>
        <w:tc>
          <w:tcPr>
            <w:tcW w:w="1317" w:type="dxa"/>
            <w:tcBorders>
              <w:left w:val="nil"/>
              <w:right w:val="nil"/>
            </w:tcBorders>
            <w:vAlign w:val="center"/>
          </w:tcPr>
          <w:p w14:paraId="56267B19" w14:textId="77777777" w:rsidR="00925007" w:rsidRPr="00485A40" w:rsidRDefault="00925007" w:rsidP="0029437B">
            <w:pPr>
              <w:autoSpaceDE w:val="0"/>
              <w:autoSpaceDN w:val="0"/>
              <w:spacing w:after="0" w:line="240" w:lineRule="auto"/>
              <w:ind w:left="-180" w:firstLine="180"/>
              <w:jc w:val="both"/>
              <w:rPr>
                <w:rFonts w:ascii="Times New Roman" w:hAnsi="Times New Roman"/>
                <w:i/>
                <w:sz w:val="20"/>
                <w:szCs w:val="20"/>
              </w:rPr>
            </w:pPr>
          </w:p>
        </w:tc>
        <w:tc>
          <w:tcPr>
            <w:tcW w:w="1258" w:type="dxa"/>
            <w:vAlign w:val="center"/>
          </w:tcPr>
          <w:p w14:paraId="1D4D4E5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w:t>
            </w:r>
          </w:p>
        </w:tc>
        <w:tc>
          <w:tcPr>
            <w:tcW w:w="1258" w:type="dxa"/>
            <w:gridSpan w:val="2"/>
            <w:vAlign w:val="center"/>
          </w:tcPr>
          <w:p w14:paraId="39C42F4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w:t>
            </w:r>
          </w:p>
        </w:tc>
        <w:tc>
          <w:tcPr>
            <w:tcW w:w="1259" w:type="dxa"/>
            <w:gridSpan w:val="2"/>
            <w:vAlign w:val="center"/>
          </w:tcPr>
          <w:p w14:paraId="3656D3C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(3)</w:t>
            </w:r>
          </w:p>
        </w:tc>
        <w:tc>
          <w:tcPr>
            <w:tcW w:w="1258" w:type="dxa"/>
            <w:gridSpan w:val="2"/>
            <w:vAlign w:val="center"/>
          </w:tcPr>
          <w:p w14:paraId="3C06F4A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w:t>
            </w:r>
          </w:p>
        </w:tc>
        <w:tc>
          <w:tcPr>
            <w:tcW w:w="1259" w:type="dxa"/>
            <w:gridSpan w:val="2"/>
            <w:vAlign w:val="center"/>
          </w:tcPr>
          <w:p w14:paraId="71E4541A"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(5)</w:t>
            </w:r>
          </w:p>
        </w:tc>
        <w:tc>
          <w:tcPr>
            <w:tcW w:w="1258" w:type="dxa"/>
            <w:gridSpan w:val="2"/>
            <w:vAlign w:val="center"/>
          </w:tcPr>
          <w:p w14:paraId="5F7B547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(6)</w:t>
            </w:r>
          </w:p>
        </w:tc>
        <w:tc>
          <w:tcPr>
            <w:tcW w:w="1258" w:type="dxa"/>
            <w:gridSpan w:val="2"/>
            <w:vAlign w:val="center"/>
          </w:tcPr>
          <w:p w14:paraId="19635B9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(7)</w:t>
            </w:r>
          </w:p>
        </w:tc>
        <w:tc>
          <w:tcPr>
            <w:tcW w:w="1259" w:type="dxa"/>
            <w:gridSpan w:val="2"/>
            <w:vAlign w:val="center"/>
          </w:tcPr>
          <w:p w14:paraId="13BCFF2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(8)</w:t>
            </w:r>
          </w:p>
        </w:tc>
        <w:tc>
          <w:tcPr>
            <w:tcW w:w="1258" w:type="dxa"/>
            <w:gridSpan w:val="2"/>
            <w:vAlign w:val="center"/>
          </w:tcPr>
          <w:p w14:paraId="5495527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(9)</w:t>
            </w:r>
          </w:p>
        </w:tc>
        <w:tc>
          <w:tcPr>
            <w:tcW w:w="1259" w:type="dxa"/>
            <w:tcBorders>
              <w:left w:val="nil"/>
              <w:right w:val="nil"/>
            </w:tcBorders>
            <w:vAlign w:val="center"/>
          </w:tcPr>
          <w:p w14:paraId="7F8943C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w:t>
            </w:r>
          </w:p>
        </w:tc>
      </w:tr>
      <w:tr w:rsidR="00925007" w14:paraId="6C62377B" w14:textId="77777777" w:rsidTr="0029437B">
        <w:trPr>
          <w:trHeight w:hRule="exact" w:val="245"/>
        </w:trPr>
        <w:tc>
          <w:tcPr>
            <w:tcW w:w="1317" w:type="dxa"/>
            <w:tcBorders>
              <w:left w:val="nil"/>
              <w:right w:val="nil"/>
            </w:tcBorders>
            <w:vAlign w:val="center"/>
          </w:tcPr>
          <w:p w14:paraId="6004CDD2" w14:textId="77777777" w:rsidR="00925007" w:rsidRPr="00485A40" w:rsidRDefault="00925007" w:rsidP="0029437B">
            <w:pPr>
              <w:autoSpaceDE w:val="0"/>
              <w:autoSpaceDN w:val="0"/>
              <w:spacing w:after="0" w:line="240" w:lineRule="auto"/>
              <w:ind w:left="-180" w:firstLine="180"/>
              <w:jc w:val="both"/>
              <w:rPr>
                <w:rFonts w:ascii="Times New Roman" w:hAnsi="Times New Roman" w:cs="Times New Roman"/>
                <w:i/>
                <w:sz w:val="20"/>
                <w:szCs w:val="20"/>
              </w:rPr>
            </w:pPr>
          </w:p>
        </w:tc>
        <w:tc>
          <w:tcPr>
            <w:tcW w:w="1258" w:type="dxa"/>
            <w:vMerge w:val="restart"/>
            <w:vAlign w:val="center"/>
          </w:tcPr>
          <w:p w14:paraId="3358C8A8" w14:textId="77777777" w:rsidR="00925007" w:rsidRPr="00485A40" w:rsidRDefault="00925007" w:rsidP="0029437B">
            <w:pPr>
              <w:autoSpaceDE w:val="0"/>
              <w:autoSpaceDN w:val="0"/>
              <w:spacing w:after="0" w:line="240" w:lineRule="auto"/>
              <w:jc w:val="center"/>
              <w:rPr>
                <w:rFonts w:ascii="Times New Roman" w:hAnsi="Times New Roman" w:cs="Times New Roman"/>
                <w:i/>
                <w:iCs/>
                <w:color w:val="000000"/>
                <w:sz w:val="20"/>
                <w:szCs w:val="20"/>
              </w:rPr>
            </w:pPr>
            <w:r w:rsidRPr="00485A40">
              <w:rPr>
                <w:rFonts w:ascii="Times New Roman" w:hAnsi="Times New Roman" w:cs="Times New Roman"/>
                <w:i/>
                <w:iCs/>
                <w:color w:val="000000"/>
                <w:sz w:val="20"/>
                <w:szCs w:val="20"/>
              </w:rPr>
              <w:t>∆CI_Loan</w:t>
            </w:r>
          </w:p>
          <w:p w14:paraId="7016A6E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lang w:eastAsia="zh-TW"/>
              </w:rPr>
            </w:pPr>
            <w:r w:rsidRPr="00485A40">
              <w:rPr>
                <w:rFonts w:ascii="Times New Roman" w:hAnsi="Times New Roman" w:cs="Times New Roman"/>
                <w:sz w:val="20"/>
                <w:szCs w:val="20"/>
                <w:lang w:eastAsia="zh-TW"/>
              </w:rPr>
              <w:t>(</w:t>
            </w:r>
            <w:r w:rsidRPr="00485A40">
              <w:rPr>
                <w:rFonts w:ascii="Times New Roman" w:hAnsi="Times New Roman" w:cs="Times New Roman" w:hint="eastAsia"/>
                <w:sz w:val="20"/>
                <w:szCs w:val="20"/>
                <w:lang w:eastAsia="zh-TW"/>
              </w:rPr>
              <w:t>H</w:t>
            </w:r>
            <w:r w:rsidRPr="00485A40">
              <w:rPr>
                <w:rFonts w:ascii="Times New Roman" w:hAnsi="Times New Roman" w:cs="Times New Roman"/>
                <w:sz w:val="20"/>
                <w:szCs w:val="20"/>
                <w:lang w:eastAsia="zh-TW"/>
              </w:rPr>
              <w:t>8)</w:t>
            </w:r>
          </w:p>
        </w:tc>
        <w:tc>
          <w:tcPr>
            <w:tcW w:w="1258" w:type="dxa"/>
            <w:gridSpan w:val="2"/>
            <w:vMerge w:val="restart"/>
            <w:vAlign w:val="center"/>
          </w:tcPr>
          <w:p w14:paraId="300EC065"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Synd_Loan</w:t>
            </w:r>
          </w:p>
          <w:p w14:paraId="40F7A48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w:t>
            </w:r>
            <w:r w:rsidRPr="00485A40">
              <w:rPr>
                <w:rFonts w:ascii="Times New Roman" w:hAnsi="Times New Roman" w:cs="Times New Roman"/>
                <w:sz w:val="20"/>
                <w:szCs w:val="20"/>
              </w:rPr>
              <w:t>LPC</w:t>
            </w:r>
            <w:r w:rsidRPr="00485A40">
              <w:rPr>
                <w:rFonts w:ascii="Times New Roman" w:hAnsi="Times New Roman" w:cs="Times New Roman" w:hint="eastAsia"/>
                <w:sz w:val="20"/>
                <w:szCs w:val="20"/>
              </w:rPr>
              <w:t>)</w:t>
            </w:r>
          </w:p>
        </w:tc>
        <w:tc>
          <w:tcPr>
            <w:tcW w:w="1259" w:type="dxa"/>
            <w:gridSpan w:val="2"/>
            <w:vMerge w:val="restart"/>
            <w:vAlign w:val="center"/>
          </w:tcPr>
          <w:p w14:paraId="7770A876"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Standard_LM</w:t>
            </w:r>
          </w:p>
          <w:p w14:paraId="37FB9EA5"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258" w:type="dxa"/>
            <w:gridSpan w:val="2"/>
            <w:vMerge w:val="restart"/>
            <w:vAlign w:val="center"/>
          </w:tcPr>
          <w:p w14:paraId="4B01E972"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Standard_S</w:t>
            </w:r>
          </w:p>
          <w:p w14:paraId="23659B8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259" w:type="dxa"/>
            <w:gridSpan w:val="2"/>
            <w:vMerge w:val="restart"/>
            <w:vAlign w:val="center"/>
          </w:tcPr>
          <w:p w14:paraId="0C0C26BE"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Demand_LM</w:t>
            </w:r>
          </w:p>
          <w:p w14:paraId="4937104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258" w:type="dxa"/>
            <w:gridSpan w:val="2"/>
            <w:vMerge w:val="restart"/>
            <w:vAlign w:val="center"/>
          </w:tcPr>
          <w:p w14:paraId="60794C89"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Demand_S</w:t>
            </w:r>
          </w:p>
          <w:p w14:paraId="287A198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258" w:type="dxa"/>
            <w:gridSpan w:val="2"/>
            <w:vMerge w:val="restart"/>
            <w:vAlign w:val="center"/>
          </w:tcPr>
          <w:p w14:paraId="6F334B1A"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Spr_LM</w:t>
            </w:r>
          </w:p>
          <w:p w14:paraId="1DD5219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259" w:type="dxa"/>
            <w:gridSpan w:val="2"/>
            <w:vMerge w:val="restart"/>
            <w:vAlign w:val="center"/>
          </w:tcPr>
          <w:p w14:paraId="1475EB6F"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Spr_S</w:t>
            </w:r>
          </w:p>
          <w:p w14:paraId="0AD5AB7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(SLOOS)</w:t>
            </w:r>
          </w:p>
        </w:tc>
        <w:tc>
          <w:tcPr>
            <w:tcW w:w="1258" w:type="dxa"/>
            <w:gridSpan w:val="2"/>
            <w:vMerge w:val="restart"/>
            <w:vAlign w:val="center"/>
          </w:tcPr>
          <w:p w14:paraId="421E9E4F"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i/>
                <w:sz w:val="20"/>
                <w:szCs w:val="20"/>
              </w:rPr>
              <w:t>Loan_Spr</w:t>
            </w:r>
          </w:p>
          <w:p w14:paraId="2BAC268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(STBL)</w:t>
            </w:r>
          </w:p>
        </w:tc>
        <w:tc>
          <w:tcPr>
            <w:tcW w:w="1259" w:type="dxa"/>
            <w:vMerge w:val="restart"/>
            <w:tcBorders>
              <w:left w:val="nil"/>
              <w:right w:val="nil"/>
            </w:tcBorders>
            <w:vAlign w:val="center"/>
          </w:tcPr>
          <w:p w14:paraId="064DC243"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r w:rsidRPr="00485A40">
              <w:rPr>
                <w:rFonts w:ascii="Times New Roman" w:hAnsi="Times New Roman" w:cs="Times New Roman" w:hint="eastAsia"/>
                <w:i/>
                <w:sz w:val="20"/>
                <w:szCs w:val="20"/>
              </w:rPr>
              <w:t>Spr_Synd</w:t>
            </w:r>
          </w:p>
          <w:p w14:paraId="70223BE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w:t>
            </w:r>
            <w:r w:rsidRPr="00485A40">
              <w:rPr>
                <w:rFonts w:ascii="Times New Roman" w:hAnsi="Times New Roman" w:cs="Times New Roman"/>
                <w:sz w:val="20"/>
                <w:szCs w:val="20"/>
              </w:rPr>
              <w:t>LPC</w:t>
            </w:r>
            <w:r w:rsidRPr="00485A40">
              <w:rPr>
                <w:rFonts w:ascii="Times New Roman" w:hAnsi="Times New Roman" w:cs="Times New Roman" w:hint="eastAsia"/>
                <w:sz w:val="20"/>
                <w:szCs w:val="20"/>
              </w:rPr>
              <w:t>)</w:t>
            </w:r>
          </w:p>
        </w:tc>
      </w:tr>
      <w:tr w:rsidR="00925007" w14:paraId="53E514C4" w14:textId="77777777" w:rsidTr="0029437B">
        <w:trPr>
          <w:trHeight w:hRule="exact" w:val="245"/>
        </w:trPr>
        <w:tc>
          <w:tcPr>
            <w:tcW w:w="1317" w:type="dxa"/>
            <w:tcBorders>
              <w:left w:val="nil"/>
              <w:right w:val="nil"/>
            </w:tcBorders>
            <w:vAlign w:val="center"/>
          </w:tcPr>
          <w:p w14:paraId="0EF76D09" w14:textId="77777777" w:rsidR="00925007" w:rsidRPr="00485A40" w:rsidRDefault="00925007" w:rsidP="0029437B">
            <w:pPr>
              <w:autoSpaceDE w:val="0"/>
              <w:autoSpaceDN w:val="0"/>
              <w:spacing w:after="0" w:line="240" w:lineRule="auto"/>
              <w:ind w:left="-180" w:firstLine="180"/>
              <w:jc w:val="both"/>
              <w:rPr>
                <w:rFonts w:ascii="Times New Roman" w:hAnsi="Times New Roman" w:cs="Times New Roman"/>
                <w:i/>
                <w:sz w:val="20"/>
                <w:szCs w:val="20"/>
              </w:rPr>
            </w:pPr>
          </w:p>
        </w:tc>
        <w:tc>
          <w:tcPr>
            <w:tcW w:w="1258" w:type="dxa"/>
            <w:vMerge/>
            <w:tcBorders>
              <w:bottom w:val="single" w:sz="4" w:space="0" w:color="auto"/>
            </w:tcBorders>
            <w:vAlign w:val="center"/>
          </w:tcPr>
          <w:p w14:paraId="451EB5C8" w14:textId="77777777" w:rsidR="00925007" w:rsidRPr="00485A40" w:rsidRDefault="00925007" w:rsidP="0029437B">
            <w:pPr>
              <w:autoSpaceDE w:val="0"/>
              <w:autoSpaceDN w:val="0"/>
              <w:spacing w:after="0" w:line="240" w:lineRule="auto"/>
              <w:jc w:val="center"/>
              <w:rPr>
                <w:rFonts w:ascii="Times New Roman" w:hAnsi="Times New Roman" w:cs="Times New Roman"/>
                <w:i/>
                <w:iCs/>
                <w:color w:val="000000"/>
                <w:sz w:val="20"/>
                <w:szCs w:val="20"/>
              </w:rPr>
            </w:pPr>
          </w:p>
        </w:tc>
        <w:tc>
          <w:tcPr>
            <w:tcW w:w="1258" w:type="dxa"/>
            <w:gridSpan w:val="2"/>
            <w:vMerge/>
            <w:tcBorders>
              <w:bottom w:val="single" w:sz="4" w:space="0" w:color="auto"/>
            </w:tcBorders>
            <w:vAlign w:val="center"/>
          </w:tcPr>
          <w:p w14:paraId="46308662"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9" w:type="dxa"/>
            <w:gridSpan w:val="2"/>
            <w:vMerge/>
            <w:tcBorders>
              <w:bottom w:val="single" w:sz="4" w:space="0" w:color="auto"/>
            </w:tcBorders>
            <w:vAlign w:val="center"/>
          </w:tcPr>
          <w:p w14:paraId="4EA03771"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8" w:type="dxa"/>
            <w:gridSpan w:val="2"/>
            <w:vMerge/>
            <w:tcBorders>
              <w:bottom w:val="single" w:sz="4" w:space="0" w:color="auto"/>
            </w:tcBorders>
            <w:vAlign w:val="center"/>
          </w:tcPr>
          <w:p w14:paraId="737BBBB8"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9" w:type="dxa"/>
            <w:gridSpan w:val="2"/>
            <w:vMerge/>
            <w:tcBorders>
              <w:bottom w:val="single" w:sz="4" w:space="0" w:color="auto"/>
            </w:tcBorders>
            <w:vAlign w:val="center"/>
          </w:tcPr>
          <w:p w14:paraId="6CDD8198"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8" w:type="dxa"/>
            <w:gridSpan w:val="2"/>
            <w:vMerge/>
            <w:tcBorders>
              <w:bottom w:val="single" w:sz="4" w:space="0" w:color="auto"/>
            </w:tcBorders>
            <w:vAlign w:val="center"/>
          </w:tcPr>
          <w:p w14:paraId="08C198E3"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8" w:type="dxa"/>
            <w:gridSpan w:val="2"/>
            <w:vMerge/>
            <w:tcBorders>
              <w:bottom w:val="single" w:sz="4" w:space="0" w:color="auto"/>
            </w:tcBorders>
            <w:vAlign w:val="center"/>
          </w:tcPr>
          <w:p w14:paraId="0612E8E7"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9" w:type="dxa"/>
            <w:gridSpan w:val="2"/>
            <w:vMerge/>
            <w:tcBorders>
              <w:bottom w:val="single" w:sz="4" w:space="0" w:color="auto"/>
            </w:tcBorders>
            <w:vAlign w:val="center"/>
          </w:tcPr>
          <w:p w14:paraId="1E7D8E62"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8" w:type="dxa"/>
            <w:gridSpan w:val="2"/>
            <w:vMerge/>
            <w:tcBorders>
              <w:bottom w:val="single" w:sz="4" w:space="0" w:color="auto"/>
            </w:tcBorders>
            <w:vAlign w:val="center"/>
          </w:tcPr>
          <w:p w14:paraId="51CBFC60"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c>
          <w:tcPr>
            <w:tcW w:w="1259" w:type="dxa"/>
            <w:vMerge/>
            <w:tcBorders>
              <w:left w:val="nil"/>
              <w:bottom w:val="single" w:sz="4" w:space="0" w:color="auto"/>
              <w:right w:val="nil"/>
            </w:tcBorders>
            <w:vAlign w:val="center"/>
          </w:tcPr>
          <w:p w14:paraId="199DC040" w14:textId="77777777" w:rsidR="00925007" w:rsidRPr="00485A40" w:rsidRDefault="00925007" w:rsidP="0029437B">
            <w:pPr>
              <w:autoSpaceDE w:val="0"/>
              <w:autoSpaceDN w:val="0"/>
              <w:spacing w:after="0" w:line="240" w:lineRule="auto"/>
              <w:jc w:val="center"/>
              <w:rPr>
                <w:rFonts w:ascii="Times New Roman" w:hAnsi="Times New Roman" w:cs="Times New Roman"/>
                <w:i/>
                <w:sz w:val="20"/>
                <w:szCs w:val="20"/>
              </w:rPr>
            </w:pPr>
          </w:p>
        </w:tc>
      </w:tr>
      <w:tr w:rsidR="00925007" w14:paraId="31EDEC90" w14:textId="77777777" w:rsidTr="0029437B">
        <w:trPr>
          <w:trHeight w:hRule="exact" w:val="245"/>
        </w:trPr>
        <w:tc>
          <w:tcPr>
            <w:tcW w:w="1317" w:type="dxa"/>
            <w:tcBorders>
              <w:left w:val="nil"/>
              <w:bottom w:val="nil"/>
              <w:right w:val="nil"/>
            </w:tcBorders>
            <w:vAlign w:val="center"/>
          </w:tcPr>
          <w:p w14:paraId="165A81EA" w14:textId="77777777" w:rsidR="00925007" w:rsidRPr="00485A40" w:rsidRDefault="00925007" w:rsidP="0029437B">
            <w:pPr>
              <w:autoSpaceDE w:val="0"/>
              <w:autoSpaceDN w:val="0"/>
              <w:spacing w:after="0" w:line="240" w:lineRule="auto"/>
              <w:ind w:left="-180" w:firstLine="180"/>
              <w:jc w:val="both"/>
              <w:rPr>
                <w:rFonts w:ascii="Times New Roman" w:hAnsi="Times New Roman" w:cs="Times New Roman"/>
                <w:i/>
                <w:sz w:val="20"/>
                <w:szCs w:val="20"/>
              </w:rPr>
            </w:pPr>
            <w:r w:rsidRPr="00485A40">
              <w:rPr>
                <w:rFonts w:ascii="Times New Roman" w:hAnsi="Times New Roman" w:cs="Times New Roman"/>
                <w:i/>
                <w:sz w:val="20"/>
                <w:szCs w:val="20"/>
              </w:rPr>
              <w:t>logVR</w:t>
            </w:r>
            <w:r w:rsidRPr="00485A40">
              <w:rPr>
                <w:rFonts w:ascii="Times New Roman" w:hAnsi="Times New Roman" w:cs="Times New Roman" w:hint="eastAsia"/>
                <w:i/>
                <w:sz w:val="20"/>
                <w:szCs w:val="20"/>
              </w:rPr>
              <w:t>P</w:t>
            </w:r>
            <w:r w:rsidRPr="00485A40">
              <w:rPr>
                <w:rFonts w:ascii="Times New Roman" w:hAnsi="Times New Roman" w:cs="Times New Roman"/>
                <w:i/>
                <w:sz w:val="20"/>
                <w:szCs w:val="20"/>
                <w:vertAlign w:val="subscript"/>
                <w:lang w:eastAsia="zh-HK"/>
              </w:rPr>
              <w:t>t</w:t>
            </w:r>
            <w:r w:rsidRPr="00485A40">
              <w:rPr>
                <w:rFonts w:ascii="Times New Roman" w:hAnsi="Times New Roman" w:cs="Times New Roman"/>
                <w:sz w:val="20"/>
                <w:szCs w:val="20"/>
                <w:vertAlign w:val="subscript"/>
                <w:lang w:eastAsia="zh-HK"/>
              </w:rPr>
              <w:t xml:space="preserve">-1 </w:t>
            </w:r>
          </w:p>
        </w:tc>
        <w:tc>
          <w:tcPr>
            <w:tcW w:w="1258" w:type="dxa"/>
            <w:tcBorders>
              <w:top w:val="single" w:sz="4" w:space="0" w:color="auto"/>
              <w:bottom w:val="nil"/>
            </w:tcBorders>
          </w:tcPr>
          <w:p w14:paraId="2936B84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-23.419</w:t>
            </w:r>
          </w:p>
        </w:tc>
        <w:tc>
          <w:tcPr>
            <w:tcW w:w="1258" w:type="dxa"/>
            <w:gridSpan w:val="2"/>
            <w:tcBorders>
              <w:top w:val="single" w:sz="4" w:space="0" w:color="auto"/>
              <w:bottom w:val="nil"/>
            </w:tcBorders>
          </w:tcPr>
          <w:p w14:paraId="3347BC6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-89.499</w:t>
            </w:r>
          </w:p>
        </w:tc>
        <w:tc>
          <w:tcPr>
            <w:tcW w:w="1259" w:type="dxa"/>
            <w:gridSpan w:val="2"/>
            <w:tcBorders>
              <w:top w:val="single" w:sz="4" w:space="0" w:color="auto"/>
              <w:bottom w:val="nil"/>
            </w:tcBorders>
          </w:tcPr>
          <w:p w14:paraId="6213A1F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20.720</w:t>
            </w:r>
            <w:r w:rsidRPr="00485A40">
              <w:rPr>
                <w:rFonts w:ascii="Times New Roman" w:hAnsi="Times New Roman" w:cs="Times New Roman"/>
                <w:sz w:val="20"/>
                <w:szCs w:val="20"/>
                <w:vertAlign w:val="superscript"/>
              </w:rPr>
              <w:t>***</w:t>
            </w:r>
          </w:p>
        </w:tc>
        <w:tc>
          <w:tcPr>
            <w:tcW w:w="1258" w:type="dxa"/>
            <w:gridSpan w:val="2"/>
            <w:tcBorders>
              <w:top w:val="single" w:sz="4" w:space="0" w:color="auto"/>
              <w:bottom w:val="nil"/>
            </w:tcBorders>
          </w:tcPr>
          <w:p w14:paraId="263A80AA"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17.842</w:t>
            </w:r>
            <w:r w:rsidRPr="00485A40">
              <w:rPr>
                <w:rFonts w:ascii="Times New Roman" w:hAnsi="Times New Roman" w:cs="Times New Roman"/>
                <w:sz w:val="20"/>
                <w:szCs w:val="20"/>
                <w:vertAlign w:val="superscript"/>
              </w:rPr>
              <w:t>***</w:t>
            </w:r>
          </w:p>
        </w:tc>
        <w:tc>
          <w:tcPr>
            <w:tcW w:w="1259" w:type="dxa"/>
            <w:gridSpan w:val="2"/>
            <w:tcBorders>
              <w:top w:val="single" w:sz="4" w:space="0" w:color="auto"/>
              <w:bottom w:val="nil"/>
            </w:tcBorders>
          </w:tcPr>
          <w:p w14:paraId="2D66C91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-18.381</w:t>
            </w:r>
            <w:r w:rsidRPr="00485A40">
              <w:rPr>
                <w:rFonts w:ascii="Times New Roman" w:hAnsi="Times New Roman" w:cs="Times New Roman"/>
                <w:sz w:val="20"/>
                <w:szCs w:val="20"/>
                <w:vertAlign w:val="superscript"/>
              </w:rPr>
              <w:t>*</w:t>
            </w:r>
          </w:p>
        </w:tc>
        <w:tc>
          <w:tcPr>
            <w:tcW w:w="1258" w:type="dxa"/>
            <w:gridSpan w:val="2"/>
            <w:tcBorders>
              <w:top w:val="single" w:sz="4" w:space="0" w:color="auto"/>
              <w:bottom w:val="nil"/>
            </w:tcBorders>
          </w:tcPr>
          <w:p w14:paraId="5B3DF85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-20.346</w:t>
            </w:r>
            <w:r w:rsidRPr="00485A40">
              <w:rPr>
                <w:rFonts w:ascii="Times New Roman" w:hAnsi="Times New Roman" w:cs="Times New Roman"/>
                <w:sz w:val="20"/>
                <w:szCs w:val="20"/>
                <w:vertAlign w:val="superscript"/>
              </w:rPr>
              <w:t>***</w:t>
            </w:r>
          </w:p>
        </w:tc>
        <w:tc>
          <w:tcPr>
            <w:tcW w:w="1258" w:type="dxa"/>
            <w:gridSpan w:val="2"/>
            <w:tcBorders>
              <w:top w:val="single" w:sz="4" w:space="0" w:color="auto"/>
              <w:bottom w:val="nil"/>
            </w:tcBorders>
          </w:tcPr>
          <w:p w14:paraId="736DBC4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49.515</w:t>
            </w:r>
            <w:r w:rsidRPr="00485A40">
              <w:rPr>
                <w:rFonts w:ascii="Times New Roman" w:hAnsi="Times New Roman" w:cs="Times New Roman"/>
                <w:sz w:val="20"/>
                <w:szCs w:val="20"/>
                <w:vertAlign w:val="superscript"/>
              </w:rPr>
              <w:t>***</w:t>
            </w:r>
          </w:p>
        </w:tc>
        <w:tc>
          <w:tcPr>
            <w:tcW w:w="1259" w:type="dxa"/>
            <w:gridSpan w:val="2"/>
            <w:tcBorders>
              <w:top w:val="single" w:sz="4" w:space="0" w:color="auto"/>
              <w:bottom w:val="nil"/>
            </w:tcBorders>
          </w:tcPr>
          <w:p w14:paraId="53DE093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36.285</w:t>
            </w:r>
            <w:r w:rsidRPr="00485A40">
              <w:rPr>
                <w:rFonts w:ascii="Times New Roman" w:hAnsi="Times New Roman" w:cs="Times New Roman"/>
                <w:sz w:val="20"/>
                <w:szCs w:val="20"/>
                <w:vertAlign w:val="superscript"/>
              </w:rPr>
              <w:t>***</w:t>
            </w:r>
          </w:p>
        </w:tc>
        <w:tc>
          <w:tcPr>
            <w:tcW w:w="1258" w:type="dxa"/>
            <w:gridSpan w:val="2"/>
            <w:tcBorders>
              <w:top w:val="single" w:sz="4" w:space="0" w:color="auto"/>
              <w:bottom w:val="nil"/>
            </w:tcBorders>
          </w:tcPr>
          <w:p w14:paraId="0813D5F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0.138</w:t>
            </w:r>
          </w:p>
        </w:tc>
        <w:tc>
          <w:tcPr>
            <w:tcW w:w="1259" w:type="dxa"/>
            <w:tcBorders>
              <w:top w:val="single" w:sz="4" w:space="0" w:color="auto"/>
              <w:left w:val="nil"/>
              <w:bottom w:val="nil"/>
              <w:right w:val="nil"/>
            </w:tcBorders>
          </w:tcPr>
          <w:p w14:paraId="7C039EB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0.432</w:t>
            </w:r>
          </w:p>
        </w:tc>
      </w:tr>
      <w:tr w:rsidR="00925007" w14:paraId="66AFF10C" w14:textId="77777777" w:rsidTr="0029437B">
        <w:trPr>
          <w:trHeight w:hRule="exact" w:val="245"/>
        </w:trPr>
        <w:tc>
          <w:tcPr>
            <w:tcW w:w="1317" w:type="dxa"/>
            <w:tcBorders>
              <w:top w:val="nil"/>
              <w:left w:val="nil"/>
              <w:bottom w:val="nil"/>
              <w:right w:val="nil"/>
            </w:tcBorders>
            <w:vAlign w:val="center"/>
          </w:tcPr>
          <w:p w14:paraId="0F992ECD" w14:textId="77777777" w:rsidR="00925007" w:rsidRPr="00485A40" w:rsidRDefault="00925007" w:rsidP="0029437B">
            <w:pPr>
              <w:autoSpaceDE w:val="0"/>
              <w:autoSpaceDN w:val="0"/>
              <w:spacing w:before="100" w:beforeAutospacing="1" w:after="0" w:line="240" w:lineRule="auto"/>
              <w:ind w:left="-180" w:firstLine="180"/>
              <w:rPr>
                <w:rFonts w:ascii="Times New Roman" w:hAnsi="Times New Roman"/>
                <w:i/>
                <w:sz w:val="20"/>
                <w:szCs w:val="20"/>
              </w:rPr>
            </w:pPr>
            <m:oMath>
              <m:r>
                <w:rPr>
                  <w:rFonts w:ascii="Cambria Math" w:hAnsi="Cambria Math" w:cs="Times New Roman"/>
                  <w:sz w:val="20"/>
                  <w:szCs w:val="20"/>
                  <w:vertAlign w:val="subscript"/>
                  <w:lang w:eastAsia="zh-HK"/>
                </w:rPr>
                <m:t>×</m:t>
              </m:r>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REC</m:t>
                  </m:r>
                </m:sub>
              </m:sSub>
            </m:oMath>
            <w:r w:rsidRPr="00485A40">
              <w:rPr>
                <w:rFonts w:ascii="Times New Roman" w:hAnsi="Times New Roman"/>
                <w:i/>
                <w:sz w:val="20"/>
                <w:szCs w:val="20"/>
              </w:rPr>
              <w:t xml:space="preserve"> </w:t>
            </w:r>
          </w:p>
        </w:tc>
        <w:tc>
          <w:tcPr>
            <w:tcW w:w="1258" w:type="dxa"/>
            <w:tcBorders>
              <w:top w:val="nil"/>
              <w:bottom w:val="nil"/>
            </w:tcBorders>
          </w:tcPr>
          <w:p w14:paraId="02A523D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145C15B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9" w:type="dxa"/>
            <w:gridSpan w:val="2"/>
            <w:tcBorders>
              <w:top w:val="nil"/>
              <w:bottom w:val="nil"/>
            </w:tcBorders>
          </w:tcPr>
          <w:p w14:paraId="2BB9F2F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17A9A96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9" w:type="dxa"/>
            <w:gridSpan w:val="2"/>
            <w:tcBorders>
              <w:top w:val="nil"/>
              <w:bottom w:val="nil"/>
            </w:tcBorders>
          </w:tcPr>
          <w:p w14:paraId="62D54B9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2BC25C1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5A52BB1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9" w:type="dxa"/>
            <w:gridSpan w:val="2"/>
            <w:tcBorders>
              <w:top w:val="nil"/>
              <w:bottom w:val="nil"/>
            </w:tcBorders>
          </w:tcPr>
          <w:p w14:paraId="32E01CB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5AB9D37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(0.011)</w:t>
            </w:r>
          </w:p>
        </w:tc>
        <w:tc>
          <w:tcPr>
            <w:tcW w:w="1259" w:type="dxa"/>
            <w:tcBorders>
              <w:top w:val="nil"/>
              <w:left w:val="nil"/>
              <w:bottom w:val="nil"/>
              <w:right w:val="nil"/>
            </w:tcBorders>
          </w:tcPr>
          <w:p w14:paraId="25F297A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6D9A1894" w14:textId="77777777" w:rsidTr="0029437B">
        <w:trPr>
          <w:trHeight w:hRule="exact" w:val="245"/>
        </w:trPr>
        <w:tc>
          <w:tcPr>
            <w:tcW w:w="1317" w:type="dxa"/>
            <w:tcBorders>
              <w:top w:val="nil"/>
              <w:left w:val="nil"/>
              <w:bottom w:val="nil"/>
              <w:right w:val="nil"/>
            </w:tcBorders>
            <w:vAlign w:val="center"/>
          </w:tcPr>
          <w:p w14:paraId="06BF5957" w14:textId="77777777" w:rsidR="00925007" w:rsidRPr="00485A40" w:rsidRDefault="00925007" w:rsidP="0029437B">
            <w:pPr>
              <w:autoSpaceDE w:val="0"/>
              <w:autoSpaceDN w:val="0"/>
              <w:spacing w:after="0" w:line="240" w:lineRule="auto"/>
              <w:ind w:left="-180" w:firstLine="180"/>
              <w:jc w:val="both"/>
              <w:rPr>
                <w:rFonts w:ascii="Times New Roman" w:hAnsi="Times New Roman"/>
                <w:i/>
                <w:sz w:val="20"/>
                <w:szCs w:val="20"/>
              </w:rPr>
            </w:pPr>
            <w:r w:rsidRPr="00485A40">
              <w:rPr>
                <w:rFonts w:ascii="Times New Roman" w:hAnsi="Times New Roman" w:cs="Times New Roman"/>
                <w:i/>
                <w:sz w:val="20"/>
                <w:szCs w:val="20"/>
              </w:rPr>
              <w:t>logVR</w:t>
            </w:r>
            <w:r w:rsidRPr="00485A40">
              <w:rPr>
                <w:rFonts w:ascii="Times New Roman" w:hAnsi="Times New Roman" w:cs="Times New Roman" w:hint="eastAsia"/>
                <w:i/>
                <w:sz w:val="20"/>
                <w:szCs w:val="20"/>
              </w:rPr>
              <w:t>P</w:t>
            </w:r>
            <w:r w:rsidRPr="00485A40">
              <w:rPr>
                <w:rFonts w:ascii="Times New Roman" w:hAnsi="Times New Roman" w:cs="Times New Roman"/>
                <w:i/>
                <w:sz w:val="20"/>
                <w:szCs w:val="20"/>
                <w:vertAlign w:val="subscript"/>
                <w:lang w:eastAsia="zh-HK"/>
              </w:rPr>
              <w:t>t</w:t>
            </w:r>
            <w:r w:rsidRPr="00485A40">
              <w:rPr>
                <w:rFonts w:ascii="Times New Roman" w:hAnsi="Times New Roman" w:cs="Times New Roman"/>
                <w:sz w:val="20"/>
                <w:szCs w:val="20"/>
                <w:vertAlign w:val="subscript"/>
                <w:lang w:eastAsia="zh-HK"/>
              </w:rPr>
              <w:t>-1</w:t>
            </w:r>
          </w:p>
        </w:tc>
        <w:tc>
          <w:tcPr>
            <w:tcW w:w="1258" w:type="dxa"/>
            <w:tcBorders>
              <w:top w:val="nil"/>
              <w:bottom w:val="nil"/>
            </w:tcBorders>
          </w:tcPr>
          <w:p w14:paraId="75D31B5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-20.649</w:t>
            </w:r>
          </w:p>
        </w:tc>
        <w:tc>
          <w:tcPr>
            <w:tcW w:w="1258" w:type="dxa"/>
            <w:gridSpan w:val="2"/>
            <w:tcBorders>
              <w:top w:val="nil"/>
              <w:bottom w:val="nil"/>
            </w:tcBorders>
          </w:tcPr>
          <w:p w14:paraId="3ECDF14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-83.919</w:t>
            </w:r>
          </w:p>
        </w:tc>
        <w:tc>
          <w:tcPr>
            <w:tcW w:w="1259" w:type="dxa"/>
            <w:gridSpan w:val="2"/>
            <w:tcBorders>
              <w:top w:val="nil"/>
              <w:bottom w:val="nil"/>
            </w:tcBorders>
          </w:tcPr>
          <w:p w14:paraId="7DAD8AF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11.944</w:t>
            </w:r>
          </w:p>
        </w:tc>
        <w:tc>
          <w:tcPr>
            <w:tcW w:w="1258" w:type="dxa"/>
            <w:gridSpan w:val="2"/>
            <w:tcBorders>
              <w:top w:val="nil"/>
              <w:bottom w:val="nil"/>
            </w:tcBorders>
          </w:tcPr>
          <w:p w14:paraId="05B896E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8.923</w:t>
            </w:r>
          </w:p>
        </w:tc>
        <w:tc>
          <w:tcPr>
            <w:tcW w:w="1259" w:type="dxa"/>
            <w:gridSpan w:val="2"/>
            <w:tcBorders>
              <w:top w:val="nil"/>
              <w:bottom w:val="nil"/>
            </w:tcBorders>
          </w:tcPr>
          <w:p w14:paraId="1581AA8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-13.526</w:t>
            </w:r>
          </w:p>
        </w:tc>
        <w:tc>
          <w:tcPr>
            <w:tcW w:w="1258" w:type="dxa"/>
            <w:gridSpan w:val="2"/>
            <w:tcBorders>
              <w:top w:val="nil"/>
              <w:bottom w:val="nil"/>
            </w:tcBorders>
          </w:tcPr>
          <w:p w14:paraId="2A77E6F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-13.265</w:t>
            </w:r>
          </w:p>
        </w:tc>
        <w:tc>
          <w:tcPr>
            <w:tcW w:w="1258" w:type="dxa"/>
            <w:gridSpan w:val="2"/>
            <w:tcBorders>
              <w:top w:val="nil"/>
              <w:bottom w:val="nil"/>
            </w:tcBorders>
          </w:tcPr>
          <w:p w14:paraId="54E571F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34.652</w:t>
            </w:r>
          </w:p>
        </w:tc>
        <w:tc>
          <w:tcPr>
            <w:tcW w:w="1259" w:type="dxa"/>
            <w:gridSpan w:val="2"/>
            <w:tcBorders>
              <w:top w:val="nil"/>
              <w:bottom w:val="nil"/>
            </w:tcBorders>
          </w:tcPr>
          <w:p w14:paraId="01520CD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21.284</w:t>
            </w:r>
          </w:p>
        </w:tc>
        <w:tc>
          <w:tcPr>
            <w:tcW w:w="1258" w:type="dxa"/>
            <w:gridSpan w:val="2"/>
            <w:tcBorders>
              <w:top w:val="nil"/>
              <w:bottom w:val="nil"/>
            </w:tcBorders>
          </w:tcPr>
          <w:p w14:paraId="43C2599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0.173</w:t>
            </w:r>
          </w:p>
        </w:tc>
        <w:tc>
          <w:tcPr>
            <w:tcW w:w="1259" w:type="dxa"/>
            <w:tcBorders>
              <w:top w:val="nil"/>
              <w:left w:val="nil"/>
              <w:bottom w:val="nil"/>
              <w:right w:val="nil"/>
            </w:tcBorders>
          </w:tcPr>
          <w:p w14:paraId="11F48B8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0.430</w:t>
            </w:r>
          </w:p>
        </w:tc>
      </w:tr>
      <w:tr w:rsidR="00925007" w14:paraId="688F5DBD" w14:textId="77777777" w:rsidTr="0029437B">
        <w:trPr>
          <w:trHeight w:hRule="exact" w:val="245"/>
        </w:trPr>
        <w:tc>
          <w:tcPr>
            <w:tcW w:w="1317" w:type="dxa"/>
            <w:tcBorders>
              <w:top w:val="nil"/>
              <w:left w:val="nil"/>
              <w:bottom w:val="nil"/>
              <w:right w:val="nil"/>
            </w:tcBorders>
            <w:vAlign w:val="center"/>
          </w:tcPr>
          <w:p w14:paraId="4BADD1BD" w14:textId="77777777" w:rsidR="00925007" w:rsidRPr="00485A40" w:rsidRDefault="00925007" w:rsidP="0029437B">
            <w:pPr>
              <w:spacing w:after="0" w:line="240" w:lineRule="auto"/>
              <w:ind w:left="-180" w:firstLine="180"/>
              <w:rPr>
                <w:rFonts w:ascii="Times New Roman" w:hAnsi="Times New Roman" w:cs="Times New Roman"/>
                <w:sz w:val="20"/>
                <w:szCs w:val="20"/>
              </w:rPr>
            </w:pPr>
            <m:oMath>
              <m:r>
                <w:rPr>
                  <w:rFonts w:ascii="Cambria Math" w:hAnsi="Cambria Math" w:cs="Times New Roman"/>
                  <w:sz w:val="20"/>
                  <w:szCs w:val="20"/>
                  <w:vertAlign w:val="subscript"/>
                  <w:lang w:eastAsia="zh-HK"/>
                </w:rPr>
                <m:t>×(1-</m:t>
              </m:r>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REC</m:t>
                  </m:r>
                </m:sub>
              </m:sSub>
              <m:r>
                <w:rPr>
                  <w:rFonts w:ascii="Cambria Math" w:hAnsi="Cambria Math"/>
                  <w:sz w:val="20"/>
                  <w:szCs w:val="20"/>
                </w:rPr>
                <m:t>)</m:t>
              </m:r>
            </m:oMath>
            <w:r w:rsidRPr="00485A40">
              <w:rPr>
                <w:rFonts w:ascii="Times New Roman" w:hAnsi="Times New Roman" w:cs="Times New Roman"/>
                <w:sz w:val="20"/>
                <w:szCs w:val="20"/>
              </w:rPr>
              <w:t xml:space="preserve"> </w:t>
            </w:r>
          </w:p>
        </w:tc>
        <w:tc>
          <w:tcPr>
            <w:tcW w:w="1258" w:type="dxa"/>
            <w:tcBorders>
              <w:top w:val="nil"/>
              <w:bottom w:val="nil"/>
            </w:tcBorders>
          </w:tcPr>
          <w:p w14:paraId="66540FC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(0.001)</w:t>
            </w:r>
          </w:p>
        </w:tc>
        <w:tc>
          <w:tcPr>
            <w:tcW w:w="1258" w:type="dxa"/>
            <w:gridSpan w:val="2"/>
            <w:tcBorders>
              <w:top w:val="nil"/>
              <w:bottom w:val="nil"/>
            </w:tcBorders>
          </w:tcPr>
          <w:p w14:paraId="41ED65F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9" w:type="dxa"/>
            <w:gridSpan w:val="2"/>
            <w:tcBorders>
              <w:top w:val="nil"/>
              <w:bottom w:val="nil"/>
            </w:tcBorders>
          </w:tcPr>
          <w:p w14:paraId="4B6E4C9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617D00B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9" w:type="dxa"/>
            <w:gridSpan w:val="2"/>
            <w:tcBorders>
              <w:top w:val="nil"/>
              <w:bottom w:val="nil"/>
            </w:tcBorders>
          </w:tcPr>
          <w:p w14:paraId="1392423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(0.009)</w:t>
            </w:r>
          </w:p>
        </w:tc>
        <w:tc>
          <w:tcPr>
            <w:tcW w:w="1258" w:type="dxa"/>
            <w:gridSpan w:val="2"/>
            <w:tcBorders>
              <w:top w:val="nil"/>
              <w:bottom w:val="nil"/>
            </w:tcBorders>
          </w:tcPr>
          <w:p w14:paraId="6D0396AA"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(0.001)</w:t>
            </w:r>
          </w:p>
        </w:tc>
        <w:tc>
          <w:tcPr>
            <w:tcW w:w="1258" w:type="dxa"/>
            <w:gridSpan w:val="2"/>
            <w:tcBorders>
              <w:top w:val="nil"/>
              <w:bottom w:val="nil"/>
            </w:tcBorders>
          </w:tcPr>
          <w:p w14:paraId="3DB7F1AB"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9" w:type="dxa"/>
            <w:gridSpan w:val="2"/>
            <w:tcBorders>
              <w:top w:val="nil"/>
              <w:bottom w:val="nil"/>
            </w:tcBorders>
          </w:tcPr>
          <w:p w14:paraId="54BEF4FA"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c>
          <w:tcPr>
            <w:tcW w:w="1258" w:type="dxa"/>
            <w:gridSpan w:val="2"/>
            <w:tcBorders>
              <w:top w:val="nil"/>
              <w:bottom w:val="nil"/>
            </w:tcBorders>
          </w:tcPr>
          <w:p w14:paraId="3CC8FC1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(0.003)</w:t>
            </w:r>
          </w:p>
        </w:tc>
        <w:tc>
          <w:tcPr>
            <w:tcW w:w="1259" w:type="dxa"/>
            <w:tcBorders>
              <w:top w:val="nil"/>
              <w:left w:val="nil"/>
              <w:bottom w:val="nil"/>
              <w:right w:val="nil"/>
            </w:tcBorders>
          </w:tcPr>
          <w:p w14:paraId="057B5C4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(0.000)</w:t>
            </w:r>
          </w:p>
        </w:tc>
      </w:tr>
      <w:tr w:rsidR="00925007" w14:paraId="01B7B4AC" w14:textId="77777777" w:rsidTr="0029437B">
        <w:trPr>
          <w:trHeight w:hRule="exact" w:val="223"/>
        </w:trPr>
        <w:tc>
          <w:tcPr>
            <w:tcW w:w="1317" w:type="dxa"/>
            <w:tcBorders>
              <w:top w:val="nil"/>
              <w:left w:val="nil"/>
              <w:right w:val="nil"/>
            </w:tcBorders>
            <w:vAlign w:val="center"/>
          </w:tcPr>
          <w:p w14:paraId="5F0C0EF9" w14:textId="77777777" w:rsidR="00925007" w:rsidRPr="00485A40" w:rsidRDefault="00925007" w:rsidP="0029437B">
            <w:pPr>
              <w:spacing w:after="0" w:line="240" w:lineRule="auto"/>
              <w:jc w:val="both"/>
              <w:rPr>
                <w:rFonts w:ascii="Times New Roman" w:hAnsi="Times New Roman" w:cs="Times New Roman"/>
                <w:sz w:val="20"/>
                <w:szCs w:val="20"/>
              </w:rPr>
            </w:pPr>
            <w:r w:rsidRPr="00485A40">
              <w:rPr>
                <w:rFonts w:ascii="Times New Roman" w:hAnsi="Times New Roman" w:cs="Times New Roman" w:hint="eastAsia"/>
                <w:sz w:val="20"/>
                <w:szCs w:val="20"/>
              </w:rPr>
              <w:t>Obs.</w:t>
            </w:r>
          </w:p>
        </w:tc>
        <w:tc>
          <w:tcPr>
            <w:tcW w:w="1258" w:type="dxa"/>
            <w:tcBorders>
              <w:top w:val="nil"/>
            </w:tcBorders>
          </w:tcPr>
          <w:p w14:paraId="6CA7553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258" w:type="dxa"/>
            <w:gridSpan w:val="2"/>
            <w:tcBorders>
              <w:top w:val="nil"/>
            </w:tcBorders>
          </w:tcPr>
          <w:p w14:paraId="6A7C7132"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259" w:type="dxa"/>
            <w:gridSpan w:val="2"/>
            <w:tcBorders>
              <w:top w:val="nil"/>
            </w:tcBorders>
          </w:tcPr>
          <w:p w14:paraId="430F8C1E"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258" w:type="dxa"/>
            <w:gridSpan w:val="2"/>
            <w:tcBorders>
              <w:top w:val="nil"/>
            </w:tcBorders>
          </w:tcPr>
          <w:p w14:paraId="467F2587"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259" w:type="dxa"/>
            <w:gridSpan w:val="2"/>
            <w:tcBorders>
              <w:top w:val="nil"/>
            </w:tcBorders>
          </w:tcPr>
          <w:p w14:paraId="16CF8297"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98</w:t>
            </w:r>
          </w:p>
        </w:tc>
        <w:tc>
          <w:tcPr>
            <w:tcW w:w="1258" w:type="dxa"/>
            <w:gridSpan w:val="2"/>
            <w:tcBorders>
              <w:top w:val="nil"/>
            </w:tcBorders>
          </w:tcPr>
          <w:p w14:paraId="31D18677"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98</w:t>
            </w:r>
          </w:p>
        </w:tc>
        <w:tc>
          <w:tcPr>
            <w:tcW w:w="1258" w:type="dxa"/>
            <w:gridSpan w:val="2"/>
            <w:tcBorders>
              <w:top w:val="nil"/>
            </w:tcBorders>
          </w:tcPr>
          <w:p w14:paraId="4E205221"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259" w:type="dxa"/>
            <w:gridSpan w:val="2"/>
            <w:tcBorders>
              <w:top w:val="nil"/>
            </w:tcBorders>
          </w:tcPr>
          <w:p w14:paraId="48FBA018"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c>
          <w:tcPr>
            <w:tcW w:w="1258" w:type="dxa"/>
            <w:gridSpan w:val="2"/>
            <w:tcBorders>
              <w:top w:val="nil"/>
            </w:tcBorders>
          </w:tcPr>
          <w:p w14:paraId="783985F7"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104</w:t>
            </w:r>
          </w:p>
        </w:tc>
        <w:tc>
          <w:tcPr>
            <w:tcW w:w="1259" w:type="dxa"/>
            <w:tcBorders>
              <w:top w:val="nil"/>
              <w:left w:val="nil"/>
              <w:right w:val="nil"/>
            </w:tcBorders>
          </w:tcPr>
          <w:p w14:paraId="51D55F5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sz w:val="20"/>
                <w:szCs w:val="20"/>
              </w:rPr>
              <w:t>103</w:t>
            </w:r>
          </w:p>
        </w:tc>
      </w:tr>
      <w:tr w:rsidR="00925007" w14:paraId="318AF0DE" w14:textId="77777777" w:rsidTr="0029437B">
        <w:trPr>
          <w:trHeight w:hRule="exact" w:val="223"/>
        </w:trPr>
        <w:tc>
          <w:tcPr>
            <w:tcW w:w="1317" w:type="dxa"/>
            <w:tcBorders>
              <w:top w:val="nil"/>
              <w:left w:val="nil"/>
              <w:bottom w:val="single" w:sz="4" w:space="0" w:color="auto"/>
              <w:right w:val="nil"/>
            </w:tcBorders>
            <w:vAlign w:val="center"/>
          </w:tcPr>
          <w:p w14:paraId="7F9AEE11" w14:textId="77777777" w:rsidR="00925007" w:rsidRPr="00485A40" w:rsidRDefault="00925007" w:rsidP="0029437B">
            <w:pPr>
              <w:spacing w:after="0" w:line="240" w:lineRule="auto"/>
              <w:jc w:val="both"/>
              <w:rPr>
                <w:rFonts w:ascii="Times New Roman" w:hAnsi="Times New Roman" w:cs="Times New Roman"/>
                <w:sz w:val="20"/>
                <w:szCs w:val="20"/>
              </w:rPr>
            </w:pPr>
            <w:r w:rsidRPr="00485A40">
              <w:rPr>
                <w:rFonts w:ascii="Times New Roman" w:hAnsi="Times New Roman"/>
                <w:sz w:val="20"/>
                <w:szCs w:val="20"/>
              </w:rPr>
              <w:t xml:space="preserve">adj. </w:t>
            </w:r>
            <w:r w:rsidRPr="00485A40">
              <w:rPr>
                <w:rFonts w:ascii="Times New Roman" w:hAnsi="Times New Roman"/>
                <w:i/>
                <w:iCs/>
                <w:sz w:val="20"/>
                <w:szCs w:val="20"/>
              </w:rPr>
              <w:t>R</w:t>
            </w:r>
            <w:r w:rsidRPr="00485A40">
              <w:rPr>
                <w:rFonts w:ascii="Times New Roman" w:hAnsi="Times New Roman"/>
                <w:sz w:val="20"/>
                <w:szCs w:val="20"/>
                <w:vertAlign w:val="superscript"/>
              </w:rPr>
              <w:t>2</w:t>
            </w:r>
          </w:p>
        </w:tc>
        <w:tc>
          <w:tcPr>
            <w:tcW w:w="1258" w:type="dxa"/>
            <w:tcBorders>
              <w:top w:val="nil"/>
              <w:bottom w:val="single" w:sz="4" w:space="0" w:color="auto"/>
            </w:tcBorders>
            <w:vAlign w:val="center"/>
          </w:tcPr>
          <w:p w14:paraId="75ABFC3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0.3</w:t>
            </w:r>
            <w:r w:rsidRPr="00485A40">
              <w:rPr>
                <w:rFonts w:ascii="Times New Roman" w:hAnsi="Times New Roman" w:cs="Times New Roman"/>
                <w:sz w:val="20"/>
                <w:szCs w:val="20"/>
              </w:rPr>
              <w:t>17</w:t>
            </w:r>
          </w:p>
        </w:tc>
        <w:tc>
          <w:tcPr>
            <w:tcW w:w="1258" w:type="dxa"/>
            <w:gridSpan w:val="2"/>
            <w:tcBorders>
              <w:top w:val="nil"/>
              <w:bottom w:val="single" w:sz="4" w:space="0" w:color="auto"/>
            </w:tcBorders>
            <w:vAlign w:val="center"/>
          </w:tcPr>
          <w:p w14:paraId="61F87684"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0.3</w:t>
            </w:r>
            <w:r w:rsidRPr="00485A40">
              <w:rPr>
                <w:rFonts w:ascii="Times New Roman" w:hAnsi="Times New Roman" w:cs="Times New Roman"/>
                <w:sz w:val="20"/>
                <w:szCs w:val="20"/>
              </w:rPr>
              <w:t>24</w:t>
            </w:r>
          </w:p>
        </w:tc>
        <w:tc>
          <w:tcPr>
            <w:tcW w:w="1259" w:type="dxa"/>
            <w:gridSpan w:val="2"/>
            <w:tcBorders>
              <w:top w:val="nil"/>
              <w:bottom w:val="single" w:sz="4" w:space="0" w:color="auto"/>
            </w:tcBorders>
            <w:vAlign w:val="center"/>
          </w:tcPr>
          <w:p w14:paraId="13E79560"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w:t>
            </w:r>
            <w:r w:rsidRPr="00485A40">
              <w:rPr>
                <w:rFonts w:ascii="Times New Roman" w:hAnsi="Times New Roman" w:cs="Times New Roman"/>
                <w:sz w:val="20"/>
                <w:szCs w:val="20"/>
              </w:rPr>
              <w:t>28</w:t>
            </w:r>
          </w:p>
        </w:tc>
        <w:tc>
          <w:tcPr>
            <w:tcW w:w="1258" w:type="dxa"/>
            <w:gridSpan w:val="2"/>
            <w:tcBorders>
              <w:top w:val="nil"/>
              <w:bottom w:val="single" w:sz="4" w:space="0" w:color="auto"/>
            </w:tcBorders>
            <w:vAlign w:val="center"/>
          </w:tcPr>
          <w:p w14:paraId="365A3B2C"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0.65</w:t>
            </w:r>
            <w:r w:rsidRPr="00485A40">
              <w:rPr>
                <w:rFonts w:ascii="Times New Roman" w:hAnsi="Times New Roman" w:cs="Times New Roman"/>
                <w:sz w:val="20"/>
                <w:szCs w:val="20"/>
              </w:rPr>
              <w:t>6</w:t>
            </w:r>
          </w:p>
        </w:tc>
        <w:tc>
          <w:tcPr>
            <w:tcW w:w="1259" w:type="dxa"/>
            <w:gridSpan w:val="2"/>
            <w:tcBorders>
              <w:top w:val="nil"/>
              <w:bottom w:val="single" w:sz="4" w:space="0" w:color="auto"/>
            </w:tcBorders>
            <w:vAlign w:val="center"/>
          </w:tcPr>
          <w:p w14:paraId="3E9CE2C6"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0.4</w:t>
            </w:r>
            <w:r w:rsidRPr="00485A40">
              <w:rPr>
                <w:rFonts w:ascii="Times New Roman" w:hAnsi="Times New Roman" w:cs="Times New Roman"/>
                <w:sz w:val="20"/>
                <w:szCs w:val="20"/>
              </w:rPr>
              <w:t>27</w:t>
            </w:r>
          </w:p>
        </w:tc>
        <w:tc>
          <w:tcPr>
            <w:tcW w:w="1258" w:type="dxa"/>
            <w:gridSpan w:val="2"/>
            <w:tcBorders>
              <w:top w:val="nil"/>
              <w:bottom w:val="single" w:sz="4" w:space="0" w:color="auto"/>
            </w:tcBorders>
            <w:vAlign w:val="center"/>
          </w:tcPr>
          <w:p w14:paraId="23B48CF7"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0.5</w:t>
            </w:r>
            <w:r w:rsidRPr="00485A40">
              <w:rPr>
                <w:rFonts w:ascii="Times New Roman" w:hAnsi="Times New Roman" w:cs="Times New Roman"/>
                <w:sz w:val="20"/>
                <w:szCs w:val="20"/>
              </w:rPr>
              <w:t>31</w:t>
            </w:r>
          </w:p>
        </w:tc>
        <w:tc>
          <w:tcPr>
            <w:tcW w:w="1258" w:type="dxa"/>
            <w:gridSpan w:val="2"/>
            <w:tcBorders>
              <w:top w:val="nil"/>
              <w:bottom w:val="single" w:sz="4" w:space="0" w:color="auto"/>
            </w:tcBorders>
            <w:vAlign w:val="center"/>
          </w:tcPr>
          <w:p w14:paraId="60909AB3"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w:t>
            </w:r>
            <w:r w:rsidRPr="00485A40">
              <w:rPr>
                <w:rFonts w:ascii="Times New Roman" w:hAnsi="Times New Roman" w:cs="Times New Roman"/>
                <w:sz w:val="20"/>
                <w:szCs w:val="20"/>
              </w:rPr>
              <w:t>39</w:t>
            </w:r>
          </w:p>
        </w:tc>
        <w:tc>
          <w:tcPr>
            <w:tcW w:w="1259" w:type="dxa"/>
            <w:gridSpan w:val="2"/>
            <w:tcBorders>
              <w:top w:val="nil"/>
              <w:bottom w:val="single" w:sz="4" w:space="0" w:color="auto"/>
            </w:tcBorders>
            <w:vAlign w:val="center"/>
          </w:tcPr>
          <w:p w14:paraId="268B9CFF"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w:t>
            </w:r>
            <w:r w:rsidRPr="00485A40">
              <w:rPr>
                <w:rFonts w:ascii="Times New Roman" w:hAnsi="Times New Roman" w:cs="Times New Roman"/>
                <w:sz w:val="20"/>
                <w:szCs w:val="20"/>
              </w:rPr>
              <w:t>14</w:t>
            </w:r>
          </w:p>
        </w:tc>
        <w:tc>
          <w:tcPr>
            <w:tcW w:w="1258" w:type="dxa"/>
            <w:gridSpan w:val="2"/>
            <w:tcBorders>
              <w:top w:val="nil"/>
              <w:bottom w:val="single" w:sz="4" w:space="0" w:color="auto"/>
            </w:tcBorders>
            <w:vAlign w:val="center"/>
          </w:tcPr>
          <w:p w14:paraId="55129F8D"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0.679</w:t>
            </w:r>
          </w:p>
        </w:tc>
        <w:tc>
          <w:tcPr>
            <w:tcW w:w="1259" w:type="dxa"/>
            <w:tcBorders>
              <w:top w:val="nil"/>
              <w:left w:val="nil"/>
              <w:bottom w:val="single" w:sz="4" w:space="0" w:color="auto"/>
              <w:right w:val="nil"/>
            </w:tcBorders>
            <w:vAlign w:val="center"/>
          </w:tcPr>
          <w:p w14:paraId="467FD7E9" w14:textId="77777777" w:rsidR="00925007" w:rsidRPr="00485A40" w:rsidRDefault="00925007" w:rsidP="0029437B">
            <w:pPr>
              <w:autoSpaceDE w:val="0"/>
              <w:autoSpaceDN w:val="0"/>
              <w:spacing w:after="0" w:line="240" w:lineRule="auto"/>
              <w:jc w:val="center"/>
              <w:rPr>
                <w:rFonts w:ascii="Times New Roman" w:hAnsi="Times New Roman" w:cs="Times New Roman"/>
                <w:sz w:val="20"/>
                <w:szCs w:val="20"/>
              </w:rPr>
            </w:pPr>
            <w:r w:rsidRPr="00485A40">
              <w:rPr>
                <w:rFonts w:ascii="Times New Roman" w:hAnsi="Times New Roman" w:cs="Times New Roman" w:hint="eastAsia"/>
                <w:sz w:val="20"/>
                <w:szCs w:val="20"/>
              </w:rPr>
              <w:t>0.7</w:t>
            </w:r>
            <w:r w:rsidRPr="00485A40">
              <w:rPr>
                <w:rFonts w:ascii="Times New Roman" w:hAnsi="Times New Roman" w:cs="Times New Roman"/>
                <w:sz w:val="20"/>
                <w:szCs w:val="20"/>
              </w:rPr>
              <w:t>43</w:t>
            </w:r>
          </w:p>
        </w:tc>
      </w:tr>
    </w:tbl>
    <w:p w14:paraId="3A474BB7" w14:textId="77777777" w:rsidR="00925007" w:rsidRDefault="00925007" w:rsidP="00925007">
      <w:pPr>
        <w:spacing w:after="0"/>
        <w:jc w:val="both"/>
        <w:rPr>
          <w:rFonts w:ascii="Times New Roman" w:hAnsi="Times New Roman" w:cs="Times New Roman"/>
          <w:sz w:val="20"/>
          <w:szCs w:val="20"/>
        </w:rPr>
      </w:pPr>
      <w:r w:rsidRPr="00F14005">
        <w:rPr>
          <w:rFonts w:ascii="Times New Roman" w:hAnsi="Times New Roman" w:cs="Times New Roman"/>
          <w:sz w:val="20"/>
          <w:szCs w:val="20"/>
        </w:rPr>
        <w:t>N</w:t>
      </w:r>
      <w:r>
        <w:rPr>
          <w:rFonts w:ascii="Times New Roman" w:hAnsi="Times New Roman" w:cs="Times New Roman"/>
          <w:sz w:val="20"/>
          <w:szCs w:val="20"/>
        </w:rPr>
        <w:t>OTES</w:t>
      </w:r>
      <w:r w:rsidRPr="00F14005">
        <w:rPr>
          <w:rFonts w:ascii="Times New Roman" w:hAnsi="Times New Roman" w:cs="Times New Roman"/>
          <w:sz w:val="20"/>
          <w:szCs w:val="20"/>
        </w:rPr>
        <w:t xml:space="preserve">: </w:t>
      </w:r>
      <w:r>
        <w:rPr>
          <w:rFonts w:ascii="Times New Roman" w:hAnsi="Times New Roman" w:cs="Times New Roman"/>
          <w:sz w:val="20"/>
          <w:szCs w:val="20"/>
        </w:rPr>
        <w:t>Panel A reports the results for t</w:t>
      </w:r>
      <w:r w:rsidRPr="00F14005">
        <w:rPr>
          <w:rFonts w:ascii="Times New Roman" w:hAnsi="Times New Roman" w:cs="Times New Roman"/>
          <w:sz w:val="20"/>
          <w:szCs w:val="20"/>
        </w:rPr>
        <w:t>he regression</w:t>
      </w:r>
      <w:r>
        <w:rPr>
          <w:rFonts w:ascii="Times New Roman" w:hAnsi="Times New Roman" w:cs="Times New Roman"/>
          <w:sz w:val="20"/>
          <w:szCs w:val="20"/>
        </w:rPr>
        <w:t>:</w:t>
      </w:r>
      <w:r w:rsidRPr="00F14005">
        <w:rPr>
          <w:rFonts w:ascii="Times New Roman" w:hAnsi="Times New Roman" w:cs="Times New Roman"/>
          <w:sz w:val="20"/>
          <w:szCs w:val="20"/>
        </w:rPr>
        <w:t xml:space="preserve"> </w:t>
      </w:r>
      <m:oMath>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Y</m:t>
            </m:r>
          </m:e>
          <m:sub>
            <m:r>
              <w:rPr>
                <w:rFonts w:ascii="Cambria Math" w:hAnsi="Cambria Math" w:cs="Times New Roman"/>
                <w:color w:val="231F20"/>
                <w:sz w:val="20"/>
                <w:szCs w:val="20"/>
              </w:rPr>
              <m:t>t</m:t>
            </m:r>
          </m:sub>
        </m:sSub>
        <m:r>
          <w:rPr>
            <w:rFonts w:ascii="Cambria Math" w:hAnsi="Cambria Math" w:cs="Times New Roman"/>
            <w:color w:val="231F20"/>
            <w:sz w:val="20"/>
            <w:szCs w:val="20"/>
          </w:rPr>
          <m:t>=α+β</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logVRP</m:t>
            </m:r>
          </m:e>
          <m:sub>
            <m:r>
              <w:rPr>
                <w:rFonts w:ascii="Cambria Math" w:hAnsi="Cambria Math" w:cs="Times New Roman"/>
                <w:color w:val="231F20"/>
                <w:sz w:val="20"/>
                <w:szCs w:val="20"/>
              </w:rPr>
              <m:t>t-1</m:t>
            </m:r>
          </m:sub>
        </m:sSub>
        <m:r>
          <w:rPr>
            <w:rFonts w:ascii="Cambria Math" w:hAnsi="Cambria Math" w:cs="Times New Roman"/>
            <w:color w:val="231F20"/>
            <w:sz w:val="20"/>
            <w:szCs w:val="20"/>
          </w:rPr>
          <m:t>+</m:t>
        </m:r>
        <m:r>
          <m:rPr>
            <m:sty m:val="bi"/>
          </m:rPr>
          <w:rPr>
            <w:rFonts w:ascii="Cambria Math" w:hAnsi="Cambria Math" w:cs="Times New Roman"/>
            <w:color w:val="231F20"/>
            <w:sz w:val="20"/>
            <w:szCs w:val="20"/>
          </w:rPr>
          <m:t>XΓ</m:t>
        </m:r>
        <m:r>
          <w:rPr>
            <w:rFonts w:ascii="Cambria Math" w:hAnsi="Cambria Math" w:cs="Times New Roman"/>
            <w:color w:val="231F20"/>
            <w:sz w:val="20"/>
            <w:szCs w:val="20"/>
          </w:rPr>
          <m:t>+</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ε</m:t>
            </m:r>
          </m:e>
          <m:sub>
            <m:r>
              <w:rPr>
                <w:rFonts w:ascii="Cambria Math" w:hAnsi="Cambria Math" w:cs="Times New Roman"/>
                <w:color w:val="231F20"/>
                <w:sz w:val="20"/>
                <w:szCs w:val="20"/>
              </w:rPr>
              <m:t>t</m:t>
            </m:r>
          </m:sub>
        </m:sSub>
      </m:oMath>
      <w:r>
        <w:rPr>
          <w:rFonts w:ascii="Times New Roman" w:hAnsi="Times New Roman" w:cs="Times New Roman" w:hint="eastAsia"/>
          <w:color w:val="231F20"/>
          <w:sz w:val="20"/>
          <w:szCs w:val="20"/>
          <w:lang w:eastAsia="zh-TW"/>
        </w:rPr>
        <w:t xml:space="preserve"> </w:t>
      </w:r>
      <w:r w:rsidRPr="00BB5FB2">
        <w:rPr>
          <w:rFonts w:ascii="Times New Roman" w:hAnsi="Times New Roman" w:cs="Times New Roman"/>
          <w:sz w:val="20"/>
          <w:szCs w:val="20"/>
        </w:rPr>
        <w:t>while Panel</w:t>
      </w:r>
      <w:r>
        <w:rPr>
          <w:rFonts w:ascii="Times New Roman" w:hAnsi="Times New Roman" w:cs="Times New Roman"/>
          <w:sz w:val="20"/>
          <w:szCs w:val="20"/>
        </w:rPr>
        <w:t>s</w:t>
      </w:r>
      <w:r w:rsidRPr="00BB5FB2">
        <w:rPr>
          <w:rFonts w:ascii="Times New Roman" w:hAnsi="Times New Roman" w:cs="Times New Roman"/>
          <w:sz w:val="20"/>
          <w:szCs w:val="20"/>
        </w:rPr>
        <w:t xml:space="preserve"> B</w:t>
      </w:r>
      <w:r>
        <w:rPr>
          <w:rFonts w:ascii="Times New Roman" w:hAnsi="Times New Roman" w:cs="Times New Roman"/>
          <w:sz w:val="20"/>
          <w:szCs w:val="20"/>
        </w:rPr>
        <w:t xml:space="preserve"> and C report the results for the regression: </w:t>
      </w:r>
      <m:oMath>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Y</m:t>
            </m:r>
          </m:e>
          <m:sub>
            <m:r>
              <w:rPr>
                <w:rFonts w:ascii="Cambria Math" w:hAnsi="Cambria Math" w:cs="Times New Roman"/>
                <w:color w:val="231F20"/>
                <w:sz w:val="20"/>
                <w:szCs w:val="20"/>
              </w:rPr>
              <m:t>t</m:t>
            </m:r>
          </m:sub>
        </m:sSub>
        <m:r>
          <w:rPr>
            <w:rFonts w:ascii="Cambria Math" w:hAnsi="Cambria Math" w:cs="Times New Roman"/>
            <w:color w:val="231F20"/>
            <w:sz w:val="20"/>
            <w:szCs w:val="20"/>
          </w:rPr>
          <m:t>=α+</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β</m:t>
            </m:r>
          </m:e>
          <m:sub>
            <m:r>
              <w:rPr>
                <w:rFonts w:ascii="Cambria Math" w:hAnsi="Cambria Math" w:cs="Times New Roman"/>
                <w:color w:val="231F20"/>
                <w:sz w:val="20"/>
                <w:szCs w:val="20"/>
              </w:rPr>
              <m:t>R</m:t>
            </m:r>
          </m:sub>
        </m:sSub>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logVRP</m:t>
            </m:r>
          </m:e>
          <m:sub>
            <m:r>
              <w:rPr>
                <w:rFonts w:ascii="Cambria Math" w:hAnsi="Cambria Math" w:cs="Times New Roman"/>
                <w:color w:val="231F20"/>
                <w:sz w:val="20"/>
                <w:szCs w:val="20"/>
              </w:rPr>
              <m:t>t-1</m:t>
            </m:r>
          </m:sub>
        </m:sSub>
        <m:r>
          <w:rPr>
            <w:rFonts w:ascii="Cambria Math" w:hAnsi="Cambria Math" w:cs="Times New Roman"/>
            <w:color w:val="231F20"/>
            <w:sz w:val="20"/>
            <w:szCs w:val="20"/>
          </w:rPr>
          <m:t>×</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D</m:t>
            </m:r>
          </m:e>
          <m:sub>
            <m:r>
              <w:rPr>
                <w:rFonts w:ascii="Cambria Math" w:hAnsi="Cambria Math" w:cs="Times New Roman"/>
                <w:color w:val="231F20"/>
                <w:sz w:val="20"/>
                <w:szCs w:val="20"/>
              </w:rPr>
              <m:t>REC</m:t>
            </m:r>
          </m:sub>
        </m:sSub>
        <m:r>
          <w:rPr>
            <w:rFonts w:ascii="Cambria Math" w:hAnsi="Cambria Math" w:cs="Times New Roman"/>
            <w:color w:val="231F20"/>
            <w:sz w:val="20"/>
            <w:szCs w:val="20"/>
          </w:rPr>
          <m:t>+</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β</m:t>
            </m:r>
          </m:e>
          <m:sub>
            <m:r>
              <w:rPr>
                <w:rFonts w:ascii="Cambria Math" w:hAnsi="Cambria Math" w:cs="Times New Roman"/>
                <w:color w:val="231F20"/>
                <w:sz w:val="20"/>
                <w:szCs w:val="20"/>
              </w:rPr>
              <m:t>NR</m:t>
            </m:r>
          </m:sub>
        </m:sSub>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logVRP</m:t>
            </m:r>
          </m:e>
          <m:sub>
            <m:r>
              <w:rPr>
                <w:rFonts w:ascii="Cambria Math" w:hAnsi="Cambria Math" w:cs="Times New Roman"/>
                <w:color w:val="231F20"/>
                <w:sz w:val="20"/>
                <w:szCs w:val="20"/>
              </w:rPr>
              <m:t>t-1</m:t>
            </m:r>
          </m:sub>
        </m:sSub>
        <m:r>
          <w:rPr>
            <w:rFonts w:ascii="Cambria Math" w:hAnsi="Cambria Math" w:cs="Times New Roman"/>
            <w:color w:val="231F20"/>
            <w:sz w:val="20"/>
            <w:szCs w:val="20"/>
          </w:rPr>
          <m:t>×</m:t>
        </m:r>
        <m:d>
          <m:dPr>
            <m:ctrlPr>
              <w:rPr>
                <w:rFonts w:ascii="Cambria Math" w:hAnsi="Cambria Math" w:cs="Times New Roman"/>
                <w:i/>
                <w:color w:val="231F20"/>
                <w:sz w:val="20"/>
                <w:szCs w:val="20"/>
              </w:rPr>
            </m:ctrlPr>
          </m:dPr>
          <m:e>
            <m:r>
              <w:rPr>
                <w:rFonts w:ascii="Cambria Math" w:hAnsi="Cambria Math" w:cs="Times New Roman"/>
                <w:color w:val="231F20"/>
                <w:sz w:val="20"/>
                <w:szCs w:val="20"/>
              </w:rPr>
              <m:t>1-</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D</m:t>
                </m:r>
              </m:e>
              <m:sub>
                <m:r>
                  <w:rPr>
                    <w:rFonts w:ascii="Cambria Math" w:hAnsi="Cambria Math" w:cs="Times New Roman"/>
                    <w:color w:val="231F20"/>
                    <w:sz w:val="20"/>
                    <w:szCs w:val="20"/>
                  </w:rPr>
                  <m:t>REC</m:t>
                </m:r>
              </m:sub>
            </m:sSub>
          </m:e>
        </m:d>
        <m:r>
          <w:rPr>
            <w:rFonts w:ascii="Cambria Math" w:hAnsi="Cambria Math" w:cs="Times New Roman"/>
            <w:color w:val="231F20"/>
            <w:sz w:val="20"/>
            <w:szCs w:val="20"/>
          </w:rPr>
          <m:t>+</m:t>
        </m:r>
        <m:r>
          <m:rPr>
            <m:sty m:val="bi"/>
          </m:rPr>
          <w:rPr>
            <w:rFonts w:ascii="Cambria Math" w:hAnsi="Cambria Math" w:cs="Times New Roman"/>
            <w:color w:val="231F20"/>
            <w:sz w:val="20"/>
            <w:szCs w:val="20"/>
          </w:rPr>
          <m:t>XΓ</m:t>
        </m:r>
        <m:r>
          <w:rPr>
            <w:rFonts w:ascii="Cambria Math" w:hAnsi="Cambria Math" w:cs="Times New Roman"/>
            <w:color w:val="231F20"/>
            <w:sz w:val="20"/>
            <w:szCs w:val="20"/>
          </w:rPr>
          <m:t>+</m:t>
        </m:r>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ε</m:t>
            </m:r>
          </m:e>
          <m:sub>
            <m:r>
              <w:rPr>
                <w:rFonts w:ascii="Cambria Math" w:hAnsi="Cambria Math" w:cs="Times New Roman"/>
                <w:color w:val="231F20"/>
                <w:sz w:val="20"/>
                <w:szCs w:val="20"/>
              </w:rPr>
              <m:t>t</m:t>
            </m:r>
          </m:sub>
        </m:sSub>
      </m:oMath>
      <w:r>
        <w:rPr>
          <w:rFonts w:ascii="Times New Roman" w:hAnsi="Times New Roman" w:cs="Times New Roman"/>
          <w:color w:val="231F20"/>
          <w:sz w:val="24"/>
          <w:szCs w:val="24"/>
        </w:rPr>
        <w:t xml:space="preserve"> </w:t>
      </w:r>
      <w:r w:rsidRPr="00F14005">
        <w:rPr>
          <w:rFonts w:ascii="Times New Roman" w:hAnsi="Times New Roman" w:cs="Times New Roman"/>
          <w:sz w:val="20"/>
          <w:szCs w:val="20"/>
        </w:rPr>
        <w:t xml:space="preserve">where </w:t>
      </w:r>
      <w:r w:rsidRPr="00F14005">
        <w:rPr>
          <w:rFonts w:ascii="Times New Roman" w:hAnsi="Times New Roman" w:cs="Times New Roman"/>
          <w:i/>
          <w:sz w:val="20"/>
          <w:szCs w:val="20"/>
        </w:rPr>
        <w:t>Y</w:t>
      </w:r>
      <w:r w:rsidRPr="00F14005">
        <w:rPr>
          <w:rFonts w:ascii="Times New Roman" w:hAnsi="Times New Roman" w:cs="Times New Roman"/>
          <w:i/>
          <w:sz w:val="20"/>
          <w:szCs w:val="20"/>
          <w:vertAlign w:val="subscript"/>
        </w:rPr>
        <w:t>t</w:t>
      </w:r>
      <w:r w:rsidRPr="00F14005">
        <w:rPr>
          <w:rFonts w:ascii="Times New Roman" w:hAnsi="Times New Roman" w:cs="Times New Roman"/>
          <w:sz w:val="20"/>
          <w:szCs w:val="20"/>
        </w:rPr>
        <w:t xml:space="preserve"> is one of the variables reported in the first row of </w:t>
      </w:r>
      <w:r>
        <w:rPr>
          <w:rFonts w:ascii="Times New Roman" w:hAnsi="Times New Roman" w:cs="Times New Roman"/>
          <w:sz w:val="20"/>
          <w:szCs w:val="20"/>
        </w:rPr>
        <w:t xml:space="preserve">Panels A and C </w:t>
      </w:r>
      <w:r w:rsidRPr="00382621">
        <w:rPr>
          <w:rFonts w:ascii="Times New Roman" w:hAnsi="Times New Roman" w:cs="Times New Roman"/>
          <w:sz w:val="20"/>
          <w:szCs w:val="20"/>
        </w:rPr>
        <w:t xml:space="preserve">and </w:t>
      </w:r>
      <m:oMath>
        <m:r>
          <m:rPr>
            <m:sty m:val="bi"/>
          </m:rPr>
          <w:rPr>
            <w:rFonts w:ascii="Cambria Math" w:hAnsi="Cambria Math" w:cs="Times New Roman"/>
            <w:color w:val="231F20"/>
            <w:sz w:val="20"/>
            <w:szCs w:val="20"/>
          </w:rPr>
          <m:t>X</m:t>
        </m:r>
      </m:oMath>
      <w:r w:rsidRPr="00382621">
        <w:rPr>
          <w:rFonts w:ascii="Times New Roman" w:hAnsi="Times New Roman" w:cs="Times New Roman"/>
          <w:sz w:val="20"/>
          <w:szCs w:val="20"/>
        </w:rPr>
        <w:t xml:space="preserve"> comprises the six principal components obtained from</w:t>
      </w:r>
      <w:r>
        <w:rPr>
          <w:rFonts w:ascii="Times New Roman" w:hAnsi="Times New Roman" w:cs="Times New Roman"/>
          <w:sz w:val="20"/>
          <w:szCs w:val="20"/>
        </w:rPr>
        <w:t xml:space="preserve"> the</w:t>
      </w:r>
      <w:r w:rsidRPr="00382621">
        <w:rPr>
          <w:rFonts w:ascii="Times New Roman" w:hAnsi="Times New Roman" w:cs="Times New Roman"/>
          <w:sz w:val="20"/>
          <w:szCs w:val="20"/>
        </w:rPr>
        <w:t xml:space="preserve"> Federal funds rate (</w:t>
      </w:r>
      <w:r w:rsidRPr="00382621">
        <w:rPr>
          <w:rFonts w:ascii="Times New Roman" w:hAnsi="Times New Roman" w:cs="Times New Roman"/>
          <w:i/>
          <w:sz w:val="20"/>
          <w:szCs w:val="20"/>
        </w:rPr>
        <w:t>FF_Rate</w:t>
      </w:r>
      <w:r w:rsidRPr="00382621">
        <w:rPr>
          <w:rFonts w:ascii="Times New Roman" w:hAnsi="Times New Roman" w:cs="Times New Roman"/>
          <w:sz w:val="20"/>
          <w:szCs w:val="20"/>
        </w:rPr>
        <w:t>), real GDP growth rate (</w:t>
      </w:r>
      <w:r w:rsidRPr="00382621">
        <w:rPr>
          <w:rFonts w:ascii="Times New Roman" w:hAnsi="Times New Roman" w:cs="Times New Roman"/>
          <w:i/>
          <w:sz w:val="20"/>
          <w:szCs w:val="20"/>
        </w:rPr>
        <w:t>GDP</w:t>
      </w:r>
      <w:r w:rsidRPr="00382621">
        <w:rPr>
          <w:rFonts w:ascii="Times New Roman" w:hAnsi="Times New Roman" w:cs="Times New Roman"/>
          <w:sz w:val="20"/>
          <w:szCs w:val="20"/>
        </w:rPr>
        <w:t>), percentage change in CPI (</w:t>
      </w:r>
      <w:r w:rsidRPr="00382621">
        <w:rPr>
          <w:rFonts w:ascii="Times New Roman" w:hAnsi="Times New Roman" w:cs="Times New Roman"/>
          <w:i/>
          <w:sz w:val="20"/>
          <w:szCs w:val="20"/>
        </w:rPr>
        <w:t>CPI</w:t>
      </w:r>
      <w:r w:rsidRPr="00382621">
        <w:rPr>
          <w:rFonts w:ascii="Times New Roman" w:hAnsi="Times New Roman" w:cs="Times New Roman"/>
          <w:sz w:val="20"/>
          <w:szCs w:val="20"/>
        </w:rPr>
        <w:t>), Baa-Aaa corporate bond yield spread (</w:t>
      </w:r>
      <w:r w:rsidRPr="00382621">
        <w:rPr>
          <w:rFonts w:ascii="Times New Roman" w:hAnsi="Times New Roman" w:cs="Times New Roman"/>
          <w:i/>
          <w:sz w:val="20"/>
          <w:szCs w:val="20"/>
        </w:rPr>
        <w:t>Credit_Spr</w:t>
      </w:r>
      <w:r w:rsidRPr="00382621">
        <w:rPr>
          <w:rFonts w:ascii="Times New Roman" w:hAnsi="Times New Roman" w:cs="Times New Roman"/>
          <w:sz w:val="20"/>
          <w:szCs w:val="20"/>
        </w:rPr>
        <w:t>), 10-1 year Treasury yield spread (</w:t>
      </w:r>
      <w:r w:rsidRPr="00382621">
        <w:rPr>
          <w:rFonts w:ascii="Times New Roman" w:hAnsi="Times New Roman" w:cs="Times New Roman"/>
          <w:i/>
          <w:sz w:val="20"/>
          <w:szCs w:val="20"/>
        </w:rPr>
        <w:t>Term_Spr</w:t>
      </w:r>
      <w:r w:rsidRPr="00382621">
        <w:rPr>
          <w:rFonts w:ascii="Times New Roman" w:hAnsi="Times New Roman" w:cs="Times New Roman"/>
          <w:sz w:val="20"/>
          <w:szCs w:val="20"/>
        </w:rPr>
        <w:t xml:space="preserve">), </w:t>
      </w:r>
      <w:r w:rsidRPr="00F7286A">
        <w:rPr>
          <w:rFonts w:ascii="Times New Roman" w:hAnsi="Times New Roman" w:cs="Times New Roman"/>
          <w:sz w:val="20"/>
          <w:szCs w:val="20"/>
        </w:rPr>
        <w:t>and the change in the</w:t>
      </w:r>
      <w:r w:rsidRPr="00F7286A">
        <w:rPr>
          <w:rFonts w:ascii="Times New Roman" w:hAnsi="Times New Roman" w:cs="Times New Roman"/>
          <w:b/>
          <w:sz w:val="20"/>
          <w:szCs w:val="20"/>
        </w:rPr>
        <w:t xml:space="preserve"> </w:t>
      </w:r>
      <w:r w:rsidRPr="00382621">
        <w:rPr>
          <w:rFonts w:ascii="Times New Roman" w:hAnsi="Times New Roman" w:cs="Times New Roman"/>
          <w:sz w:val="20"/>
          <w:szCs w:val="20"/>
        </w:rPr>
        <w:t>Index of Consumer Sentiment from the University of Michigan (</w:t>
      </w:r>
      <w:r w:rsidRPr="00382621">
        <w:rPr>
          <w:rFonts w:ascii="Times New Roman" w:hAnsi="Times New Roman" w:cs="Times New Roman"/>
          <w:i/>
          <w:sz w:val="20"/>
          <w:szCs w:val="20"/>
        </w:rPr>
        <w:t>CSI</w:t>
      </w:r>
      <w:r w:rsidRPr="00382621">
        <w:rPr>
          <w:rFonts w:ascii="Times New Roman" w:hAnsi="Times New Roman" w:cs="Times New Roman"/>
          <w:sz w:val="20"/>
          <w:szCs w:val="20"/>
        </w:rPr>
        <w:t>).</w:t>
      </w:r>
      <w:r>
        <w:rPr>
          <w:rFonts w:ascii="Times New Roman" w:hAnsi="Times New Roman" w:cs="Times New Roman"/>
          <w:sz w:val="20"/>
          <w:szCs w:val="20"/>
        </w:rPr>
        <w:t xml:space="preserve"> The coefficients on </w:t>
      </w:r>
      <m:oMath>
        <m:r>
          <m:rPr>
            <m:sty m:val="bi"/>
          </m:rPr>
          <w:rPr>
            <w:rFonts w:ascii="Cambria Math" w:hAnsi="Cambria Math" w:cs="Times New Roman"/>
            <w:color w:val="231F20"/>
            <w:sz w:val="20"/>
            <w:szCs w:val="20"/>
          </w:rPr>
          <m:t>X</m:t>
        </m:r>
      </m:oMath>
      <w:r>
        <w:rPr>
          <w:rFonts w:ascii="Times New Roman" w:hAnsi="Times New Roman" w:cs="Times New Roman" w:hint="eastAsia"/>
          <w:color w:val="231F20"/>
          <w:sz w:val="20"/>
          <w:szCs w:val="20"/>
          <w:lang w:eastAsia="zh-TW"/>
        </w:rPr>
        <w:t xml:space="preserve"> </w:t>
      </w:r>
      <w:r>
        <w:rPr>
          <w:rFonts w:ascii="Times New Roman" w:hAnsi="Times New Roman" w:cs="Times New Roman"/>
          <w:color w:val="231F20"/>
          <w:sz w:val="20"/>
          <w:szCs w:val="20"/>
          <w:lang w:eastAsia="zh-TW"/>
        </w:rPr>
        <w:t>are not reported in the table.</w:t>
      </w:r>
      <w:r w:rsidRPr="00FF4169">
        <w:rPr>
          <w:rFonts w:ascii="Times New Roman" w:hAnsi="Times New Roman" w:cs="Times New Roman"/>
          <w:sz w:val="24"/>
          <w:szCs w:val="24"/>
        </w:rPr>
        <w:t xml:space="preserve"> </w:t>
      </w:r>
      <m:oMath>
        <m:sSub>
          <m:sSubPr>
            <m:ctrlPr>
              <w:rPr>
                <w:rFonts w:ascii="Cambria Math" w:hAnsi="Cambria Math" w:cs="Times New Roman"/>
                <w:i/>
                <w:color w:val="231F20"/>
                <w:sz w:val="20"/>
                <w:szCs w:val="20"/>
              </w:rPr>
            </m:ctrlPr>
          </m:sSubPr>
          <m:e>
            <m:r>
              <w:rPr>
                <w:rFonts w:ascii="Cambria Math" w:hAnsi="Cambria Math" w:cs="Times New Roman"/>
                <w:color w:val="231F20"/>
                <w:sz w:val="20"/>
                <w:szCs w:val="20"/>
              </w:rPr>
              <m:t>D</m:t>
            </m:r>
          </m:e>
          <m:sub>
            <m:r>
              <w:rPr>
                <w:rFonts w:ascii="Cambria Math" w:hAnsi="Cambria Math" w:cs="Times New Roman"/>
                <w:color w:val="231F20"/>
                <w:sz w:val="20"/>
                <w:szCs w:val="20"/>
              </w:rPr>
              <m:t>REC</m:t>
            </m:r>
          </m:sub>
        </m:sSub>
      </m:oMath>
      <w:r>
        <w:rPr>
          <w:rFonts w:ascii="Times New Roman" w:hAnsi="Times New Roman" w:cs="Times New Roman"/>
          <w:color w:val="231F20"/>
          <w:sz w:val="20"/>
          <w:szCs w:val="20"/>
        </w:rPr>
        <w:t xml:space="preserve"> is a recession dummy which equals 1 for the </w:t>
      </w:r>
      <w:r w:rsidRPr="00382621">
        <w:rPr>
          <w:rFonts w:ascii="Times New Roman" w:hAnsi="Times New Roman" w:cs="Times New Roman"/>
          <w:color w:val="231F20"/>
          <w:sz w:val="20"/>
          <w:szCs w:val="20"/>
        </w:rPr>
        <w:t xml:space="preserve">NBER </w:t>
      </w:r>
      <w:r w:rsidRPr="00382621">
        <w:rPr>
          <w:rFonts w:ascii="Times New Roman" w:eastAsiaTheme="minorEastAsia" w:hAnsi="Times New Roman" w:cs="Times New Roman"/>
          <w:color w:val="231F20"/>
          <w:sz w:val="20"/>
          <w:szCs w:val="20"/>
        </w:rPr>
        <w:t>recession dates: 1990:3-1991:1, 2001:1-2001: 4 and 2007:4-2009:2</w:t>
      </w:r>
      <w:r>
        <w:rPr>
          <w:rFonts w:ascii="Times New Roman" w:eastAsiaTheme="minorEastAsia" w:hAnsi="Times New Roman" w:cs="Times New Roman"/>
          <w:color w:val="231F20"/>
          <w:sz w:val="20"/>
          <w:szCs w:val="20"/>
        </w:rPr>
        <w:t>, and 0 otherwise</w:t>
      </w:r>
      <w:r w:rsidRPr="00382621">
        <w:rPr>
          <w:rFonts w:ascii="Times New Roman" w:hAnsi="Times New Roman" w:cs="Times New Roman"/>
          <w:sz w:val="20"/>
          <w:szCs w:val="20"/>
        </w:rPr>
        <w:t>. Variable</w:t>
      </w:r>
      <w:r w:rsidRPr="00F14005">
        <w:rPr>
          <w:rFonts w:ascii="Times New Roman" w:hAnsi="Times New Roman" w:cs="Times New Roman"/>
          <w:sz w:val="20"/>
          <w:szCs w:val="20"/>
        </w:rPr>
        <w:t xml:space="preserve"> definitions are provided in Table A</w:t>
      </w:r>
      <w:r>
        <w:rPr>
          <w:rFonts w:ascii="Times New Roman" w:hAnsi="Times New Roman" w:cs="Times New Roman"/>
          <w:sz w:val="20"/>
          <w:szCs w:val="20"/>
        </w:rPr>
        <w:t>2</w:t>
      </w:r>
      <w:r w:rsidRPr="00F14005">
        <w:rPr>
          <w:rFonts w:ascii="Times New Roman" w:hAnsi="Times New Roman" w:cs="Times New Roman"/>
          <w:sz w:val="20"/>
          <w:szCs w:val="20"/>
        </w:rPr>
        <w:t>. P-values reported in parentheses are based on Newey-West heteroskedasticity and autocorrelation consistent standard erro</w:t>
      </w:r>
      <w:r>
        <w:rPr>
          <w:rFonts w:ascii="Times New Roman" w:hAnsi="Times New Roman" w:cs="Times New Roman"/>
          <w:sz w:val="20"/>
          <w:szCs w:val="20"/>
        </w:rPr>
        <w:t>rs.</w:t>
      </w:r>
    </w:p>
    <w:p w14:paraId="5C3087DE" w14:textId="77777777" w:rsidR="00925007" w:rsidRPr="00FF4169" w:rsidRDefault="00925007" w:rsidP="00925007">
      <w:pPr>
        <w:spacing w:after="0"/>
        <w:jc w:val="both"/>
        <w:rPr>
          <w:rFonts w:ascii="Times New Roman" w:hAnsi="Times New Roman" w:cs="Times New Roman"/>
          <w:sz w:val="24"/>
          <w:szCs w:val="24"/>
        </w:rPr>
        <w:sectPr w:rsidR="00925007" w:rsidRPr="00FF4169" w:rsidSect="003B6897">
          <w:pgSz w:w="16838" w:h="11906" w:orient="landscape"/>
          <w:pgMar w:top="1260" w:right="1440" w:bottom="1797" w:left="1440" w:header="851" w:footer="992" w:gutter="0"/>
          <w:cols w:space="425"/>
          <w:docGrid w:linePitch="360"/>
        </w:sectPr>
      </w:pPr>
    </w:p>
    <w:p w14:paraId="4CD92810" w14:textId="77777777" w:rsidR="00925007" w:rsidRPr="00FF4169" w:rsidRDefault="00925007" w:rsidP="00925007">
      <w:pPr>
        <w:spacing w:after="0"/>
        <w:jc w:val="both"/>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hint="eastAsia"/>
          <w:sz w:val="24"/>
          <w:szCs w:val="24"/>
        </w:rPr>
        <w:t xml:space="preserve"> </w:t>
      </w:r>
      <w:r>
        <w:rPr>
          <w:rFonts w:ascii="Times New Roman" w:hAnsi="Times New Roman" w:cs="Times New Roman"/>
          <w:sz w:val="24"/>
          <w:szCs w:val="24"/>
        </w:rPr>
        <w:t>5</w:t>
      </w:r>
    </w:p>
    <w:p w14:paraId="41E2D48A" w14:textId="0889CD82" w:rsidR="00925007" w:rsidRPr="00FF4169" w:rsidRDefault="009526EC" w:rsidP="00925007">
      <w:pPr>
        <w:spacing w:after="0"/>
        <w:jc w:val="both"/>
        <w:rPr>
          <w:rFonts w:ascii="Times New Roman" w:hAnsi="Times New Roman" w:cs="Times New Roman"/>
          <w:sz w:val="24"/>
          <w:szCs w:val="24"/>
        </w:rPr>
      </w:pPr>
      <w:r>
        <w:rPr>
          <w:rFonts w:ascii="Times New Roman" w:hAnsi="Times New Roman" w:cs="Times New Roman"/>
          <w:sz w:val="24"/>
          <w:szCs w:val="24"/>
        </w:rPr>
        <w:t>RESULTS OF L</w:t>
      </w:r>
      <w:r w:rsidRPr="00FF4169">
        <w:rPr>
          <w:rFonts w:ascii="Times New Roman" w:hAnsi="Times New Roman" w:cs="Times New Roman"/>
          <w:sz w:val="24"/>
          <w:szCs w:val="24"/>
        </w:rPr>
        <w:t xml:space="preserve">OAN-TO-BOND SUBSTITUTION </w:t>
      </w:r>
      <w:r>
        <w:rPr>
          <w:rFonts w:ascii="Times New Roman" w:hAnsi="Times New Roman" w:cs="Times New Roman"/>
          <w:sz w:val="24"/>
          <w:szCs w:val="24"/>
        </w:rPr>
        <w:t>APPROACH</w:t>
      </w:r>
    </w:p>
    <w:tbl>
      <w:tblPr>
        <w:tblW w:w="8364" w:type="dxa"/>
        <w:tblLayout w:type="fixed"/>
        <w:tblLook w:val="0000" w:firstRow="0" w:lastRow="0" w:firstColumn="0" w:lastColumn="0" w:noHBand="0" w:noVBand="0"/>
      </w:tblPr>
      <w:tblGrid>
        <w:gridCol w:w="1672"/>
        <w:gridCol w:w="1673"/>
        <w:gridCol w:w="1673"/>
        <w:gridCol w:w="1673"/>
        <w:gridCol w:w="1673"/>
      </w:tblGrid>
      <w:tr w:rsidR="00925007" w14:paraId="5CE4521F" w14:textId="77777777" w:rsidTr="0029437B">
        <w:trPr>
          <w:trHeight w:val="283"/>
        </w:trPr>
        <w:tc>
          <w:tcPr>
            <w:tcW w:w="1672" w:type="dxa"/>
            <w:tcBorders>
              <w:top w:val="single" w:sz="4" w:space="0" w:color="auto"/>
              <w:left w:val="nil"/>
              <w:right w:val="nil"/>
            </w:tcBorders>
          </w:tcPr>
          <w:p w14:paraId="36008D19" w14:textId="77777777" w:rsidR="00925007" w:rsidRPr="00944BF1" w:rsidRDefault="00925007" w:rsidP="0029437B">
            <w:pPr>
              <w:autoSpaceDE w:val="0"/>
              <w:autoSpaceDN w:val="0"/>
              <w:spacing w:before="100" w:beforeAutospacing="1" w:after="100" w:afterAutospacing="1" w:line="240" w:lineRule="auto"/>
              <w:rPr>
                <w:rFonts w:ascii="Times New Roman" w:hAnsi="Times New Roman" w:cs="Times New Roman"/>
                <w:sz w:val="20"/>
                <w:szCs w:val="20"/>
              </w:rPr>
            </w:pPr>
          </w:p>
        </w:tc>
        <w:tc>
          <w:tcPr>
            <w:tcW w:w="1673" w:type="dxa"/>
            <w:tcBorders>
              <w:top w:val="single" w:sz="4" w:space="0" w:color="auto"/>
            </w:tcBorders>
            <w:vAlign w:val="center"/>
          </w:tcPr>
          <w:p w14:paraId="4E31BF30"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944BF1">
              <w:rPr>
                <w:rFonts w:ascii="Times New Roman" w:hAnsi="Times New Roman" w:cs="Times New Roman"/>
                <w:sz w:val="20"/>
                <w:szCs w:val="20"/>
              </w:rPr>
              <w:t>(1)</w:t>
            </w:r>
          </w:p>
        </w:tc>
        <w:tc>
          <w:tcPr>
            <w:tcW w:w="1673" w:type="dxa"/>
            <w:tcBorders>
              <w:top w:val="single" w:sz="4" w:space="0" w:color="auto"/>
            </w:tcBorders>
            <w:vAlign w:val="center"/>
          </w:tcPr>
          <w:p w14:paraId="65807CBC"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944BF1">
              <w:rPr>
                <w:rFonts w:ascii="Times New Roman" w:hAnsi="Times New Roman" w:cs="Times New Roman"/>
                <w:sz w:val="20"/>
                <w:szCs w:val="20"/>
              </w:rPr>
              <w:t>(2)</w:t>
            </w:r>
          </w:p>
        </w:tc>
        <w:tc>
          <w:tcPr>
            <w:tcW w:w="1673" w:type="dxa"/>
            <w:tcBorders>
              <w:top w:val="single" w:sz="4" w:space="0" w:color="auto"/>
            </w:tcBorders>
            <w:vAlign w:val="center"/>
          </w:tcPr>
          <w:p w14:paraId="0D3E3282"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944BF1">
              <w:rPr>
                <w:rFonts w:ascii="Times New Roman" w:hAnsi="Times New Roman" w:cs="Times New Roman"/>
                <w:sz w:val="20"/>
                <w:szCs w:val="20"/>
              </w:rPr>
              <w:t>(3)</w:t>
            </w:r>
          </w:p>
        </w:tc>
        <w:tc>
          <w:tcPr>
            <w:tcW w:w="1673" w:type="dxa"/>
            <w:tcBorders>
              <w:top w:val="single" w:sz="4" w:space="0" w:color="auto"/>
            </w:tcBorders>
            <w:vAlign w:val="center"/>
          </w:tcPr>
          <w:p w14:paraId="26246285"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sz w:val="20"/>
                <w:szCs w:val="20"/>
              </w:rPr>
            </w:pPr>
            <w:r w:rsidRPr="00944BF1">
              <w:rPr>
                <w:rFonts w:ascii="Times New Roman" w:hAnsi="Times New Roman" w:cs="Times New Roman"/>
                <w:sz w:val="20"/>
                <w:szCs w:val="20"/>
              </w:rPr>
              <w:t>(4)</w:t>
            </w:r>
          </w:p>
        </w:tc>
      </w:tr>
      <w:tr w:rsidR="00925007" w14:paraId="49507D19" w14:textId="77777777" w:rsidTr="0029437B">
        <w:trPr>
          <w:trHeight w:val="283"/>
        </w:trPr>
        <w:tc>
          <w:tcPr>
            <w:tcW w:w="1672" w:type="dxa"/>
            <w:tcBorders>
              <w:left w:val="nil"/>
              <w:bottom w:val="single" w:sz="4" w:space="0" w:color="auto"/>
              <w:right w:val="nil"/>
            </w:tcBorders>
          </w:tcPr>
          <w:p w14:paraId="3E2F45E1" w14:textId="77777777" w:rsidR="00925007" w:rsidRPr="00944BF1" w:rsidRDefault="00925007" w:rsidP="0029437B">
            <w:pPr>
              <w:autoSpaceDE w:val="0"/>
              <w:autoSpaceDN w:val="0"/>
              <w:spacing w:before="100" w:beforeAutospacing="1" w:after="100" w:afterAutospacing="1" w:line="240" w:lineRule="auto"/>
              <w:rPr>
                <w:rFonts w:ascii="Times New Roman" w:hAnsi="Times New Roman" w:cs="Times New Roman"/>
                <w:sz w:val="20"/>
                <w:szCs w:val="20"/>
              </w:rPr>
            </w:pPr>
          </w:p>
        </w:tc>
        <w:tc>
          <w:tcPr>
            <w:tcW w:w="1673" w:type="dxa"/>
            <w:tcBorders>
              <w:bottom w:val="single" w:sz="4" w:space="0" w:color="auto"/>
            </w:tcBorders>
            <w:vAlign w:val="center"/>
          </w:tcPr>
          <w:p w14:paraId="3698A1AE"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944BF1">
              <w:rPr>
                <w:rFonts w:ascii="Times New Roman" w:hAnsi="Times New Roman" w:cs="Times New Roman"/>
                <w:sz w:val="20"/>
                <w:szCs w:val="20"/>
              </w:rPr>
              <w:t>∆</w:t>
            </w:r>
            <w:r w:rsidRPr="00944BF1">
              <w:rPr>
                <w:rFonts w:ascii="Times New Roman" w:hAnsi="Times New Roman" w:cs="Times New Roman"/>
                <w:i/>
                <w:sz w:val="20"/>
                <w:szCs w:val="20"/>
              </w:rPr>
              <w:t>Loan_FoF</w:t>
            </w:r>
          </w:p>
        </w:tc>
        <w:tc>
          <w:tcPr>
            <w:tcW w:w="1673" w:type="dxa"/>
            <w:tcBorders>
              <w:bottom w:val="single" w:sz="4" w:space="0" w:color="auto"/>
            </w:tcBorders>
            <w:vAlign w:val="center"/>
          </w:tcPr>
          <w:p w14:paraId="187F5AFE"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944BF1">
              <w:rPr>
                <w:rFonts w:ascii="Times New Roman" w:hAnsi="Times New Roman" w:cs="Times New Roman"/>
                <w:sz w:val="20"/>
                <w:szCs w:val="20"/>
              </w:rPr>
              <w:t>∆</w:t>
            </w:r>
            <w:r w:rsidRPr="00944BF1">
              <w:rPr>
                <w:rFonts w:ascii="Times New Roman" w:hAnsi="Times New Roman" w:cs="Times New Roman"/>
                <w:i/>
                <w:sz w:val="20"/>
                <w:szCs w:val="20"/>
              </w:rPr>
              <w:t>Bond_FoF</w:t>
            </w:r>
          </w:p>
        </w:tc>
        <w:tc>
          <w:tcPr>
            <w:tcW w:w="1673" w:type="dxa"/>
            <w:tcBorders>
              <w:bottom w:val="single" w:sz="4" w:space="0" w:color="auto"/>
            </w:tcBorders>
            <w:vAlign w:val="center"/>
          </w:tcPr>
          <w:p w14:paraId="68D28063"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944BF1">
              <w:rPr>
                <w:rFonts w:ascii="Times New Roman" w:hAnsi="Times New Roman" w:cs="Times New Roman"/>
                <w:i/>
                <w:sz w:val="20"/>
                <w:szCs w:val="20"/>
              </w:rPr>
              <w:t>Loan-Bond</w:t>
            </w:r>
          </w:p>
        </w:tc>
        <w:tc>
          <w:tcPr>
            <w:tcW w:w="1673" w:type="dxa"/>
            <w:tcBorders>
              <w:bottom w:val="single" w:sz="4" w:space="0" w:color="auto"/>
            </w:tcBorders>
            <w:vAlign w:val="center"/>
          </w:tcPr>
          <w:p w14:paraId="6E94460E" w14:textId="77777777" w:rsidR="00925007" w:rsidRPr="00944BF1" w:rsidRDefault="00925007" w:rsidP="0029437B">
            <w:pPr>
              <w:autoSpaceDE w:val="0"/>
              <w:autoSpaceDN w:val="0"/>
              <w:spacing w:before="100" w:beforeAutospacing="1" w:after="100" w:afterAutospacing="1" w:line="240" w:lineRule="auto"/>
              <w:jc w:val="center"/>
              <w:rPr>
                <w:rFonts w:ascii="Times New Roman" w:hAnsi="Times New Roman" w:cs="Times New Roman"/>
                <w:i/>
                <w:sz w:val="20"/>
                <w:szCs w:val="20"/>
              </w:rPr>
            </w:pPr>
            <w:r w:rsidRPr="00944BF1">
              <w:rPr>
                <w:rFonts w:ascii="Times New Roman" w:hAnsi="Times New Roman" w:cs="Times New Roman"/>
                <w:i/>
                <w:sz w:val="20"/>
                <w:szCs w:val="20"/>
              </w:rPr>
              <w:t>Loan/Debt</w:t>
            </w:r>
          </w:p>
        </w:tc>
      </w:tr>
      <w:tr w:rsidR="00925007" w14:paraId="696E8C5F" w14:textId="77777777" w:rsidTr="0029437B">
        <w:trPr>
          <w:trHeight w:val="283"/>
        </w:trPr>
        <w:tc>
          <w:tcPr>
            <w:tcW w:w="1672" w:type="dxa"/>
            <w:tcBorders>
              <w:top w:val="single" w:sz="4" w:space="0" w:color="auto"/>
              <w:left w:val="nil"/>
              <w:bottom w:val="nil"/>
              <w:right w:val="nil"/>
            </w:tcBorders>
            <w:vAlign w:val="center"/>
          </w:tcPr>
          <w:p w14:paraId="2FDC0538" w14:textId="77777777" w:rsidR="00925007" w:rsidRPr="00944BF1" w:rsidRDefault="00925007" w:rsidP="0029437B">
            <w:pPr>
              <w:spacing w:before="100" w:beforeAutospacing="1" w:after="100" w:afterAutospacing="1" w:line="240" w:lineRule="auto"/>
              <w:jc w:val="both"/>
              <w:rPr>
                <w:rFonts w:ascii="Times New Roman" w:hAnsi="Times New Roman" w:cs="Times New Roman"/>
                <w:i/>
                <w:sz w:val="20"/>
                <w:szCs w:val="20"/>
              </w:rPr>
            </w:pPr>
            <w:r w:rsidRPr="00944BF1">
              <w:rPr>
                <w:rFonts w:ascii="Times New Roman" w:hAnsi="Times New Roman" w:cs="Times New Roman"/>
                <w:i/>
                <w:sz w:val="20"/>
                <w:szCs w:val="20"/>
              </w:rPr>
              <w:t>logVR</w:t>
            </w:r>
            <w:r w:rsidRPr="00944BF1">
              <w:rPr>
                <w:rFonts w:ascii="Times New Roman" w:hAnsi="Times New Roman" w:cs="Times New Roman" w:hint="eastAsia"/>
                <w:i/>
                <w:sz w:val="20"/>
                <w:szCs w:val="20"/>
              </w:rPr>
              <w:t>P</w:t>
            </w:r>
            <w:r w:rsidRPr="00944BF1">
              <w:rPr>
                <w:rFonts w:ascii="Times New Roman" w:hAnsi="Times New Roman" w:cs="Times New Roman"/>
                <w:i/>
                <w:sz w:val="20"/>
                <w:szCs w:val="20"/>
                <w:vertAlign w:val="subscript"/>
                <w:lang w:eastAsia="zh-HK"/>
              </w:rPr>
              <w:t>t</w:t>
            </w:r>
            <w:r w:rsidRPr="00944BF1">
              <w:rPr>
                <w:rFonts w:ascii="Times New Roman" w:hAnsi="Times New Roman" w:cs="Times New Roman"/>
                <w:sz w:val="20"/>
                <w:szCs w:val="20"/>
                <w:vertAlign w:val="subscript"/>
                <w:lang w:eastAsia="zh-HK"/>
              </w:rPr>
              <w:t>-1</w:t>
            </w:r>
          </w:p>
        </w:tc>
        <w:tc>
          <w:tcPr>
            <w:tcW w:w="1673" w:type="dxa"/>
            <w:tcBorders>
              <w:top w:val="single" w:sz="4" w:space="0" w:color="auto"/>
              <w:bottom w:val="nil"/>
            </w:tcBorders>
            <w:vAlign w:val="center"/>
          </w:tcPr>
          <w:p w14:paraId="26C106B8"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-26.071</w:t>
            </w:r>
          </w:p>
        </w:tc>
        <w:tc>
          <w:tcPr>
            <w:tcW w:w="1673" w:type="dxa"/>
            <w:tcBorders>
              <w:top w:val="single" w:sz="4" w:space="0" w:color="auto"/>
              <w:bottom w:val="nil"/>
            </w:tcBorders>
            <w:vAlign w:val="center"/>
          </w:tcPr>
          <w:p w14:paraId="562B7E5C"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-2.888</w:t>
            </w:r>
          </w:p>
        </w:tc>
        <w:tc>
          <w:tcPr>
            <w:tcW w:w="1673" w:type="dxa"/>
            <w:tcBorders>
              <w:top w:val="single" w:sz="4" w:space="0" w:color="auto"/>
              <w:bottom w:val="nil"/>
            </w:tcBorders>
            <w:vAlign w:val="center"/>
          </w:tcPr>
          <w:p w14:paraId="5D9B6E21"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-1.465</w:t>
            </w:r>
          </w:p>
        </w:tc>
        <w:tc>
          <w:tcPr>
            <w:tcW w:w="1673" w:type="dxa"/>
            <w:tcBorders>
              <w:top w:val="single" w:sz="4" w:space="0" w:color="auto"/>
              <w:bottom w:val="nil"/>
            </w:tcBorders>
            <w:vAlign w:val="center"/>
          </w:tcPr>
          <w:p w14:paraId="2EDCD89B"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-0.331</w:t>
            </w:r>
          </w:p>
        </w:tc>
      </w:tr>
      <w:tr w:rsidR="00925007" w14:paraId="5279D86B" w14:textId="77777777" w:rsidTr="0029437B">
        <w:trPr>
          <w:trHeight w:val="283"/>
        </w:trPr>
        <w:tc>
          <w:tcPr>
            <w:tcW w:w="1672" w:type="dxa"/>
            <w:tcBorders>
              <w:top w:val="nil"/>
              <w:left w:val="nil"/>
              <w:bottom w:val="nil"/>
              <w:right w:val="nil"/>
            </w:tcBorders>
            <w:vAlign w:val="center"/>
          </w:tcPr>
          <w:p w14:paraId="510BFF16"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5445E261"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(0.002)</w:t>
            </w:r>
          </w:p>
        </w:tc>
        <w:tc>
          <w:tcPr>
            <w:tcW w:w="1673" w:type="dxa"/>
            <w:tcBorders>
              <w:top w:val="nil"/>
              <w:bottom w:val="nil"/>
            </w:tcBorders>
            <w:vAlign w:val="center"/>
          </w:tcPr>
          <w:p w14:paraId="180A98F4"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(0.701)</w:t>
            </w:r>
          </w:p>
        </w:tc>
        <w:tc>
          <w:tcPr>
            <w:tcW w:w="1673" w:type="dxa"/>
            <w:tcBorders>
              <w:top w:val="nil"/>
              <w:bottom w:val="nil"/>
            </w:tcBorders>
            <w:vAlign w:val="center"/>
          </w:tcPr>
          <w:p w14:paraId="699A89D3"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(0.010)</w:t>
            </w:r>
          </w:p>
        </w:tc>
        <w:tc>
          <w:tcPr>
            <w:tcW w:w="1673" w:type="dxa"/>
            <w:tcBorders>
              <w:top w:val="nil"/>
              <w:bottom w:val="nil"/>
            </w:tcBorders>
            <w:vAlign w:val="center"/>
          </w:tcPr>
          <w:p w14:paraId="68A664E7"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(0.012)</w:t>
            </w:r>
          </w:p>
        </w:tc>
      </w:tr>
      <w:tr w:rsidR="00925007" w14:paraId="63C2684B" w14:textId="77777777" w:rsidTr="0029437B">
        <w:trPr>
          <w:trHeight w:val="283"/>
        </w:trPr>
        <w:tc>
          <w:tcPr>
            <w:tcW w:w="1672" w:type="dxa"/>
            <w:tcBorders>
              <w:top w:val="nil"/>
              <w:left w:val="nil"/>
              <w:bottom w:val="nil"/>
              <w:right w:val="nil"/>
            </w:tcBorders>
            <w:vAlign w:val="center"/>
          </w:tcPr>
          <w:p w14:paraId="27706D4B" w14:textId="77777777" w:rsidR="00925007" w:rsidRPr="00944BF1" w:rsidRDefault="00925007" w:rsidP="0029437B">
            <w:pPr>
              <w:spacing w:before="100" w:beforeAutospacing="1" w:after="100" w:afterAutospacing="1" w:line="240" w:lineRule="auto"/>
              <w:jc w:val="both"/>
              <w:rPr>
                <w:rFonts w:ascii="Times New Roman" w:hAnsi="Times New Roman" w:cs="Times New Roman"/>
                <w:i/>
                <w:sz w:val="20"/>
                <w:szCs w:val="20"/>
              </w:rPr>
            </w:pPr>
            <w:r w:rsidRPr="00944BF1">
              <w:rPr>
                <w:rFonts w:ascii="Times New Roman" w:hAnsi="Times New Roman" w:cs="Times New Roman" w:hint="eastAsia"/>
                <w:i/>
                <w:sz w:val="20"/>
                <w:szCs w:val="20"/>
              </w:rPr>
              <w:t>Factor1</w:t>
            </w:r>
          </w:p>
        </w:tc>
        <w:tc>
          <w:tcPr>
            <w:tcW w:w="1673" w:type="dxa"/>
            <w:tcBorders>
              <w:top w:val="nil"/>
              <w:bottom w:val="nil"/>
            </w:tcBorders>
            <w:vAlign w:val="center"/>
          </w:tcPr>
          <w:p w14:paraId="1F1DA9B8"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0.898</w:t>
            </w:r>
          </w:p>
        </w:tc>
        <w:tc>
          <w:tcPr>
            <w:tcW w:w="1673" w:type="dxa"/>
            <w:tcBorders>
              <w:top w:val="nil"/>
              <w:bottom w:val="nil"/>
            </w:tcBorders>
            <w:vAlign w:val="center"/>
          </w:tcPr>
          <w:p w14:paraId="5004B8A8"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-0.244</w:t>
            </w:r>
          </w:p>
        </w:tc>
        <w:tc>
          <w:tcPr>
            <w:tcW w:w="1673" w:type="dxa"/>
            <w:tcBorders>
              <w:top w:val="nil"/>
              <w:bottom w:val="nil"/>
            </w:tcBorders>
            <w:vAlign w:val="center"/>
          </w:tcPr>
          <w:p w14:paraId="602CE370"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-0.082</w:t>
            </w:r>
          </w:p>
        </w:tc>
        <w:tc>
          <w:tcPr>
            <w:tcW w:w="1673" w:type="dxa"/>
            <w:tcBorders>
              <w:top w:val="nil"/>
              <w:bottom w:val="nil"/>
            </w:tcBorders>
            <w:vAlign w:val="center"/>
          </w:tcPr>
          <w:p w14:paraId="351E3ACC"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-0.021</w:t>
            </w:r>
          </w:p>
        </w:tc>
      </w:tr>
      <w:tr w:rsidR="00925007" w14:paraId="7F3F423A" w14:textId="77777777" w:rsidTr="0029437B">
        <w:trPr>
          <w:trHeight w:val="283"/>
        </w:trPr>
        <w:tc>
          <w:tcPr>
            <w:tcW w:w="1672" w:type="dxa"/>
            <w:tcBorders>
              <w:top w:val="nil"/>
              <w:left w:val="nil"/>
              <w:bottom w:val="nil"/>
              <w:right w:val="nil"/>
            </w:tcBorders>
            <w:vAlign w:val="center"/>
          </w:tcPr>
          <w:p w14:paraId="3427EA53"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7A554D43"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(0.724)</w:t>
            </w:r>
          </w:p>
        </w:tc>
        <w:tc>
          <w:tcPr>
            <w:tcW w:w="1673" w:type="dxa"/>
            <w:tcBorders>
              <w:top w:val="nil"/>
              <w:bottom w:val="nil"/>
            </w:tcBorders>
            <w:vAlign w:val="center"/>
          </w:tcPr>
          <w:p w14:paraId="3581FEB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(0.924)</w:t>
            </w:r>
          </w:p>
        </w:tc>
        <w:tc>
          <w:tcPr>
            <w:tcW w:w="1673" w:type="dxa"/>
            <w:tcBorders>
              <w:top w:val="nil"/>
              <w:bottom w:val="nil"/>
            </w:tcBorders>
            <w:vAlign w:val="center"/>
          </w:tcPr>
          <w:p w14:paraId="5716C585"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(0.549)</w:t>
            </w:r>
          </w:p>
        </w:tc>
        <w:tc>
          <w:tcPr>
            <w:tcW w:w="1673" w:type="dxa"/>
            <w:tcBorders>
              <w:top w:val="nil"/>
              <w:bottom w:val="nil"/>
            </w:tcBorders>
            <w:vAlign w:val="center"/>
          </w:tcPr>
          <w:p w14:paraId="1FA45AE2"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(0.515)</w:t>
            </w:r>
          </w:p>
        </w:tc>
      </w:tr>
      <w:tr w:rsidR="00925007" w14:paraId="67C9D737" w14:textId="77777777" w:rsidTr="0029437B">
        <w:trPr>
          <w:trHeight w:val="283"/>
        </w:trPr>
        <w:tc>
          <w:tcPr>
            <w:tcW w:w="1672" w:type="dxa"/>
            <w:tcBorders>
              <w:top w:val="nil"/>
              <w:left w:val="nil"/>
              <w:bottom w:val="nil"/>
              <w:right w:val="nil"/>
            </w:tcBorders>
            <w:vAlign w:val="center"/>
          </w:tcPr>
          <w:p w14:paraId="38DC98C4"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r w:rsidRPr="00944BF1">
              <w:rPr>
                <w:rFonts w:ascii="Times New Roman" w:hAnsi="Times New Roman" w:cs="Times New Roman" w:hint="eastAsia"/>
                <w:i/>
                <w:sz w:val="20"/>
                <w:szCs w:val="20"/>
              </w:rPr>
              <w:t>Factor</w:t>
            </w:r>
            <w:r w:rsidRPr="00944BF1">
              <w:rPr>
                <w:rFonts w:ascii="Times New Roman" w:hAnsi="Times New Roman" w:cs="Times New Roman"/>
                <w:i/>
                <w:sz w:val="20"/>
                <w:szCs w:val="20"/>
              </w:rPr>
              <w:t>2</w:t>
            </w:r>
          </w:p>
        </w:tc>
        <w:tc>
          <w:tcPr>
            <w:tcW w:w="1673" w:type="dxa"/>
            <w:tcBorders>
              <w:top w:val="nil"/>
              <w:bottom w:val="nil"/>
            </w:tcBorders>
            <w:vAlign w:val="center"/>
          </w:tcPr>
          <w:p w14:paraId="01DD6E0D"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2.388</w:t>
            </w:r>
          </w:p>
        </w:tc>
        <w:tc>
          <w:tcPr>
            <w:tcW w:w="1673" w:type="dxa"/>
            <w:tcBorders>
              <w:top w:val="nil"/>
              <w:bottom w:val="nil"/>
            </w:tcBorders>
            <w:vAlign w:val="center"/>
          </w:tcPr>
          <w:p w14:paraId="26D389D8"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-1.996</w:t>
            </w:r>
          </w:p>
        </w:tc>
        <w:tc>
          <w:tcPr>
            <w:tcW w:w="1673" w:type="dxa"/>
            <w:tcBorders>
              <w:top w:val="nil"/>
              <w:bottom w:val="nil"/>
            </w:tcBorders>
            <w:vAlign w:val="center"/>
          </w:tcPr>
          <w:p w14:paraId="1C5BE1E4"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0.092</w:t>
            </w:r>
          </w:p>
        </w:tc>
        <w:tc>
          <w:tcPr>
            <w:tcW w:w="1673" w:type="dxa"/>
            <w:tcBorders>
              <w:top w:val="nil"/>
              <w:bottom w:val="nil"/>
            </w:tcBorders>
            <w:vAlign w:val="center"/>
          </w:tcPr>
          <w:p w14:paraId="0BF597B6"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0.022</w:t>
            </w:r>
          </w:p>
        </w:tc>
      </w:tr>
      <w:tr w:rsidR="00925007" w14:paraId="2058FA63" w14:textId="77777777" w:rsidTr="0029437B">
        <w:trPr>
          <w:trHeight w:val="283"/>
        </w:trPr>
        <w:tc>
          <w:tcPr>
            <w:tcW w:w="1672" w:type="dxa"/>
            <w:tcBorders>
              <w:top w:val="nil"/>
              <w:left w:val="nil"/>
              <w:bottom w:val="nil"/>
              <w:right w:val="nil"/>
            </w:tcBorders>
            <w:vAlign w:val="center"/>
          </w:tcPr>
          <w:p w14:paraId="4552385D"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7E492A63"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(0.538)</w:t>
            </w:r>
          </w:p>
        </w:tc>
        <w:tc>
          <w:tcPr>
            <w:tcW w:w="1673" w:type="dxa"/>
            <w:tcBorders>
              <w:top w:val="nil"/>
              <w:bottom w:val="nil"/>
            </w:tcBorders>
            <w:vAlign w:val="center"/>
          </w:tcPr>
          <w:p w14:paraId="57EC19AA"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(0.430)</w:t>
            </w:r>
          </w:p>
        </w:tc>
        <w:tc>
          <w:tcPr>
            <w:tcW w:w="1673" w:type="dxa"/>
            <w:tcBorders>
              <w:top w:val="nil"/>
              <w:bottom w:val="nil"/>
            </w:tcBorders>
            <w:vAlign w:val="center"/>
          </w:tcPr>
          <w:p w14:paraId="17A178C9"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(0.693)</w:t>
            </w:r>
          </w:p>
        </w:tc>
        <w:tc>
          <w:tcPr>
            <w:tcW w:w="1673" w:type="dxa"/>
            <w:tcBorders>
              <w:top w:val="nil"/>
              <w:bottom w:val="nil"/>
            </w:tcBorders>
            <w:vAlign w:val="center"/>
          </w:tcPr>
          <w:p w14:paraId="28A36B52"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(0.688)</w:t>
            </w:r>
          </w:p>
        </w:tc>
      </w:tr>
      <w:tr w:rsidR="00925007" w14:paraId="6D6188FA" w14:textId="77777777" w:rsidTr="0029437B">
        <w:trPr>
          <w:trHeight w:val="283"/>
        </w:trPr>
        <w:tc>
          <w:tcPr>
            <w:tcW w:w="1672" w:type="dxa"/>
            <w:tcBorders>
              <w:top w:val="nil"/>
              <w:left w:val="nil"/>
              <w:bottom w:val="nil"/>
              <w:right w:val="nil"/>
            </w:tcBorders>
            <w:vAlign w:val="center"/>
          </w:tcPr>
          <w:p w14:paraId="108A7A64"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r w:rsidRPr="00944BF1">
              <w:rPr>
                <w:rFonts w:ascii="Times New Roman" w:hAnsi="Times New Roman" w:cs="Times New Roman" w:hint="eastAsia"/>
                <w:i/>
                <w:sz w:val="20"/>
                <w:szCs w:val="20"/>
              </w:rPr>
              <w:t>Factor</w:t>
            </w:r>
            <w:r w:rsidRPr="00944BF1">
              <w:rPr>
                <w:rFonts w:ascii="Times New Roman" w:hAnsi="Times New Roman" w:cs="Times New Roman"/>
                <w:i/>
                <w:sz w:val="20"/>
                <w:szCs w:val="20"/>
              </w:rPr>
              <w:t>3</w:t>
            </w:r>
          </w:p>
        </w:tc>
        <w:tc>
          <w:tcPr>
            <w:tcW w:w="1673" w:type="dxa"/>
            <w:tcBorders>
              <w:top w:val="nil"/>
              <w:bottom w:val="nil"/>
            </w:tcBorders>
            <w:vAlign w:val="center"/>
          </w:tcPr>
          <w:p w14:paraId="2B85FA50"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-9.671</w:t>
            </w:r>
          </w:p>
        </w:tc>
        <w:tc>
          <w:tcPr>
            <w:tcW w:w="1673" w:type="dxa"/>
            <w:tcBorders>
              <w:top w:val="nil"/>
              <w:bottom w:val="nil"/>
            </w:tcBorders>
            <w:vAlign w:val="center"/>
          </w:tcPr>
          <w:p w14:paraId="4DE09A71"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6.827</w:t>
            </w:r>
          </w:p>
        </w:tc>
        <w:tc>
          <w:tcPr>
            <w:tcW w:w="1673" w:type="dxa"/>
            <w:tcBorders>
              <w:top w:val="nil"/>
              <w:bottom w:val="nil"/>
            </w:tcBorders>
            <w:vAlign w:val="center"/>
          </w:tcPr>
          <w:p w14:paraId="3C91B08D"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-0.799</w:t>
            </w:r>
          </w:p>
        </w:tc>
        <w:tc>
          <w:tcPr>
            <w:tcW w:w="1673" w:type="dxa"/>
            <w:tcBorders>
              <w:top w:val="nil"/>
              <w:bottom w:val="nil"/>
            </w:tcBorders>
            <w:vAlign w:val="center"/>
          </w:tcPr>
          <w:p w14:paraId="3C2EE059"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-0.188</w:t>
            </w:r>
          </w:p>
        </w:tc>
      </w:tr>
      <w:tr w:rsidR="00925007" w14:paraId="7BD37C73" w14:textId="77777777" w:rsidTr="0029437B">
        <w:trPr>
          <w:trHeight w:val="283"/>
        </w:trPr>
        <w:tc>
          <w:tcPr>
            <w:tcW w:w="1672" w:type="dxa"/>
            <w:tcBorders>
              <w:top w:val="nil"/>
              <w:left w:val="nil"/>
              <w:bottom w:val="nil"/>
              <w:right w:val="nil"/>
            </w:tcBorders>
            <w:vAlign w:val="center"/>
          </w:tcPr>
          <w:p w14:paraId="51D0C612"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514B8611"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(0.009)</w:t>
            </w:r>
          </w:p>
        </w:tc>
        <w:tc>
          <w:tcPr>
            <w:tcW w:w="1673" w:type="dxa"/>
            <w:tcBorders>
              <w:top w:val="nil"/>
              <w:bottom w:val="nil"/>
            </w:tcBorders>
            <w:vAlign w:val="center"/>
          </w:tcPr>
          <w:p w14:paraId="596318BC"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(0.040)</w:t>
            </w:r>
          </w:p>
        </w:tc>
        <w:tc>
          <w:tcPr>
            <w:tcW w:w="1673" w:type="dxa"/>
            <w:tcBorders>
              <w:top w:val="nil"/>
              <w:bottom w:val="nil"/>
            </w:tcBorders>
            <w:vAlign w:val="center"/>
          </w:tcPr>
          <w:p w14:paraId="49B8C6FA"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(0.001)</w:t>
            </w:r>
          </w:p>
        </w:tc>
        <w:tc>
          <w:tcPr>
            <w:tcW w:w="1673" w:type="dxa"/>
            <w:tcBorders>
              <w:top w:val="nil"/>
              <w:bottom w:val="nil"/>
            </w:tcBorders>
            <w:vAlign w:val="center"/>
          </w:tcPr>
          <w:p w14:paraId="50B64720"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(0.001)</w:t>
            </w:r>
          </w:p>
        </w:tc>
      </w:tr>
      <w:tr w:rsidR="00925007" w14:paraId="4E32CB85" w14:textId="77777777" w:rsidTr="0029437B">
        <w:trPr>
          <w:trHeight w:val="283"/>
        </w:trPr>
        <w:tc>
          <w:tcPr>
            <w:tcW w:w="1672" w:type="dxa"/>
            <w:tcBorders>
              <w:top w:val="nil"/>
              <w:left w:val="nil"/>
              <w:bottom w:val="nil"/>
              <w:right w:val="nil"/>
            </w:tcBorders>
            <w:vAlign w:val="center"/>
          </w:tcPr>
          <w:p w14:paraId="7B5A4235" w14:textId="77777777" w:rsidR="00925007" w:rsidRPr="00944BF1" w:rsidRDefault="00925007" w:rsidP="0029437B">
            <w:pPr>
              <w:spacing w:before="100" w:beforeAutospacing="1" w:after="100" w:afterAutospacing="1" w:line="240" w:lineRule="auto"/>
              <w:jc w:val="both"/>
              <w:rPr>
                <w:rFonts w:ascii="Times New Roman" w:hAnsi="Times New Roman" w:cs="Times New Roman"/>
                <w:i/>
                <w:sz w:val="20"/>
                <w:szCs w:val="20"/>
              </w:rPr>
            </w:pPr>
            <w:r w:rsidRPr="00944BF1">
              <w:rPr>
                <w:rFonts w:ascii="Times New Roman" w:hAnsi="Times New Roman" w:cs="Times New Roman" w:hint="eastAsia"/>
                <w:i/>
                <w:sz w:val="20"/>
                <w:szCs w:val="20"/>
              </w:rPr>
              <w:t>Factor</w:t>
            </w:r>
            <w:r w:rsidRPr="00944BF1">
              <w:rPr>
                <w:rFonts w:ascii="Times New Roman" w:hAnsi="Times New Roman" w:cs="Times New Roman"/>
                <w:i/>
                <w:sz w:val="20"/>
                <w:szCs w:val="20"/>
              </w:rPr>
              <w:t>4</w:t>
            </w:r>
          </w:p>
        </w:tc>
        <w:tc>
          <w:tcPr>
            <w:tcW w:w="1673" w:type="dxa"/>
            <w:tcBorders>
              <w:top w:val="nil"/>
              <w:bottom w:val="nil"/>
            </w:tcBorders>
            <w:vAlign w:val="center"/>
          </w:tcPr>
          <w:p w14:paraId="50AAE3F6"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11.226</w:t>
            </w:r>
          </w:p>
        </w:tc>
        <w:tc>
          <w:tcPr>
            <w:tcW w:w="1673" w:type="dxa"/>
            <w:tcBorders>
              <w:top w:val="nil"/>
              <w:bottom w:val="nil"/>
            </w:tcBorders>
            <w:vAlign w:val="center"/>
          </w:tcPr>
          <w:p w14:paraId="46F8462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-8.501</w:t>
            </w:r>
          </w:p>
        </w:tc>
        <w:tc>
          <w:tcPr>
            <w:tcW w:w="1673" w:type="dxa"/>
            <w:tcBorders>
              <w:top w:val="nil"/>
              <w:bottom w:val="nil"/>
            </w:tcBorders>
            <w:vAlign w:val="center"/>
          </w:tcPr>
          <w:p w14:paraId="3DA94F8B"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0.641</w:t>
            </w:r>
          </w:p>
        </w:tc>
        <w:tc>
          <w:tcPr>
            <w:tcW w:w="1673" w:type="dxa"/>
            <w:tcBorders>
              <w:top w:val="nil"/>
              <w:bottom w:val="nil"/>
            </w:tcBorders>
            <w:vAlign w:val="center"/>
          </w:tcPr>
          <w:p w14:paraId="235D5280"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0.144</w:t>
            </w:r>
          </w:p>
        </w:tc>
      </w:tr>
      <w:tr w:rsidR="00925007" w14:paraId="7482F4AF" w14:textId="77777777" w:rsidTr="0029437B">
        <w:trPr>
          <w:trHeight w:val="283"/>
        </w:trPr>
        <w:tc>
          <w:tcPr>
            <w:tcW w:w="1672" w:type="dxa"/>
            <w:tcBorders>
              <w:top w:val="nil"/>
              <w:left w:val="nil"/>
              <w:bottom w:val="nil"/>
              <w:right w:val="nil"/>
            </w:tcBorders>
            <w:vAlign w:val="center"/>
          </w:tcPr>
          <w:p w14:paraId="0DB6910D"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2FE74A22"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(0.014)</w:t>
            </w:r>
          </w:p>
        </w:tc>
        <w:tc>
          <w:tcPr>
            <w:tcW w:w="1673" w:type="dxa"/>
            <w:tcBorders>
              <w:top w:val="nil"/>
              <w:bottom w:val="nil"/>
            </w:tcBorders>
            <w:vAlign w:val="center"/>
          </w:tcPr>
          <w:p w14:paraId="5713CCD9"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(0.033)</w:t>
            </w:r>
          </w:p>
        </w:tc>
        <w:tc>
          <w:tcPr>
            <w:tcW w:w="1673" w:type="dxa"/>
            <w:tcBorders>
              <w:top w:val="nil"/>
              <w:bottom w:val="nil"/>
            </w:tcBorders>
            <w:vAlign w:val="center"/>
          </w:tcPr>
          <w:p w14:paraId="2DA67A26"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(0.022)</w:t>
            </w:r>
          </w:p>
        </w:tc>
        <w:tc>
          <w:tcPr>
            <w:tcW w:w="1673" w:type="dxa"/>
            <w:tcBorders>
              <w:top w:val="nil"/>
              <w:bottom w:val="nil"/>
            </w:tcBorders>
            <w:vAlign w:val="center"/>
          </w:tcPr>
          <w:p w14:paraId="66A8CB0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(0.028)</w:t>
            </w:r>
          </w:p>
        </w:tc>
      </w:tr>
      <w:tr w:rsidR="00925007" w14:paraId="71247940" w14:textId="77777777" w:rsidTr="0029437B">
        <w:trPr>
          <w:trHeight w:val="283"/>
        </w:trPr>
        <w:tc>
          <w:tcPr>
            <w:tcW w:w="1672" w:type="dxa"/>
            <w:tcBorders>
              <w:top w:val="nil"/>
              <w:left w:val="nil"/>
              <w:bottom w:val="nil"/>
              <w:right w:val="nil"/>
            </w:tcBorders>
            <w:vAlign w:val="center"/>
          </w:tcPr>
          <w:p w14:paraId="5EF1CF8A"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r w:rsidRPr="00944BF1">
              <w:rPr>
                <w:rFonts w:ascii="Times New Roman" w:hAnsi="Times New Roman" w:cs="Times New Roman" w:hint="eastAsia"/>
                <w:i/>
                <w:sz w:val="20"/>
                <w:szCs w:val="20"/>
              </w:rPr>
              <w:t>Factor</w:t>
            </w:r>
            <w:r w:rsidRPr="00944BF1">
              <w:rPr>
                <w:rFonts w:ascii="Times New Roman" w:hAnsi="Times New Roman" w:cs="Times New Roman"/>
                <w:i/>
                <w:sz w:val="20"/>
                <w:szCs w:val="20"/>
              </w:rPr>
              <w:t>5</w:t>
            </w:r>
          </w:p>
        </w:tc>
        <w:tc>
          <w:tcPr>
            <w:tcW w:w="1673" w:type="dxa"/>
            <w:tcBorders>
              <w:top w:val="nil"/>
              <w:bottom w:val="nil"/>
            </w:tcBorders>
            <w:vAlign w:val="center"/>
          </w:tcPr>
          <w:p w14:paraId="7DB3C59C"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-2.475</w:t>
            </w:r>
          </w:p>
        </w:tc>
        <w:tc>
          <w:tcPr>
            <w:tcW w:w="1673" w:type="dxa"/>
            <w:tcBorders>
              <w:top w:val="nil"/>
              <w:bottom w:val="nil"/>
            </w:tcBorders>
            <w:vAlign w:val="center"/>
          </w:tcPr>
          <w:p w14:paraId="74B0E1C3"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6.953</w:t>
            </w:r>
          </w:p>
        </w:tc>
        <w:tc>
          <w:tcPr>
            <w:tcW w:w="1673" w:type="dxa"/>
            <w:tcBorders>
              <w:top w:val="nil"/>
              <w:bottom w:val="nil"/>
            </w:tcBorders>
            <w:vAlign w:val="center"/>
          </w:tcPr>
          <w:p w14:paraId="40D1EBDA"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-0.352</w:t>
            </w:r>
          </w:p>
        </w:tc>
        <w:tc>
          <w:tcPr>
            <w:tcW w:w="1673" w:type="dxa"/>
            <w:tcBorders>
              <w:top w:val="nil"/>
              <w:bottom w:val="nil"/>
            </w:tcBorders>
            <w:vAlign w:val="center"/>
          </w:tcPr>
          <w:p w14:paraId="5051E755"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-0.066</w:t>
            </w:r>
          </w:p>
        </w:tc>
      </w:tr>
      <w:tr w:rsidR="00925007" w14:paraId="18D93922" w14:textId="77777777" w:rsidTr="0029437B">
        <w:trPr>
          <w:trHeight w:val="283"/>
        </w:trPr>
        <w:tc>
          <w:tcPr>
            <w:tcW w:w="1672" w:type="dxa"/>
            <w:tcBorders>
              <w:top w:val="nil"/>
              <w:left w:val="nil"/>
              <w:bottom w:val="nil"/>
              <w:right w:val="nil"/>
            </w:tcBorders>
            <w:vAlign w:val="center"/>
          </w:tcPr>
          <w:p w14:paraId="1F4C7022"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527680C6"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(0.642)</w:t>
            </w:r>
          </w:p>
        </w:tc>
        <w:tc>
          <w:tcPr>
            <w:tcW w:w="1673" w:type="dxa"/>
            <w:tcBorders>
              <w:top w:val="nil"/>
              <w:bottom w:val="nil"/>
            </w:tcBorders>
            <w:vAlign w:val="center"/>
          </w:tcPr>
          <w:p w14:paraId="2736FD27"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(0.128)</w:t>
            </w:r>
          </w:p>
        </w:tc>
        <w:tc>
          <w:tcPr>
            <w:tcW w:w="1673" w:type="dxa"/>
            <w:tcBorders>
              <w:top w:val="nil"/>
              <w:bottom w:val="nil"/>
            </w:tcBorders>
            <w:vAlign w:val="center"/>
          </w:tcPr>
          <w:p w14:paraId="039A971D"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(0.316)</w:t>
            </w:r>
          </w:p>
        </w:tc>
        <w:tc>
          <w:tcPr>
            <w:tcW w:w="1673" w:type="dxa"/>
            <w:tcBorders>
              <w:top w:val="nil"/>
              <w:bottom w:val="nil"/>
            </w:tcBorders>
            <w:vAlign w:val="center"/>
          </w:tcPr>
          <w:p w14:paraId="5CA3F41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(0.420)</w:t>
            </w:r>
          </w:p>
        </w:tc>
      </w:tr>
      <w:tr w:rsidR="00925007" w14:paraId="307016FA" w14:textId="77777777" w:rsidTr="0029437B">
        <w:trPr>
          <w:trHeight w:val="283"/>
        </w:trPr>
        <w:tc>
          <w:tcPr>
            <w:tcW w:w="1672" w:type="dxa"/>
            <w:tcBorders>
              <w:top w:val="nil"/>
              <w:left w:val="nil"/>
              <w:bottom w:val="nil"/>
              <w:right w:val="nil"/>
            </w:tcBorders>
            <w:vAlign w:val="center"/>
          </w:tcPr>
          <w:p w14:paraId="60718818"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r w:rsidRPr="00944BF1">
              <w:rPr>
                <w:rFonts w:ascii="Times New Roman" w:hAnsi="Times New Roman" w:cs="Times New Roman" w:hint="eastAsia"/>
                <w:i/>
                <w:sz w:val="20"/>
                <w:szCs w:val="20"/>
              </w:rPr>
              <w:t>Factor</w:t>
            </w:r>
            <w:r w:rsidRPr="00944BF1">
              <w:rPr>
                <w:rFonts w:ascii="Times New Roman" w:hAnsi="Times New Roman" w:cs="Times New Roman"/>
                <w:i/>
                <w:sz w:val="20"/>
                <w:szCs w:val="20"/>
              </w:rPr>
              <w:t>6</w:t>
            </w:r>
          </w:p>
        </w:tc>
        <w:tc>
          <w:tcPr>
            <w:tcW w:w="1673" w:type="dxa"/>
            <w:tcBorders>
              <w:top w:val="nil"/>
              <w:bottom w:val="nil"/>
            </w:tcBorders>
            <w:vAlign w:val="center"/>
          </w:tcPr>
          <w:p w14:paraId="7E7EEA24"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11.451</w:t>
            </w:r>
          </w:p>
        </w:tc>
        <w:tc>
          <w:tcPr>
            <w:tcW w:w="1673" w:type="dxa"/>
            <w:tcBorders>
              <w:top w:val="nil"/>
              <w:bottom w:val="nil"/>
            </w:tcBorders>
            <w:vAlign w:val="center"/>
          </w:tcPr>
          <w:p w14:paraId="65E956B8"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-3.828</w:t>
            </w:r>
          </w:p>
        </w:tc>
        <w:tc>
          <w:tcPr>
            <w:tcW w:w="1673" w:type="dxa"/>
            <w:tcBorders>
              <w:top w:val="nil"/>
              <w:bottom w:val="nil"/>
            </w:tcBorders>
            <w:vAlign w:val="center"/>
          </w:tcPr>
          <w:p w14:paraId="43B0C38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0.788</w:t>
            </w:r>
          </w:p>
        </w:tc>
        <w:tc>
          <w:tcPr>
            <w:tcW w:w="1673" w:type="dxa"/>
            <w:tcBorders>
              <w:top w:val="nil"/>
              <w:bottom w:val="nil"/>
            </w:tcBorders>
            <w:vAlign w:val="center"/>
          </w:tcPr>
          <w:p w14:paraId="6F4B224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0.190</w:t>
            </w:r>
          </w:p>
        </w:tc>
      </w:tr>
      <w:tr w:rsidR="00925007" w14:paraId="78E10C44" w14:textId="77777777" w:rsidTr="0029437B">
        <w:trPr>
          <w:trHeight w:val="283"/>
        </w:trPr>
        <w:tc>
          <w:tcPr>
            <w:tcW w:w="1672" w:type="dxa"/>
            <w:tcBorders>
              <w:top w:val="nil"/>
              <w:left w:val="nil"/>
              <w:bottom w:val="nil"/>
              <w:right w:val="nil"/>
            </w:tcBorders>
            <w:vAlign w:val="center"/>
          </w:tcPr>
          <w:p w14:paraId="572E4C69"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bottom w:val="nil"/>
            </w:tcBorders>
            <w:vAlign w:val="center"/>
          </w:tcPr>
          <w:p w14:paraId="26363EF3"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(0.168)</w:t>
            </w:r>
          </w:p>
        </w:tc>
        <w:tc>
          <w:tcPr>
            <w:tcW w:w="1673" w:type="dxa"/>
            <w:tcBorders>
              <w:top w:val="nil"/>
              <w:bottom w:val="nil"/>
            </w:tcBorders>
            <w:vAlign w:val="center"/>
          </w:tcPr>
          <w:p w14:paraId="0A19ABD9"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(0.512)</w:t>
            </w:r>
          </w:p>
        </w:tc>
        <w:tc>
          <w:tcPr>
            <w:tcW w:w="1673" w:type="dxa"/>
            <w:tcBorders>
              <w:top w:val="nil"/>
              <w:bottom w:val="nil"/>
            </w:tcBorders>
            <w:vAlign w:val="center"/>
          </w:tcPr>
          <w:p w14:paraId="15E266D2"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(0.077)</w:t>
            </w:r>
          </w:p>
        </w:tc>
        <w:tc>
          <w:tcPr>
            <w:tcW w:w="1673" w:type="dxa"/>
            <w:tcBorders>
              <w:top w:val="nil"/>
              <w:bottom w:val="nil"/>
            </w:tcBorders>
            <w:vAlign w:val="center"/>
          </w:tcPr>
          <w:p w14:paraId="298F489A"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(0.064)</w:t>
            </w:r>
          </w:p>
        </w:tc>
      </w:tr>
      <w:tr w:rsidR="00925007" w14:paraId="53904CE7" w14:textId="77777777" w:rsidTr="0029437B">
        <w:trPr>
          <w:trHeight w:val="283"/>
        </w:trPr>
        <w:tc>
          <w:tcPr>
            <w:tcW w:w="1672" w:type="dxa"/>
            <w:tcBorders>
              <w:top w:val="nil"/>
              <w:left w:val="nil"/>
              <w:bottom w:val="nil"/>
              <w:right w:val="nil"/>
            </w:tcBorders>
            <w:vAlign w:val="center"/>
          </w:tcPr>
          <w:p w14:paraId="6CA0821D" w14:textId="77777777" w:rsidR="00925007" w:rsidRPr="00944BF1" w:rsidRDefault="00925007" w:rsidP="0029437B">
            <w:pPr>
              <w:spacing w:before="100" w:beforeAutospacing="1" w:after="100" w:afterAutospacing="1" w:line="240" w:lineRule="auto"/>
              <w:jc w:val="both"/>
              <w:rPr>
                <w:rFonts w:ascii="Times New Roman" w:hAnsi="Times New Roman" w:cs="Times New Roman"/>
                <w:i/>
                <w:sz w:val="20"/>
                <w:szCs w:val="20"/>
              </w:rPr>
            </w:pPr>
            <w:r w:rsidRPr="00944BF1">
              <w:rPr>
                <w:rFonts w:ascii="Times New Roman" w:hAnsi="Times New Roman" w:cs="Times New Roman" w:hint="eastAsia"/>
                <w:i/>
                <w:sz w:val="20"/>
                <w:szCs w:val="20"/>
              </w:rPr>
              <w:t>Intercept</w:t>
            </w:r>
          </w:p>
        </w:tc>
        <w:tc>
          <w:tcPr>
            <w:tcW w:w="1673" w:type="dxa"/>
            <w:tcBorders>
              <w:top w:val="nil"/>
              <w:bottom w:val="nil"/>
            </w:tcBorders>
            <w:vAlign w:val="center"/>
          </w:tcPr>
          <w:p w14:paraId="64AC84A6"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80.385</w:t>
            </w:r>
          </w:p>
        </w:tc>
        <w:tc>
          <w:tcPr>
            <w:tcW w:w="1673" w:type="dxa"/>
            <w:tcBorders>
              <w:top w:val="nil"/>
              <w:bottom w:val="nil"/>
            </w:tcBorders>
            <w:vAlign w:val="center"/>
          </w:tcPr>
          <w:p w14:paraId="4969C6B8"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45.372</w:t>
            </w:r>
          </w:p>
        </w:tc>
        <w:tc>
          <w:tcPr>
            <w:tcW w:w="1673" w:type="dxa"/>
            <w:tcBorders>
              <w:top w:val="nil"/>
              <w:bottom w:val="nil"/>
            </w:tcBorders>
            <w:vAlign w:val="center"/>
          </w:tcPr>
          <w:p w14:paraId="79F968B1"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3.158</w:t>
            </w:r>
          </w:p>
        </w:tc>
        <w:tc>
          <w:tcPr>
            <w:tcW w:w="1673" w:type="dxa"/>
            <w:tcBorders>
              <w:top w:val="nil"/>
              <w:bottom w:val="nil"/>
            </w:tcBorders>
            <w:vAlign w:val="center"/>
          </w:tcPr>
          <w:p w14:paraId="7032450F"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0.708</w:t>
            </w:r>
          </w:p>
        </w:tc>
      </w:tr>
      <w:tr w:rsidR="00925007" w14:paraId="4F8E53BD" w14:textId="77777777" w:rsidTr="0029437B">
        <w:trPr>
          <w:trHeight w:val="283"/>
        </w:trPr>
        <w:tc>
          <w:tcPr>
            <w:tcW w:w="1672" w:type="dxa"/>
            <w:tcBorders>
              <w:top w:val="nil"/>
              <w:left w:val="nil"/>
              <w:right w:val="nil"/>
            </w:tcBorders>
            <w:vAlign w:val="center"/>
          </w:tcPr>
          <w:p w14:paraId="61E32EE1"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p>
        </w:tc>
        <w:tc>
          <w:tcPr>
            <w:tcW w:w="1673" w:type="dxa"/>
            <w:tcBorders>
              <w:top w:val="nil"/>
            </w:tcBorders>
            <w:vAlign w:val="center"/>
          </w:tcPr>
          <w:p w14:paraId="638A5C55" w14:textId="77777777" w:rsidR="00925007" w:rsidRPr="00944BF1" w:rsidRDefault="00925007" w:rsidP="0029437B">
            <w:pPr>
              <w:tabs>
                <w:tab w:val="decimal" w:pos="65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(0.000)</w:t>
            </w:r>
          </w:p>
        </w:tc>
        <w:tc>
          <w:tcPr>
            <w:tcW w:w="1673" w:type="dxa"/>
            <w:tcBorders>
              <w:top w:val="nil"/>
            </w:tcBorders>
            <w:vAlign w:val="center"/>
          </w:tcPr>
          <w:p w14:paraId="4E05069D"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(0.029)</w:t>
            </w:r>
          </w:p>
        </w:tc>
        <w:tc>
          <w:tcPr>
            <w:tcW w:w="1673" w:type="dxa"/>
            <w:tcBorders>
              <w:top w:val="nil"/>
            </w:tcBorders>
            <w:vAlign w:val="center"/>
          </w:tcPr>
          <w:p w14:paraId="31DB97CB"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(0.045)</w:t>
            </w:r>
          </w:p>
        </w:tc>
        <w:tc>
          <w:tcPr>
            <w:tcW w:w="1673" w:type="dxa"/>
            <w:tcBorders>
              <w:top w:val="nil"/>
            </w:tcBorders>
            <w:vAlign w:val="center"/>
          </w:tcPr>
          <w:p w14:paraId="505B09A8" w14:textId="77777777" w:rsidR="00925007" w:rsidRPr="00944BF1" w:rsidRDefault="00925007" w:rsidP="0029437B">
            <w:pPr>
              <w:tabs>
                <w:tab w:val="decimal" w:pos="640"/>
              </w:tabs>
              <w:autoSpaceDE w:val="0"/>
              <w:autoSpaceDN w:val="0"/>
              <w:adjustRightInd w:val="0"/>
              <w:spacing w:after="0" w:line="240" w:lineRule="auto"/>
              <w:rPr>
                <w:rFonts w:ascii="Times New Roman" w:hAnsi="Times New Roman" w:cs="Times New Roman"/>
                <w:sz w:val="20"/>
                <w:szCs w:val="20"/>
              </w:rPr>
            </w:pPr>
            <w:r w:rsidRPr="00944BF1">
              <w:rPr>
                <w:rFonts w:ascii="Times New Roman" w:hAnsi="Times New Roman" w:cs="Times New Roman"/>
                <w:sz w:val="20"/>
                <w:szCs w:val="20"/>
              </w:rPr>
              <w:t>(0.054)</w:t>
            </w:r>
          </w:p>
        </w:tc>
      </w:tr>
      <w:tr w:rsidR="00925007" w14:paraId="28BB713E" w14:textId="77777777" w:rsidTr="0029437B">
        <w:trPr>
          <w:trHeight w:val="283"/>
        </w:trPr>
        <w:tc>
          <w:tcPr>
            <w:tcW w:w="1672" w:type="dxa"/>
            <w:tcBorders>
              <w:left w:val="nil"/>
              <w:bottom w:val="nil"/>
              <w:right w:val="nil"/>
            </w:tcBorders>
            <w:vAlign w:val="center"/>
          </w:tcPr>
          <w:p w14:paraId="222F4E1B"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r w:rsidRPr="00944BF1">
              <w:rPr>
                <w:rFonts w:ascii="Times New Roman" w:hAnsi="Times New Roman" w:cs="Times New Roman" w:hint="eastAsia"/>
                <w:sz w:val="20"/>
                <w:szCs w:val="20"/>
              </w:rPr>
              <w:t>Obs.</w:t>
            </w:r>
          </w:p>
        </w:tc>
        <w:tc>
          <w:tcPr>
            <w:tcW w:w="1673" w:type="dxa"/>
            <w:tcBorders>
              <w:bottom w:val="nil"/>
            </w:tcBorders>
            <w:vAlign w:val="center"/>
          </w:tcPr>
          <w:p w14:paraId="0BD4307D"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sz w:val="20"/>
                <w:szCs w:val="20"/>
              </w:rPr>
              <w:t>103</w:t>
            </w:r>
          </w:p>
        </w:tc>
        <w:tc>
          <w:tcPr>
            <w:tcW w:w="1673" w:type="dxa"/>
            <w:tcBorders>
              <w:bottom w:val="nil"/>
            </w:tcBorders>
            <w:vAlign w:val="center"/>
          </w:tcPr>
          <w:p w14:paraId="6654D43E"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sz w:val="20"/>
                <w:szCs w:val="20"/>
              </w:rPr>
              <w:t>103</w:t>
            </w:r>
          </w:p>
        </w:tc>
        <w:tc>
          <w:tcPr>
            <w:tcW w:w="1673" w:type="dxa"/>
            <w:tcBorders>
              <w:bottom w:val="nil"/>
            </w:tcBorders>
            <w:vAlign w:val="center"/>
          </w:tcPr>
          <w:p w14:paraId="5F5F4E80"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sz w:val="20"/>
                <w:szCs w:val="20"/>
              </w:rPr>
              <w:t>103</w:t>
            </w:r>
          </w:p>
        </w:tc>
        <w:tc>
          <w:tcPr>
            <w:tcW w:w="1673" w:type="dxa"/>
            <w:tcBorders>
              <w:bottom w:val="nil"/>
            </w:tcBorders>
            <w:vAlign w:val="center"/>
          </w:tcPr>
          <w:p w14:paraId="665367A1"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sz w:val="20"/>
                <w:szCs w:val="20"/>
              </w:rPr>
              <w:t>103</w:t>
            </w:r>
          </w:p>
        </w:tc>
      </w:tr>
      <w:tr w:rsidR="00925007" w14:paraId="6EFB8601" w14:textId="77777777" w:rsidTr="0029437B">
        <w:trPr>
          <w:trHeight w:val="283"/>
        </w:trPr>
        <w:tc>
          <w:tcPr>
            <w:tcW w:w="1672" w:type="dxa"/>
            <w:tcBorders>
              <w:top w:val="nil"/>
              <w:left w:val="nil"/>
              <w:bottom w:val="single" w:sz="4" w:space="0" w:color="auto"/>
              <w:right w:val="nil"/>
            </w:tcBorders>
            <w:vAlign w:val="center"/>
          </w:tcPr>
          <w:p w14:paraId="39F424A0" w14:textId="77777777" w:rsidR="00925007" w:rsidRPr="00944BF1" w:rsidRDefault="00925007" w:rsidP="0029437B">
            <w:pPr>
              <w:spacing w:before="100" w:beforeAutospacing="1" w:after="100" w:afterAutospacing="1" w:line="240" w:lineRule="auto"/>
              <w:jc w:val="both"/>
              <w:rPr>
                <w:rFonts w:ascii="Times New Roman" w:hAnsi="Times New Roman" w:cs="Times New Roman"/>
                <w:sz w:val="20"/>
                <w:szCs w:val="20"/>
              </w:rPr>
            </w:pPr>
            <w:r w:rsidRPr="00944BF1">
              <w:rPr>
                <w:rFonts w:ascii="Times New Roman" w:hAnsi="Times New Roman"/>
                <w:sz w:val="20"/>
                <w:szCs w:val="20"/>
              </w:rPr>
              <w:t xml:space="preserve">adj. </w:t>
            </w:r>
            <w:r w:rsidRPr="00944BF1">
              <w:rPr>
                <w:rFonts w:ascii="Times New Roman" w:hAnsi="Times New Roman"/>
                <w:i/>
                <w:iCs/>
                <w:sz w:val="20"/>
                <w:szCs w:val="20"/>
              </w:rPr>
              <w:t>R</w:t>
            </w:r>
            <w:r w:rsidRPr="00944BF1">
              <w:rPr>
                <w:rFonts w:ascii="Times New Roman" w:hAnsi="Times New Roman"/>
                <w:sz w:val="20"/>
                <w:szCs w:val="20"/>
                <w:vertAlign w:val="superscript"/>
              </w:rPr>
              <w:t>2</w:t>
            </w:r>
          </w:p>
        </w:tc>
        <w:tc>
          <w:tcPr>
            <w:tcW w:w="1673" w:type="dxa"/>
            <w:tcBorders>
              <w:top w:val="nil"/>
              <w:bottom w:val="single" w:sz="4" w:space="0" w:color="auto"/>
            </w:tcBorders>
            <w:vAlign w:val="center"/>
          </w:tcPr>
          <w:p w14:paraId="662DE471"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hint="eastAsia"/>
                <w:sz w:val="20"/>
                <w:szCs w:val="20"/>
              </w:rPr>
              <w:t>0.2</w:t>
            </w:r>
            <w:r w:rsidRPr="00944BF1">
              <w:rPr>
                <w:rFonts w:ascii="Times New Roman" w:hAnsi="Times New Roman" w:cs="Times New Roman"/>
                <w:sz w:val="20"/>
                <w:szCs w:val="20"/>
              </w:rPr>
              <w:t>57</w:t>
            </w:r>
          </w:p>
        </w:tc>
        <w:tc>
          <w:tcPr>
            <w:tcW w:w="1673" w:type="dxa"/>
            <w:tcBorders>
              <w:top w:val="nil"/>
              <w:bottom w:val="single" w:sz="4" w:space="0" w:color="auto"/>
            </w:tcBorders>
            <w:vAlign w:val="center"/>
          </w:tcPr>
          <w:p w14:paraId="09A1A67C"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hint="eastAsia"/>
                <w:sz w:val="20"/>
                <w:szCs w:val="20"/>
              </w:rPr>
              <w:t>0.05</w:t>
            </w:r>
            <w:r w:rsidRPr="00944BF1">
              <w:rPr>
                <w:rFonts w:ascii="Times New Roman" w:hAnsi="Times New Roman" w:cs="Times New Roman"/>
                <w:sz w:val="20"/>
                <w:szCs w:val="20"/>
              </w:rPr>
              <w:t>1</w:t>
            </w:r>
          </w:p>
        </w:tc>
        <w:tc>
          <w:tcPr>
            <w:tcW w:w="1673" w:type="dxa"/>
            <w:tcBorders>
              <w:top w:val="nil"/>
              <w:bottom w:val="single" w:sz="4" w:space="0" w:color="auto"/>
            </w:tcBorders>
            <w:vAlign w:val="center"/>
          </w:tcPr>
          <w:p w14:paraId="197C97F3"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hint="eastAsia"/>
                <w:sz w:val="20"/>
                <w:szCs w:val="20"/>
              </w:rPr>
              <w:t>0.2</w:t>
            </w:r>
            <w:r w:rsidRPr="00944BF1">
              <w:rPr>
                <w:rFonts w:ascii="Times New Roman" w:hAnsi="Times New Roman" w:cs="Times New Roman"/>
                <w:sz w:val="20"/>
                <w:szCs w:val="20"/>
              </w:rPr>
              <w:t>37</w:t>
            </w:r>
          </w:p>
        </w:tc>
        <w:tc>
          <w:tcPr>
            <w:tcW w:w="1673" w:type="dxa"/>
            <w:tcBorders>
              <w:top w:val="nil"/>
              <w:bottom w:val="single" w:sz="4" w:space="0" w:color="auto"/>
            </w:tcBorders>
            <w:vAlign w:val="center"/>
          </w:tcPr>
          <w:p w14:paraId="5BDE01E5" w14:textId="77777777" w:rsidR="00925007" w:rsidRPr="00944BF1" w:rsidRDefault="00925007" w:rsidP="0029437B">
            <w:pPr>
              <w:autoSpaceDE w:val="0"/>
              <w:autoSpaceDN w:val="0"/>
              <w:adjustRightInd w:val="0"/>
              <w:spacing w:after="0" w:line="240" w:lineRule="auto"/>
              <w:jc w:val="center"/>
              <w:rPr>
                <w:rFonts w:ascii="Times New Roman" w:hAnsi="Times New Roman" w:cs="Times New Roman"/>
                <w:sz w:val="20"/>
                <w:szCs w:val="20"/>
              </w:rPr>
            </w:pPr>
            <w:r w:rsidRPr="00944BF1">
              <w:rPr>
                <w:rFonts w:ascii="Times New Roman" w:hAnsi="Times New Roman" w:cs="Times New Roman" w:hint="eastAsia"/>
                <w:sz w:val="20"/>
                <w:szCs w:val="20"/>
              </w:rPr>
              <w:t>0.2</w:t>
            </w:r>
            <w:r w:rsidRPr="00944BF1">
              <w:rPr>
                <w:rFonts w:ascii="Times New Roman" w:hAnsi="Times New Roman" w:cs="Times New Roman"/>
                <w:sz w:val="20"/>
                <w:szCs w:val="20"/>
              </w:rPr>
              <w:t>34</w:t>
            </w:r>
          </w:p>
        </w:tc>
      </w:tr>
    </w:tbl>
    <w:p w14:paraId="4250D012" w14:textId="77777777" w:rsidR="00925007" w:rsidRPr="00A10754" w:rsidRDefault="00925007" w:rsidP="00925007">
      <w:pPr>
        <w:spacing w:after="0" w:line="240" w:lineRule="auto"/>
        <w:jc w:val="both"/>
        <w:rPr>
          <w:rFonts w:ascii="Times New Roman" w:hAnsi="Times New Roman" w:cs="Times New Roman"/>
          <w:sz w:val="20"/>
          <w:szCs w:val="20"/>
        </w:rPr>
      </w:pPr>
      <w:r w:rsidRPr="00A10754">
        <w:rPr>
          <w:rFonts w:ascii="Times New Roman" w:hAnsi="Times New Roman" w:cs="Times New Roman"/>
          <w:sz w:val="20"/>
          <w:szCs w:val="20"/>
        </w:rPr>
        <w:t>NOTES: The regression model is</w:t>
      </w:r>
    </w:p>
    <w:p w14:paraId="314B182F" w14:textId="77777777" w:rsidR="00925007" w:rsidRPr="00A10754" w:rsidRDefault="00925007" w:rsidP="00925007">
      <w:pPr>
        <w:spacing w:after="0" w:line="240" w:lineRule="auto"/>
        <w:ind w:firstLineChars="100" w:firstLine="200"/>
        <w:rPr>
          <w:rFonts w:ascii="Times New Roman" w:hAnsi="Times New Roman" w:cs="Times New Roman"/>
          <w:sz w:val="20"/>
          <w:szCs w:val="20"/>
        </w:rPr>
      </w:pPr>
      <w:r w:rsidRPr="00A10754">
        <w:rPr>
          <w:position w:val="-30"/>
          <w:sz w:val="20"/>
          <w:szCs w:val="20"/>
        </w:rPr>
        <w:object w:dxaOrig="7160" w:dyaOrig="720" w14:anchorId="1916939A">
          <v:shape id="_x0000_i1029" type="#_x0000_t75" style="width:308.5pt;height:32.5pt" o:ole="">
            <v:imagedata r:id="rId18" o:title=""/>
          </v:shape>
          <o:OLEObject Type="Embed" ProgID="Equation.DSMT4" ShapeID="_x0000_i1029" DrawAspect="Content" ObjectID="_1628328504" r:id="rId19"/>
        </w:object>
      </w:r>
    </w:p>
    <w:p w14:paraId="28EB8E27" w14:textId="77777777" w:rsidR="00925007" w:rsidRPr="00A10754" w:rsidRDefault="00925007" w:rsidP="00925007">
      <w:pPr>
        <w:spacing w:after="0" w:line="240" w:lineRule="auto"/>
        <w:jc w:val="both"/>
        <w:rPr>
          <w:rFonts w:ascii="Times New Roman" w:hAnsi="Times New Roman" w:cs="Times New Roman"/>
          <w:sz w:val="20"/>
          <w:szCs w:val="20"/>
        </w:rPr>
      </w:pPr>
      <w:r w:rsidRPr="00A10754">
        <w:rPr>
          <w:rFonts w:ascii="Times New Roman" w:hAnsi="Times New Roman" w:cs="Times New Roman"/>
          <w:sz w:val="20"/>
          <w:szCs w:val="20"/>
        </w:rPr>
        <w:t xml:space="preserve">where </w:t>
      </w:r>
      <w:r>
        <w:rPr>
          <w:rFonts w:ascii="Times New Roman" w:hAnsi="Times New Roman" w:cs="Times New Roman"/>
          <w:i/>
          <w:sz w:val="20"/>
          <w:szCs w:val="20"/>
        </w:rPr>
        <w:t>Z</w:t>
      </w:r>
      <w:r w:rsidRPr="00A10754">
        <w:rPr>
          <w:rFonts w:ascii="Times New Roman" w:hAnsi="Times New Roman" w:cs="Times New Roman"/>
          <w:i/>
          <w:sz w:val="20"/>
          <w:szCs w:val="20"/>
          <w:vertAlign w:val="subscript"/>
        </w:rPr>
        <w:t>t</w:t>
      </w:r>
      <w:r w:rsidRPr="00A10754">
        <w:rPr>
          <w:rFonts w:ascii="Times New Roman" w:hAnsi="Times New Roman" w:cs="Times New Roman"/>
          <w:sz w:val="20"/>
          <w:szCs w:val="20"/>
        </w:rPr>
        <w:t xml:space="preserve"> is one of following variables: the change in the sum of Depository Institution Loans Not Elsewhere Classified and Other Loans and Advances (∆</w:t>
      </w:r>
      <w:r w:rsidRPr="00A10754">
        <w:rPr>
          <w:rFonts w:ascii="Times New Roman" w:hAnsi="Times New Roman" w:cs="Times New Roman"/>
          <w:i/>
          <w:sz w:val="20"/>
          <w:szCs w:val="20"/>
        </w:rPr>
        <w:t>Loan_FoF</w:t>
      </w:r>
      <w:r w:rsidRPr="00A10754">
        <w:rPr>
          <w:rFonts w:ascii="Times New Roman" w:hAnsi="Times New Roman" w:cs="Times New Roman"/>
          <w:sz w:val="20"/>
          <w:szCs w:val="20"/>
        </w:rPr>
        <w:t>); the change in the sum of Commercial Paper and Corporate Bonds (∆</w:t>
      </w:r>
      <w:r w:rsidRPr="00A10754">
        <w:rPr>
          <w:rFonts w:ascii="Times New Roman" w:hAnsi="Times New Roman" w:cs="Times New Roman"/>
          <w:i/>
          <w:sz w:val="20"/>
          <w:szCs w:val="20"/>
        </w:rPr>
        <w:t>Bond_FoF</w:t>
      </w:r>
      <w:r w:rsidRPr="00A10754">
        <w:rPr>
          <w:rFonts w:ascii="Times New Roman" w:hAnsi="Times New Roman" w:cs="Times New Roman"/>
          <w:sz w:val="20"/>
          <w:szCs w:val="20"/>
        </w:rPr>
        <w:t xml:space="preserve">); the difference in the growth rates between </w:t>
      </w:r>
      <w:r w:rsidRPr="00A10754">
        <w:rPr>
          <w:rFonts w:ascii="Times New Roman" w:hAnsi="Times New Roman" w:cs="Times New Roman"/>
          <w:i/>
          <w:sz w:val="20"/>
          <w:szCs w:val="20"/>
        </w:rPr>
        <w:t>Loan_FoF</w:t>
      </w:r>
      <w:r w:rsidRPr="00A10754">
        <w:rPr>
          <w:rFonts w:ascii="Times New Roman" w:hAnsi="Times New Roman" w:cs="Times New Roman"/>
          <w:sz w:val="20"/>
          <w:szCs w:val="20"/>
        </w:rPr>
        <w:t xml:space="preserve"> and </w:t>
      </w:r>
      <w:r w:rsidRPr="00A10754">
        <w:rPr>
          <w:rFonts w:ascii="Times New Roman" w:hAnsi="Times New Roman" w:cs="Times New Roman"/>
          <w:i/>
          <w:sz w:val="20"/>
          <w:szCs w:val="20"/>
        </w:rPr>
        <w:t>Bond_FoF</w:t>
      </w:r>
      <w:r w:rsidRPr="00A10754">
        <w:rPr>
          <w:rFonts w:ascii="Times New Roman" w:hAnsi="Times New Roman" w:cs="Times New Roman"/>
          <w:sz w:val="20"/>
          <w:szCs w:val="20"/>
        </w:rPr>
        <w:t xml:space="preserve"> (</w:t>
      </w:r>
      <w:r w:rsidRPr="00A10754">
        <w:rPr>
          <w:rFonts w:ascii="Times New Roman" w:hAnsi="Times New Roman" w:cs="Times New Roman"/>
          <w:i/>
          <w:sz w:val="20"/>
          <w:szCs w:val="20"/>
        </w:rPr>
        <w:t>Loan-Bond</w:t>
      </w:r>
      <w:r w:rsidRPr="00A10754">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A10754">
        <w:rPr>
          <w:rFonts w:ascii="Times New Roman" w:hAnsi="Times New Roman" w:cs="Times New Roman"/>
          <w:sz w:val="20"/>
          <w:szCs w:val="20"/>
        </w:rPr>
        <w:t xml:space="preserve">change in the ratio of </w:t>
      </w:r>
      <w:r w:rsidRPr="00A10754">
        <w:rPr>
          <w:rFonts w:ascii="Times New Roman" w:hAnsi="Times New Roman" w:cs="Times New Roman"/>
          <w:i/>
          <w:sz w:val="20"/>
          <w:szCs w:val="20"/>
        </w:rPr>
        <w:t>Loan_FoF</w:t>
      </w:r>
      <w:r w:rsidRPr="00A10754">
        <w:rPr>
          <w:rFonts w:ascii="Times New Roman" w:hAnsi="Times New Roman" w:cs="Times New Roman"/>
          <w:sz w:val="20"/>
          <w:szCs w:val="20"/>
        </w:rPr>
        <w:t xml:space="preserve"> to the sum of </w:t>
      </w:r>
      <w:r w:rsidRPr="00A10754">
        <w:rPr>
          <w:rFonts w:ascii="Times New Roman" w:hAnsi="Times New Roman" w:cs="Times New Roman"/>
          <w:i/>
          <w:sz w:val="20"/>
          <w:szCs w:val="20"/>
        </w:rPr>
        <w:t>Loan_FoF</w:t>
      </w:r>
      <w:r w:rsidRPr="00A10754">
        <w:rPr>
          <w:rFonts w:ascii="Times New Roman" w:hAnsi="Times New Roman" w:cs="Times New Roman"/>
          <w:sz w:val="20"/>
          <w:szCs w:val="20"/>
        </w:rPr>
        <w:t xml:space="preserve"> and </w:t>
      </w:r>
      <w:r w:rsidRPr="00A10754">
        <w:rPr>
          <w:rFonts w:ascii="Times New Roman" w:hAnsi="Times New Roman" w:cs="Times New Roman"/>
          <w:i/>
          <w:sz w:val="20"/>
          <w:szCs w:val="20"/>
        </w:rPr>
        <w:t>Bond_FoF</w:t>
      </w:r>
      <w:r w:rsidRPr="00A10754">
        <w:rPr>
          <w:rFonts w:ascii="Times New Roman" w:hAnsi="Times New Roman" w:cs="Times New Roman"/>
          <w:sz w:val="20"/>
          <w:szCs w:val="20"/>
        </w:rPr>
        <w:t xml:space="preserve"> (</w:t>
      </w:r>
      <w:r w:rsidRPr="00A10754">
        <w:rPr>
          <w:rFonts w:ascii="Times New Roman" w:hAnsi="Times New Roman" w:cs="Times New Roman"/>
          <w:i/>
          <w:sz w:val="20"/>
          <w:szCs w:val="20"/>
        </w:rPr>
        <w:t>Loan/Debt</w:t>
      </w:r>
      <w:r w:rsidRPr="00A10754">
        <w:rPr>
          <w:rFonts w:ascii="Times New Roman" w:hAnsi="Times New Roman" w:cs="Times New Roman"/>
          <w:sz w:val="20"/>
          <w:szCs w:val="20"/>
        </w:rPr>
        <w:t xml:space="preserve">). </w:t>
      </w:r>
      <w:r w:rsidRPr="00A10754">
        <w:rPr>
          <w:rFonts w:ascii="Times New Roman" w:hAnsi="Times New Roman" w:cs="Times New Roman"/>
          <w:i/>
          <w:sz w:val="20"/>
          <w:szCs w:val="20"/>
        </w:rPr>
        <w:t>Factor1</w:t>
      </w:r>
      <w:r w:rsidRPr="00A10754">
        <w:rPr>
          <w:rFonts w:ascii="Times New Roman" w:hAnsi="Times New Roman" w:cs="Times New Roman"/>
          <w:sz w:val="20"/>
          <w:szCs w:val="20"/>
        </w:rPr>
        <w:t xml:space="preserve">, </w:t>
      </w:r>
      <w:r w:rsidRPr="00A10754">
        <w:rPr>
          <w:rFonts w:ascii="Times New Roman" w:hAnsi="Times New Roman" w:cs="Times New Roman"/>
          <w:i/>
          <w:sz w:val="20"/>
          <w:szCs w:val="20"/>
        </w:rPr>
        <w:t>Factor2</w:t>
      </w:r>
      <w:r w:rsidRPr="00A10754">
        <w:rPr>
          <w:rFonts w:ascii="Times New Roman" w:hAnsi="Times New Roman" w:cs="Times New Roman"/>
          <w:sz w:val="20"/>
          <w:szCs w:val="20"/>
        </w:rPr>
        <w:t xml:space="preserve">, …, </w:t>
      </w:r>
      <w:r w:rsidRPr="00A10754">
        <w:rPr>
          <w:rFonts w:ascii="Times New Roman" w:hAnsi="Times New Roman" w:cs="Times New Roman"/>
          <w:i/>
          <w:sz w:val="20"/>
          <w:szCs w:val="20"/>
        </w:rPr>
        <w:t>Factor6</w:t>
      </w:r>
      <w:r w:rsidRPr="00A10754">
        <w:rPr>
          <w:rFonts w:ascii="Times New Roman" w:hAnsi="Times New Roman" w:cs="Times New Roman"/>
          <w:sz w:val="20"/>
          <w:szCs w:val="20"/>
        </w:rPr>
        <w:t xml:space="preserve"> are six principal components</w:t>
      </w:r>
      <w:r w:rsidRPr="00A10754">
        <w:rPr>
          <w:rFonts w:ascii="Times New Roman" w:hAnsi="Times New Roman" w:cs="Times New Roman" w:hint="eastAsia"/>
          <w:sz w:val="20"/>
          <w:szCs w:val="20"/>
        </w:rPr>
        <w:t xml:space="preserve"> </w:t>
      </w:r>
      <w:r w:rsidRPr="00A10754">
        <w:rPr>
          <w:rFonts w:ascii="Times New Roman" w:hAnsi="Times New Roman" w:cs="Times New Roman"/>
          <w:sz w:val="20"/>
          <w:szCs w:val="20"/>
        </w:rPr>
        <w:t xml:space="preserve">obtained from </w:t>
      </w:r>
      <w:r>
        <w:rPr>
          <w:rFonts w:ascii="Times New Roman" w:hAnsi="Times New Roman" w:cs="Times New Roman"/>
          <w:sz w:val="20"/>
          <w:szCs w:val="20"/>
        </w:rPr>
        <w:t xml:space="preserve">the </w:t>
      </w:r>
      <w:r w:rsidRPr="00A10754">
        <w:rPr>
          <w:rFonts w:ascii="Times New Roman" w:hAnsi="Times New Roman" w:cs="Times New Roman"/>
          <w:sz w:val="20"/>
          <w:szCs w:val="20"/>
        </w:rPr>
        <w:t>Federal funds rate (</w:t>
      </w:r>
      <w:r w:rsidRPr="00A10754">
        <w:rPr>
          <w:rFonts w:ascii="Times New Roman" w:hAnsi="Times New Roman" w:cs="Times New Roman"/>
          <w:i/>
          <w:sz w:val="20"/>
          <w:szCs w:val="20"/>
        </w:rPr>
        <w:t>FF_Rate</w:t>
      </w:r>
      <w:r w:rsidRPr="00A10754">
        <w:rPr>
          <w:rFonts w:ascii="Times New Roman" w:hAnsi="Times New Roman" w:cs="Times New Roman"/>
          <w:sz w:val="20"/>
          <w:szCs w:val="20"/>
        </w:rPr>
        <w:t>), real GDP growth rate (</w:t>
      </w:r>
      <w:r w:rsidRPr="00A10754">
        <w:rPr>
          <w:rFonts w:ascii="Times New Roman" w:hAnsi="Times New Roman" w:cs="Times New Roman"/>
          <w:i/>
          <w:sz w:val="20"/>
          <w:szCs w:val="20"/>
        </w:rPr>
        <w:t>GDP</w:t>
      </w:r>
      <w:r w:rsidRPr="00A10754">
        <w:rPr>
          <w:rFonts w:ascii="Times New Roman" w:hAnsi="Times New Roman" w:cs="Times New Roman"/>
          <w:sz w:val="20"/>
          <w:szCs w:val="20"/>
        </w:rPr>
        <w:t>), percentage change in CPI (</w:t>
      </w:r>
      <w:r w:rsidRPr="00A10754">
        <w:rPr>
          <w:rFonts w:ascii="Times New Roman" w:hAnsi="Times New Roman" w:cs="Times New Roman"/>
          <w:i/>
          <w:sz w:val="20"/>
          <w:szCs w:val="20"/>
        </w:rPr>
        <w:t>CPI</w:t>
      </w:r>
      <w:r w:rsidRPr="00A10754">
        <w:rPr>
          <w:rFonts w:ascii="Times New Roman" w:hAnsi="Times New Roman" w:cs="Times New Roman"/>
          <w:sz w:val="20"/>
          <w:szCs w:val="20"/>
        </w:rPr>
        <w:t>), Baa-Aaa corporate bond yield spread (</w:t>
      </w:r>
      <w:r w:rsidRPr="00A10754">
        <w:rPr>
          <w:rFonts w:ascii="Times New Roman" w:hAnsi="Times New Roman" w:cs="Times New Roman" w:hint="eastAsia"/>
          <w:i/>
          <w:sz w:val="20"/>
          <w:szCs w:val="20"/>
        </w:rPr>
        <w:t>Credit_Spr</w:t>
      </w:r>
      <w:r w:rsidRPr="00A10754">
        <w:rPr>
          <w:rFonts w:ascii="Times New Roman" w:hAnsi="Times New Roman" w:cs="Times New Roman"/>
          <w:sz w:val="20"/>
          <w:szCs w:val="20"/>
        </w:rPr>
        <w:t>), 10-1 year Treasury yield spread (</w:t>
      </w:r>
      <w:r w:rsidRPr="00A10754">
        <w:rPr>
          <w:rFonts w:ascii="Times New Roman" w:hAnsi="Times New Roman" w:cs="Times New Roman"/>
          <w:i/>
          <w:sz w:val="20"/>
          <w:szCs w:val="20"/>
        </w:rPr>
        <w:t>Term_Spr</w:t>
      </w:r>
      <w:r w:rsidRPr="00A10754">
        <w:rPr>
          <w:rFonts w:ascii="Times New Roman" w:hAnsi="Times New Roman" w:cs="Times New Roman"/>
          <w:sz w:val="20"/>
          <w:szCs w:val="20"/>
        </w:rPr>
        <w:t xml:space="preserve">), </w:t>
      </w:r>
      <w:r w:rsidRPr="003B0850">
        <w:rPr>
          <w:rFonts w:ascii="Times New Roman" w:hAnsi="Times New Roman" w:cs="Times New Roman"/>
          <w:sz w:val="20"/>
          <w:szCs w:val="20"/>
        </w:rPr>
        <w:t xml:space="preserve">and </w:t>
      </w:r>
      <w:r w:rsidRPr="00F7286A">
        <w:rPr>
          <w:rFonts w:ascii="Times New Roman" w:hAnsi="Times New Roman" w:cs="Times New Roman"/>
          <w:sz w:val="20"/>
          <w:szCs w:val="20"/>
        </w:rPr>
        <w:t>the change in the</w:t>
      </w:r>
      <w:r w:rsidRPr="00F7286A">
        <w:rPr>
          <w:rFonts w:ascii="Times New Roman" w:hAnsi="Times New Roman" w:cs="Times New Roman"/>
          <w:b/>
          <w:sz w:val="20"/>
          <w:szCs w:val="20"/>
        </w:rPr>
        <w:t xml:space="preserve"> </w:t>
      </w:r>
      <w:r w:rsidRPr="00A10754">
        <w:rPr>
          <w:rFonts w:ascii="Times New Roman" w:hAnsi="Times New Roman" w:cs="Times New Roman"/>
          <w:sz w:val="20"/>
          <w:szCs w:val="20"/>
        </w:rPr>
        <w:t>Index of Consumer Sentiment from the University of Michigan (</w:t>
      </w:r>
      <w:r w:rsidRPr="00A10754">
        <w:rPr>
          <w:rFonts w:ascii="Times New Roman" w:hAnsi="Times New Roman" w:cs="Times New Roman" w:hint="eastAsia"/>
          <w:i/>
          <w:sz w:val="20"/>
          <w:szCs w:val="20"/>
        </w:rPr>
        <w:t>C</w:t>
      </w:r>
      <w:r w:rsidRPr="00A10754">
        <w:rPr>
          <w:rFonts w:ascii="Times New Roman" w:hAnsi="Times New Roman" w:cs="Times New Roman"/>
          <w:i/>
          <w:sz w:val="20"/>
          <w:szCs w:val="20"/>
        </w:rPr>
        <w:t>SI</w:t>
      </w:r>
      <w:r w:rsidRPr="00A10754">
        <w:rPr>
          <w:rFonts w:ascii="Times New Roman" w:hAnsi="Times New Roman" w:cs="Times New Roman"/>
          <w:sz w:val="20"/>
          <w:szCs w:val="20"/>
        </w:rPr>
        <w:t>). Variable definitions are provided in Table A</w:t>
      </w:r>
      <w:r>
        <w:rPr>
          <w:rFonts w:ascii="Times New Roman" w:hAnsi="Times New Roman" w:cs="Times New Roman"/>
          <w:sz w:val="20"/>
          <w:szCs w:val="20"/>
        </w:rPr>
        <w:t>2</w:t>
      </w:r>
      <w:r w:rsidRPr="00A10754">
        <w:rPr>
          <w:rFonts w:ascii="Times New Roman" w:hAnsi="Times New Roman" w:cs="Times New Roman"/>
          <w:sz w:val="20"/>
          <w:szCs w:val="20"/>
        </w:rPr>
        <w:t xml:space="preserve">. P-values </w:t>
      </w:r>
      <w:r w:rsidRPr="00F14005">
        <w:rPr>
          <w:rFonts w:ascii="Times New Roman" w:hAnsi="Times New Roman" w:cs="Times New Roman"/>
          <w:sz w:val="20"/>
          <w:szCs w:val="20"/>
        </w:rPr>
        <w:t>reported in parentheses are based on Newey-West heteroskedasticity and autocorrelation consistent standard erro</w:t>
      </w:r>
      <w:r>
        <w:rPr>
          <w:rFonts w:ascii="Times New Roman" w:hAnsi="Times New Roman" w:cs="Times New Roman"/>
          <w:sz w:val="20"/>
          <w:szCs w:val="20"/>
        </w:rPr>
        <w:t>rs.</w:t>
      </w:r>
    </w:p>
    <w:p w14:paraId="6FB94827" w14:textId="77777777" w:rsidR="00925007" w:rsidRDefault="00925007" w:rsidP="00925007">
      <w:pPr>
        <w:spacing w:after="0" w:line="240" w:lineRule="auto"/>
        <w:jc w:val="both"/>
        <w:rPr>
          <w:rFonts w:ascii="Times New Roman" w:hAnsi="Times New Roman" w:cs="Times New Roman"/>
          <w:szCs w:val="24"/>
        </w:rPr>
      </w:pPr>
    </w:p>
    <w:p w14:paraId="32120624" w14:textId="77777777" w:rsidR="00925007" w:rsidRDefault="00925007" w:rsidP="00925007">
      <w:pPr>
        <w:spacing w:after="0" w:line="240" w:lineRule="auto"/>
        <w:jc w:val="both"/>
        <w:rPr>
          <w:rFonts w:ascii="Times New Roman" w:hAnsi="Times New Roman" w:cs="Times New Roman"/>
          <w:szCs w:val="24"/>
        </w:rPr>
      </w:pPr>
    </w:p>
    <w:p w14:paraId="15705CAA" w14:textId="77777777" w:rsidR="00925007" w:rsidRDefault="00925007" w:rsidP="00925007">
      <w:pPr>
        <w:spacing w:after="0"/>
        <w:jc w:val="both"/>
        <w:rPr>
          <w:rFonts w:ascii="Times New Roman" w:hAnsi="Times New Roman" w:cs="Times New Roman"/>
          <w:sz w:val="24"/>
          <w:szCs w:val="24"/>
        </w:rPr>
        <w:sectPr w:rsidR="00925007" w:rsidSect="00267662">
          <w:pgSz w:w="11906" w:h="16838"/>
          <w:pgMar w:top="1440" w:right="1800" w:bottom="1440" w:left="1800" w:header="851" w:footer="992" w:gutter="0"/>
          <w:cols w:space="425"/>
          <w:docGrid w:linePitch="360"/>
        </w:sectPr>
      </w:pPr>
    </w:p>
    <w:p w14:paraId="60F35C69" w14:textId="7BFF8A7A" w:rsidR="00925007" w:rsidRDefault="00925007" w:rsidP="00925007">
      <w:pPr>
        <w:spacing w:after="0"/>
        <w:jc w:val="both"/>
        <w:rPr>
          <w:rFonts w:ascii="Times New Roman" w:hAnsi="Times New Roman" w:cs="Times New Roman"/>
          <w:sz w:val="24"/>
          <w:szCs w:val="24"/>
        </w:rPr>
      </w:pPr>
      <w:r w:rsidRPr="00FF4169">
        <w:rPr>
          <w:rFonts w:ascii="Times New Roman" w:hAnsi="Times New Roman" w:cs="Times New Roman" w:hint="eastAsia"/>
          <w:sz w:val="24"/>
          <w:szCs w:val="24"/>
        </w:rPr>
        <w:lastRenderedPageBreak/>
        <w:t>T</w:t>
      </w:r>
      <w:r>
        <w:rPr>
          <w:rFonts w:ascii="Times New Roman" w:hAnsi="Times New Roman" w:cs="Times New Roman"/>
          <w:sz w:val="24"/>
          <w:szCs w:val="24"/>
        </w:rPr>
        <w:t>ABLE</w:t>
      </w:r>
      <w:r w:rsidRPr="00FF4169">
        <w:rPr>
          <w:rFonts w:ascii="Times New Roman" w:hAnsi="Times New Roman" w:cs="Times New Roman" w:hint="eastAsia"/>
          <w:sz w:val="24"/>
          <w:szCs w:val="24"/>
        </w:rPr>
        <w:t xml:space="preserve"> </w:t>
      </w:r>
      <w:r>
        <w:rPr>
          <w:rFonts w:ascii="Times New Roman" w:hAnsi="Times New Roman" w:cs="Times New Roman"/>
          <w:sz w:val="24"/>
          <w:szCs w:val="24"/>
        </w:rPr>
        <w:t>6</w:t>
      </w:r>
    </w:p>
    <w:p w14:paraId="732D0487" w14:textId="052938FD" w:rsidR="00925007" w:rsidRDefault="009526EC" w:rsidP="00925007">
      <w:pPr>
        <w:spacing w:after="0"/>
        <w:jc w:val="both"/>
        <w:rPr>
          <w:rFonts w:ascii="Times New Roman" w:hAnsi="Times New Roman" w:cs="Times New Roman"/>
          <w:sz w:val="24"/>
          <w:szCs w:val="24"/>
        </w:rPr>
      </w:pPr>
      <w:r>
        <w:rPr>
          <w:rFonts w:ascii="Times New Roman" w:hAnsi="Times New Roman" w:cs="Times New Roman"/>
          <w:sz w:val="24"/>
          <w:szCs w:val="24"/>
        </w:rPr>
        <w:t>SIGN RESTRICTIONS IN SVAR MODELS</w:t>
      </w:r>
    </w:p>
    <w:tbl>
      <w:tblPr>
        <w:tblStyle w:val="af4"/>
        <w:tblW w:w="0" w:type="auto"/>
        <w:tblLayout w:type="fixed"/>
        <w:tblCellMar>
          <w:left w:w="28" w:type="dxa"/>
          <w:right w:w="28" w:type="dxa"/>
        </w:tblCellMar>
        <w:tblLook w:val="04A0" w:firstRow="1" w:lastRow="0" w:firstColumn="1" w:lastColumn="0" w:noHBand="0" w:noVBand="1"/>
      </w:tblPr>
      <w:tblGrid>
        <w:gridCol w:w="1442"/>
        <w:gridCol w:w="1064"/>
        <w:gridCol w:w="918"/>
        <w:gridCol w:w="1112"/>
        <w:gridCol w:w="1134"/>
        <w:gridCol w:w="1276"/>
        <w:gridCol w:w="1317"/>
        <w:gridCol w:w="7"/>
      </w:tblGrid>
      <w:tr w:rsidR="00925007" w14:paraId="2271CC6B" w14:textId="77777777" w:rsidTr="0029437B">
        <w:trPr>
          <w:trHeight w:val="354"/>
        </w:trPr>
        <w:tc>
          <w:tcPr>
            <w:tcW w:w="1442" w:type="dxa"/>
            <w:tcBorders>
              <w:left w:val="nil"/>
              <w:bottom w:val="nil"/>
              <w:right w:val="nil"/>
            </w:tcBorders>
            <w:vAlign w:val="center"/>
          </w:tcPr>
          <w:p w14:paraId="2113ADD3" w14:textId="77777777" w:rsidR="00925007" w:rsidRPr="000A4C84" w:rsidRDefault="00925007" w:rsidP="0029437B">
            <w:pPr>
              <w:ind w:leftChars="-24" w:left="-53"/>
              <w:jc w:val="both"/>
              <w:rPr>
                <w:rFonts w:ascii="Times New Roman" w:hAnsi="Times New Roman" w:cs="Times New Roman"/>
                <w:sz w:val="20"/>
                <w:szCs w:val="20"/>
              </w:rPr>
            </w:pPr>
          </w:p>
        </w:tc>
        <w:tc>
          <w:tcPr>
            <w:tcW w:w="6828" w:type="dxa"/>
            <w:gridSpan w:val="7"/>
            <w:tcBorders>
              <w:left w:val="nil"/>
              <w:right w:val="nil"/>
            </w:tcBorders>
            <w:vAlign w:val="center"/>
          </w:tcPr>
          <w:p w14:paraId="0B003805"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Responses to a shock</w:t>
            </w:r>
          </w:p>
        </w:tc>
      </w:tr>
      <w:tr w:rsidR="00925007" w:rsidRPr="000A4C84" w14:paraId="2D38B25C" w14:textId="77777777" w:rsidTr="0029437B">
        <w:trPr>
          <w:gridAfter w:val="1"/>
          <w:wAfter w:w="7" w:type="dxa"/>
          <w:trHeight w:val="344"/>
        </w:trPr>
        <w:tc>
          <w:tcPr>
            <w:tcW w:w="1442" w:type="dxa"/>
            <w:tcBorders>
              <w:top w:val="nil"/>
              <w:left w:val="nil"/>
              <w:right w:val="nil"/>
            </w:tcBorders>
          </w:tcPr>
          <w:p w14:paraId="02BBEBFB" w14:textId="77777777" w:rsidR="00925007" w:rsidRPr="000A4C84" w:rsidRDefault="00925007" w:rsidP="0029437B">
            <w:pPr>
              <w:ind w:leftChars="11" w:left="24"/>
              <w:jc w:val="both"/>
              <w:rPr>
                <w:rFonts w:ascii="Times New Roman" w:hAnsi="Times New Roman" w:cs="Times New Roman"/>
                <w:sz w:val="20"/>
                <w:szCs w:val="20"/>
              </w:rPr>
            </w:pPr>
            <w:r w:rsidRPr="000A4C84">
              <w:rPr>
                <w:rFonts w:ascii="Times New Roman" w:hAnsi="Times New Roman" w:cs="Times New Roman"/>
                <w:sz w:val="20"/>
                <w:szCs w:val="20"/>
              </w:rPr>
              <w:t>Shock</w:t>
            </w:r>
          </w:p>
        </w:tc>
        <w:tc>
          <w:tcPr>
            <w:tcW w:w="1064" w:type="dxa"/>
            <w:tcBorders>
              <w:left w:val="nil"/>
              <w:right w:val="nil"/>
            </w:tcBorders>
          </w:tcPr>
          <w:p w14:paraId="7E58BE1E" w14:textId="77777777" w:rsidR="00925007" w:rsidRPr="000A4C84" w:rsidRDefault="00925007" w:rsidP="0029437B">
            <w:pPr>
              <w:jc w:val="center"/>
              <w:rPr>
                <w:rFonts w:ascii="Times New Roman" w:eastAsia="新細明體" w:hAnsi="Times New Roman" w:cs="Times New Roman"/>
                <w:i/>
                <w:sz w:val="20"/>
                <w:szCs w:val="20"/>
              </w:rPr>
            </w:pPr>
            <w:r w:rsidRPr="000A4C84">
              <w:rPr>
                <w:rFonts w:ascii="Times New Roman" w:eastAsia="新細明體" w:hAnsi="Times New Roman" w:cs="Times New Roman"/>
                <w:i/>
                <w:sz w:val="20"/>
                <w:szCs w:val="20"/>
              </w:rPr>
              <w:t>logVRP</w:t>
            </w:r>
          </w:p>
        </w:tc>
        <w:tc>
          <w:tcPr>
            <w:tcW w:w="918" w:type="dxa"/>
            <w:tcBorders>
              <w:left w:val="nil"/>
              <w:right w:val="nil"/>
            </w:tcBorders>
          </w:tcPr>
          <w:p w14:paraId="2D827F1C" w14:textId="77777777" w:rsidR="00925007" w:rsidRPr="000A4C84" w:rsidRDefault="00925007" w:rsidP="0029437B">
            <w:pPr>
              <w:jc w:val="center"/>
              <w:rPr>
                <w:rFonts w:ascii="Times New Roman" w:eastAsia="新細明體" w:hAnsi="Times New Roman" w:cs="Times New Roman"/>
                <w:i/>
                <w:sz w:val="20"/>
                <w:szCs w:val="20"/>
              </w:rPr>
            </w:pPr>
            <w:r w:rsidRPr="000A4C84">
              <w:rPr>
                <w:rFonts w:ascii="Times New Roman" w:eastAsia="新細明體" w:hAnsi="Times New Roman" w:cs="Times New Roman" w:hint="eastAsia"/>
                <w:i/>
                <w:sz w:val="20"/>
                <w:szCs w:val="20"/>
              </w:rPr>
              <w:t>G</w:t>
            </w:r>
            <w:r w:rsidRPr="000A4C84">
              <w:rPr>
                <w:rFonts w:ascii="Times New Roman" w:eastAsia="新細明體" w:hAnsi="Times New Roman" w:cs="Times New Roman"/>
                <w:i/>
                <w:sz w:val="20"/>
                <w:szCs w:val="20"/>
              </w:rPr>
              <w:t>DP</w:t>
            </w:r>
          </w:p>
        </w:tc>
        <w:tc>
          <w:tcPr>
            <w:tcW w:w="1112" w:type="dxa"/>
            <w:tcBorders>
              <w:left w:val="nil"/>
              <w:right w:val="nil"/>
            </w:tcBorders>
          </w:tcPr>
          <w:p w14:paraId="02532978" w14:textId="77777777" w:rsidR="00925007" w:rsidRPr="000A4C84" w:rsidRDefault="00925007" w:rsidP="0029437B">
            <w:pPr>
              <w:jc w:val="center"/>
              <w:rPr>
                <w:rFonts w:ascii="Times New Roman" w:eastAsia="新細明體" w:hAnsi="Times New Roman" w:cs="Times New Roman"/>
                <w:i/>
                <w:sz w:val="20"/>
                <w:szCs w:val="20"/>
              </w:rPr>
            </w:pPr>
            <w:r w:rsidRPr="000A4C84">
              <w:rPr>
                <w:rFonts w:ascii="Times New Roman" w:eastAsia="新細明體" w:hAnsi="Times New Roman" w:cs="Times New Roman" w:hint="eastAsia"/>
                <w:i/>
                <w:sz w:val="20"/>
                <w:szCs w:val="20"/>
              </w:rPr>
              <w:t>C</w:t>
            </w:r>
            <w:r w:rsidRPr="000A4C84">
              <w:rPr>
                <w:rFonts w:ascii="Times New Roman" w:eastAsia="新細明體" w:hAnsi="Times New Roman" w:cs="Times New Roman"/>
                <w:i/>
                <w:sz w:val="20"/>
                <w:szCs w:val="20"/>
              </w:rPr>
              <w:t>PI</w:t>
            </w:r>
          </w:p>
        </w:tc>
        <w:tc>
          <w:tcPr>
            <w:tcW w:w="1134" w:type="dxa"/>
            <w:tcBorders>
              <w:left w:val="nil"/>
              <w:right w:val="nil"/>
            </w:tcBorders>
          </w:tcPr>
          <w:p w14:paraId="4B6AA155" w14:textId="77777777" w:rsidR="00925007" w:rsidRPr="000A4C84" w:rsidRDefault="00925007" w:rsidP="0029437B">
            <w:pPr>
              <w:jc w:val="center"/>
              <w:rPr>
                <w:rFonts w:ascii="Times New Roman" w:eastAsia="新細明體" w:hAnsi="Times New Roman" w:cs="Times New Roman"/>
                <w:i/>
                <w:sz w:val="20"/>
                <w:szCs w:val="20"/>
              </w:rPr>
            </w:pPr>
            <w:r w:rsidRPr="000A4C84">
              <w:rPr>
                <w:rFonts w:ascii="Times New Roman" w:eastAsia="新細明體" w:hAnsi="Times New Roman" w:cs="Times New Roman" w:hint="eastAsia"/>
                <w:i/>
                <w:sz w:val="20"/>
                <w:szCs w:val="20"/>
              </w:rPr>
              <w:t>F</w:t>
            </w:r>
            <w:r w:rsidRPr="000A4C84">
              <w:rPr>
                <w:rFonts w:ascii="Times New Roman" w:eastAsia="新細明體" w:hAnsi="Times New Roman" w:cs="Times New Roman"/>
                <w:i/>
                <w:sz w:val="20"/>
                <w:szCs w:val="20"/>
              </w:rPr>
              <w:t>F_Rate</w:t>
            </w:r>
          </w:p>
        </w:tc>
        <w:tc>
          <w:tcPr>
            <w:tcW w:w="1276" w:type="dxa"/>
            <w:tcBorders>
              <w:left w:val="nil"/>
              <w:right w:val="nil"/>
            </w:tcBorders>
          </w:tcPr>
          <w:p w14:paraId="54BC1152" w14:textId="77777777" w:rsidR="00925007" w:rsidRPr="000A4C84" w:rsidRDefault="00925007" w:rsidP="0029437B">
            <w:pPr>
              <w:jc w:val="center"/>
              <w:rPr>
                <w:rFonts w:ascii="Times New Roman" w:eastAsia="新細明體" w:hAnsi="Times New Roman" w:cs="Times New Roman"/>
                <w:i/>
                <w:sz w:val="20"/>
                <w:szCs w:val="20"/>
              </w:rPr>
            </w:pPr>
            <w:r w:rsidRPr="000A4C84">
              <w:rPr>
                <w:rFonts w:ascii="Times New Roman" w:eastAsia="新細明體" w:hAnsi="Times New Roman" w:cs="Times New Roman"/>
                <w:i/>
                <w:sz w:val="20"/>
                <w:szCs w:val="20"/>
              </w:rPr>
              <w:t>Loan_Spr /</w:t>
            </w:r>
          </w:p>
          <w:p w14:paraId="4DF166A8" w14:textId="77777777" w:rsidR="00925007" w:rsidRPr="000A4C84" w:rsidRDefault="00925007" w:rsidP="0029437B">
            <w:pPr>
              <w:jc w:val="center"/>
              <w:rPr>
                <w:rFonts w:ascii="Times New Roman" w:eastAsia="新細明體" w:hAnsi="Times New Roman" w:cs="Times New Roman"/>
                <w:sz w:val="20"/>
                <w:szCs w:val="20"/>
              </w:rPr>
            </w:pPr>
            <w:r w:rsidRPr="000A4C84">
              <w:rPr>
                <w:rFonts w:ascii="Times New Roman" w:eastAsia="新細明體" w:hAnsi="Times New Roman" w:cs="Times New Roman"/>
                <w:i/>
                <w:sz w:val="20"/>
                <w:szCs w:val="20"/>
              </w:rPr>
              <w:t>Spr_Synd</w:t>
            </w:r>
          </w:p>
        </w:tc>
        <w:tc>
          <w:tcPr>
            <w:tcW w:w="1317" w:type="dxa"/>
            <w:tcBorders>
              <w:left w:val="nil"/>
              <w:right w:val="nil"/>
            </w:tcBorders>
            <w:tcMar>
              <w:left w:w="28" w:type="dxa"/>
              <w:right w:w="28" w:type="dxa"/>
            </w:tcMar>
          </w:tcPr>
          <w:p w14:paraId="40FC1C23" w14:textId="77777777" w:rsidR="00925007" w:rsidRPr="000A4C84" w:rsidRDefault="00925007" w:rsidP="0029437B">
            <w:pPr>
              <w:autoSpaceDE w:val="0"/>
              <w:autoSpaceDN w:val="0"/>
              <w:jc w:val="center"/>
              <w:rPr>
                <w:rFonts w:ascii="Times New Roman" w:eastAsia="新細明體" w:hAnsi="Times New Roman" w:cs="Times New Roman"/>
                <w:i/>
                <w:sz w:val="20"/>
                <w:szCs w:val="20"/>
              </w:rPr>
            </w:pPr>
            <w:r w:rsidRPr="000A4C84">
              <w:rPr>
                <w:rFonts w:ascii="Times New Roman" w:hAnsi="Times New Roman" w:cs="Times New Roman"/>
                <w:i/>
                <w:iCs/>
                <w:color w:val="000000"/>
                <w:sz w:val="20"/>
                <w:szCs w:val="20"/>
              </w:rPr>
              <w:t>∆CI_Loan</w:t>
            </w:r>
            <w:r w:rsidRPr="000A4C84">
              <w:rPr>
                <w:rFonts w:ascii="Times New Roman" w:eastAsia="新細明體" w:hAnsi="Times New Roman" w:cs="Times New Roman"/>
                <w:i/>
                <w:sz w:val="20"/>
                <w:szCs w:val="20"/>
              </w:rPr>
              <w:t xml:space="preserve"> /</w:t>
            </w:r>
          </w:p>
          <w:p w14:paraId="22D05424" w14:textId="77777777" w:rsidR="00925007" w:rsidRPr="000A4C84" w:rsidRDefault="00925007" w:rsidP="0029437B">
            <w:pPr>
              <w:jc w:val="center"/>
              <w:rPr>
                <w:rFonts w:ascii="Times New Roman" w:eastAsia="新細明體" w:hAnsi="Times New Roman" w:cs="Times New Roman"/>
                <w:sz w:val="20"/>
                <w:szCs w:val="20"/>
              </w:rPr>
            </w:pPr>
            <w:r w:rsidRPr="000A4C84">
              <w:rPr>
                <w:rFonts w:ascii="Times New Roman" w:eastAsia="新細明體" w:hAnsi="Times New Roman" w:cs="Times New Roman" w:hint="eastAsia"/>
                <w:i/>
                <w:sz w:val="20"/>
                <w:szCs w:val="20"/>
              </w:rPr>
              <w:t>S</w:t>
            </w:r>
            <w:r w:rsidRPr="000A4C84">
              <w:rPr>
                <w:rFonts w:ascii="Times New Roman" w:eastAsia="新細明體" w:hAnsi="Times New Roman" w:cs="Times New Roman"/>
                <w:i/>
                <w:sz w:val="20"/>
                <w:szCs w:val="20"/>
              </w:rPr>
              <w:t>ynd_Loan</w:t>
            </w:r>
          </w:p>
        </w:tc>
      </w:tr>
      <w:tr w:rsidR="00925007" w14:paraId="73B440F8" w14:textId="77777777" w:rsidTr="0029437B">
        <w:trPr>
          <w:trHeight w:val="327"/>
        </w:trPr>
        <w:tc>
          <w:tcPr>
            <w:tcW w:w="1442" w:type="dxa"/>
            <w:tcBorders>
              <w:left w:val="nil"/>
              <w:bottom w:val="nil"/>
              <w:right w:val="nil"/>
            </w:tcBorders>
            <w:vAlign w:val="center"/>
          </w:tcPr>
          <w:p w14:paraId="731F3F9F" w14:textId="77777777" w:rsidR="00925007" w:rsidRPr="000A4C84" w:rsidRDefault="00925007" w:rsidP="0029437B">
            <w:pPr>
              <w:ind w:leftChars="11" w:left="24"/>
              <w:jc w:val="both"/>
              <w:rPr>
                <w:rFonts w:ascii="Times New Roman" w:hAnsi="Times New Roman" w:cs="Times New Roman"/>
                <w:sz w:val="20"/>
                <w:szCs w:val="20"/>
              </w:rPr>
            </w:pPr>
            <w:r w:rsidRPr="000A4C84">
              <w:rPr>
                <w:rFonts w:ascii="Times New Roman" w:hAnsi="Times New Roman" w:cs="Times New Roman"/>
                <w:sz w:val="20"/>
                <w:szCs w:val="20"/>
              </w:rPr>
              <w:t>Uncertainty</w:t>
            </w:r>
          </w:p>
        </w:tc>
        <w:tc>
          <w:tcPr>
            <w:tcW w:w="1064" w:type="dxa"/>
            <w:tcBorders>
              <w:left w:val="nil"/>
              <w:bottom w:val="nil"/>
              <w:right w:val="nil"/>
            </w:tcBorders>
            <w:vAlign w:val="center"/>
          </w:tcPr>
          <w:p w14:paraId="10D8AC8D" w14:textId="77777777" w:rsidR="00925007" w:rsidRPr="000A4C84" w:rsidRDefault="00925007" w:rsidP="0029437B">
            <w:pPr>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918" w:type="dxa"/>
            <w:tcBorders>
              <w:left w:val="nil"/>
              <w:bottom w:val="nil"/>
              <w:right w:val="nil"/>
            </w:tcBorders>
            <w:vAlign w:val="center"/>
          </w:tcPr>
          <w:p w14:paraId="63606560" w14:textId="77777777" w:rsidR="00925007" w:rsidRPr="000A4C84" w:rsidRDefault="00925007" w:rsidP="0029437B">
            <w:pPr>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1112" w:type="dxa"/>
            <w:tcBorders>
              <w:left w:val="nil"/>
              <w:bottom w:val="nil"/>
              <w:right w:val="nil"/>
            </w:tcBorders>
            <w:vAlign w:val="center"/>
          </w:tcPr>
          <w:p w14:paraId="041E1102"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unrestricted</w:t>
            </w:r>
          </w:p>
        </w:tc>
        <w:tc>
          <w:tcPr>
            <w:tcW w:w="1134" w:type="dxa"/>
            <w:tcBorders>
              <w:left w:val="nil"/>
              <w:bottom w:val="nil"/>
              <w:right w:val="nil"/>
            </w:tcBorders>
            <w:vAlign w:val="center"/>
          </w:tcPr>
          <w:p w14:paraId="107F3A3E"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unrestricted</w:t>
            </w:r>
          </w:p>
        </w:tc>
        <w:tc>
          <w:tcPr>
            <w:tcW w:w="1276" w:type="dxa"/>
            <w:tcBorders>
              <w:left w:val="nil"/>
              <w:bottom w:val="nil"/>
              <w:right w:val="nil"/>
            </w:tcBorders>
            <w:vAlign w:val="center"/>
          </w:tcPr>
          <w:p w14:paraId="7BEA1F0E"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unrestricted</w:t>
            </w:r>
          </w:p>
        </w:tc>
        <w:tc>
          <w:tcPr>
            <w:tcW w:w="1324" w:type="dxa"/>
            <w:gridSpan w:val="2"/>
            <w:tcBorders>
              <w:left w:val="nil"/>
              <w:bottom w:val="nil"/>
              <w:right w:val="nil"/>
            </w:tcBorders>
            <w:vAlign w:val="center"/>
          </w:tcPr>
          <w:p w14:paraId="5FB667AD" w14:textId="77777777" w:rsidR="00925007" w:rsidRPr="000A4C84" w:rsidRDefault="00925007" w:rsidP="0029437B">
            <w:pPr>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r>
      <w:tr w:rsidR="00925007" w14:paraId="32AE030D" w14:textId="77777777" w:rsidTr="0029437B">
        <w:trPr>
          <w:trHeight w:val="327"/>
        </w:trPr>
        <w:tc>
          <w:tcPr>
            <w:tcW w:w="1442" w:type="dxa"/>
            <w:tcBorders>
              <w:top w:val="nil"/>
              <w:left w:val="nil"/>
              <w:right w:val="nil"/>
            </w:tcBorders>
            <w:tcMar>
              <w:left w:w="28" w:type="dxa"/>
              <w:right w:w="28" w:type="dxa"/>
            </w:tcMar>
            <w:vAlign w:val="center"/>
          </w:tcPr>
          <w:p w14:paraId="652D643A" w14:textId="77777777" w:rsidR="00925007" w:rsidRPr="000A4C84" w:rsidRDefault="00925007" w:rsidP="0029437B">
            <w:pPr>
              <w:ind w:leftChars="11" w:left="24"/>
              <w:jc w:val="both"/>
              <w:rPr>
                <w:rFonts w:ascii="Times New Roman" w:hAnsi="Times New Roman" w:cs="Times New Roman"/>
                <w:sz w:val="20"/>
                <w:szCs w:val="20"/>
              </w:rPr>
            </w:pPr>
            <w:r w:rsidRPr="000A4C84">
              <w:rPr>
                <w:rFonts w:ascii="Times New Roman" w:hAnsi="Times New Roman" w:cs="Times New Roman"/>
                <w:sz w:val="20"/>
                <w:szCs w:val="20"/>
              </w:rPr>
              <w:t>Monetary policy</w:t>
            </w:r>
          </w:p>
        </w:tc>
        <w:tc>
          <w:tcPr>
            <w:tcW w:w="1064" w:type="dxa"/>
            <w:tcBorders>
              <w:top w:val="nil"/>
              <w:left w:val="nil"/>
              <w:right w:val="nil"/>
            </w:tcBorders>
            <w:vAlign w:val="center"/>
          </w:tcPr>
          <w:p w14:paraId="196AE1E9"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unrestricted</w:t>
            </w:r>
          </w:p>
        </w:tc>
        <w:tc>
          <w:tcPr>
            <w:tcW w:w="918" w:type="dxa"/>
            <w:tcBorders>
              <w:top w:val="nil"/>
              <w:left w:val="nil"/>
              <w:right w:val="nil"/>
            </w:tcBorders>
            <w:vAlign w:val="center"/>
          </w:tcPr>
          <w:p w14:paraId="34695D25" w14:textId="77777777" w:rsidR="00925007" w:rsidRPr="000A4C84" w:rsidRDefault="00925007" w:rsidP="0029437B">
            <w:pPr>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1112" w:type="dxa"/>
            <w:tcBorders>
              <w:top w:val="nil"/>
              <w:left w:val="nil"/>
              <w:right w:val="nil"/>
            </w:tcBorders>
            <w:vAlign w:val="center"/>
          </w:tcPr>
          <w:p w14:paraId="49272271" w14:textId="77777777" w:rsidR="00925007" w:rsidRPr="000A4C84" w:rsidRDefault="00925007" w:rsidP="0029437B">
            <w:pPr>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1134" w:type="dxa"/>
            <w:tcBorders>
              <w:top w:val="nil"/>
              <w:left w:val="nil"/>
              <w:right w:val="nil"/>
            </w:tcBorders>
            <w:vAlign w:val="center"/>
          </w:tcPr>
          <w:p w14:paraId="7D612642" w14:textId="77777777" w:rsidR="00925007" w:rsidRPr="000A4C84" w:rsidRDefault="00925007" w:rsidP="0029437B">
            <w:pPr>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1276" w:type="dxa"/>
            <w:tcBorders>
              <w:top w:val="nil"/>
              <w:left w:val="nil"/>
              <w:right w:val="nil"/>
            </w:tcBorders>
            <w:vAlign w:val="center"/>
          </w:tcPr>
          <w:p w14:paraId="1305B0AF"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unrestricted</w:t>
            </w:r>
          </w:p>
        </w:tc>
        <w:tc>
          <w:tcPr>
            <w:tcW w:w="1324" w:type="dxa"/>
            <w:gridSpan w:val="2"/>
            <w:tcBorders>
              <w:top w:val="nil"/>
              <w:left w:val="nil"/>
              <w:right w:val="nil"/>
            </w:tcBorders>
            <w:vAlign w:val="center"/>
          </w:tcPr>
          <w:p w14:paraId="5C57E30B" w14:textId="77777777" w:rsidR="00925007" w:rsidRPr="000A4C84" w:rsidRDefault="00925007" w:rsidP="0029437B">
            <w:pPr>
              <w:jc w:val="center"/>
              <w:rPr>
                <w:rFonts w:ascii="Times New Roman" w:hAnsi="Times New Roman" w:cs="Times New Roman"/>
                <w:sz w:val="20"/>
                <w:szCs w:val="20"/>
              </w:rPr>
            </w:pPr>
            <w:r w:rsidRPr="000A4C84">
              <w:rPr>
                <w:rFonts w:ascii="Times New Roman" w:hAnsi="Times New Roman" w:cs="Times New Roman"/>
                <w:sz w:val="20"/>
                <w:szCs w:val="20"/>
              </w:rPr>
              <w:t>unrestricted</w:t>
            </w:r>
          </w:p>
        </w:tc>
      </w:tr>
    </w:tbl>
    <w:p w14:paraId="58B7CC55" w14:textId="7B07A5A5" w:rsidR="00925007" w:rsidRDefault="00964EF5" w:rsidP="00925007">
      <w:pPr>
        <w:spacing w:after="0"/>
        <w:jc w:val="both"/>
        <w:rPr>
          <w:rFonts w:ascii="Times New Roman" w:hAnsi="Times New Roman" w:cs="Times New Roman"/>
          <w:sz w:val="20"/>
          <w:szCs w:val="20"/>
        </w:rPr>
      </w:pPr>
      <w:r w:rsidRPr="00A10754">
        <w:rPr>
          <w:rFonts w:ascii="Times New Roman" w:hAnsi="Times New Roman" w:cs="Times New Roman"/>
          <w:sz w:val="20"/>
          <w:szCs w:val="20"/>
        </w:rPr>
        <w:t>NOTES</w:t>
      </w:r>
      <w:r w:rsidR="00925007" w:rsidRPr="002635BF">
        <w:rPr>
          <w:rFonts w:ascii="Times New Roman" w:hAnsi="Times New Roman" w:cs="Times New Roman"/>
          <w:sz w:val="20"/>
          <w:szCs w:val="20"/>
        </w:rPr>
        <w:t>: Sign restrictions are imposed for one quarter on the impulse responses to contractionary shocks for monetary policy and positive economic uncertainty</w:t>
      </w:r>
      <w:r w:rsidR="00925007">
        <w:rPr>
          <w:rFonts w:ascii="Times New Roman" w:hAnsi="Times New Roman" w:cs="Times New Roman"/>
          <w:sz w:val="20"/>
          <w:szCs w:val="20"/>
        </w:rPr>
        <w:t xml:space="preserve"> shocks.</w:t>
      </w:r>
    </w:p>
    <w:p w14:paraId="565B4431" w14:textId="76060BDE" w:rsidR="00925007" w:rsidRPr="00A47D20" w:rsidRDefault="00925007" w:rsidP="00C63A15">
      <w:pPr>
        <w:autoSpaceDE w:val="0"/>
        <w:autoSpaceDN w:val="0"/>
        <w:adjustRightInd w:val="0"/>
        <w:spacing w:afterLines="35" w:after="84" w:line="360" w:lineRule="auto"/>
        <w:ind w:left="516" w:hangingChars="215" w:hanging="516"/>
        <w:jc w:val="both"/>
        <w:rPr>
          <w:rFonts w:ascii="Times New Roman" w:hAnsi="Times New Roman" w:cs="Times New Roman"/>
          <w:sz w:val="24"/>
          <w:szCs w:val="24"/>
        </w:rPr>
      </w:pPr>
    </w:p>
    <w:p w14:paraId="1B4C0FED" w14:textId="77777777" w:rsidR="00A47D20" w:rsidRPr="00A47D20" w:rsidRDefault="00A47D20" w:rsidP="00432DCA">
      <w:pPr>
        <w:autoSpaceDE w:val="0"/>
        <w:autoSpaceDN w:val="0"/>
        <w:adjustRightInd w:val="0"/>
        <w:spacing w:afterLines="35" w:after="84" w:line="360" w:lineRule="auto"/>
        <w:ind w:left="516" w:hangingChars="215" w:hanging="516"/>
        <w:rPr>
          <w:rFonts w:ascii="Times New Roman" w:hAnsi="Times New Roman" w:cs="Times New Roman"/>
          <w:sz w:val="24"/>
          <w:szCs w:val="24"/>
        </w:rPr>
        <w:sectPr w:rsidR="00A47D20" w:rsidRPr="00A47D20" w:rsidSect="00BA1786">
          <w:footnotePr>
            <w:numRestart w:val="eachSect"/>
          </w:footnotePr>
          <w:pgSz w:w="11907" w:h="16840" w:code="9"/>
          <w:pgMar w:top="1440" w:right="1797" w:bottom="1440" w:left="1797" w:header="720" w:footer="720" w:gutter="0"/>
          <w:cols w:space="720"/>
          <w:docGrid w:linePitch="360"/>
        </w:sectPr>
      </w:pPr>
    </w:p>
    <w:p w14:paraId="500BC865" w14:textId="1D4D8F23" w:rsidR="00F04E95" w:rsidRPr="00855C02" w:rsidRDefault="00961A82" w:rsidP="0089798D">
      <w:pPr>
        <w:autoSpaceDE w:val="0"/>
        <w:autoSpaceDN w:val="0"/>
        <w:adjustRightInd w:val="0"/>
        <w:spacing w:afterLines="50" w:after="180" w:line="240" w:lineRule="auto"/>
        <w:rPr>
          <w:rFonts w:ascii="Times New Roman" w:hAnsi="Times New Roman" w:cs="Times New Roman"/>
          <w:sz w:val="24"/>
          <w:szCs w:val="24"/>
        </w:rPr>
      </w:pPr>
      <w:r w:rsidRPr="00855C02">
        <w:rPr>
          <w:rFonts w:ascii="Times New Roman" w:hAnsi="Times New Roman" w:cs="Times New Roman"/>
          <w:noProof/>
          <w:sz w:val="24"/>
          <w:szCs w:val="24"/>
          <w:lang w:eastAsia="zh-TW"/>
        </w:rPr>
        <w:lastRenderedPageBreak/>
        <mc:AlternateContent>
          <mc:Choice Requires="wps">
            <w:drawing>
              <wp:anchor distT="0" distB="0" distL="114300" distR="114300" simplePos="0" relativeHeight="251636224" behindDoc="0" locked="0" layoutInCell="1" allowOverlap="1" wp14:anchorId="0BDC1EF9" wp14:editId="51CCA71B">
                <wp:simplePos x="0" y="0"/>
                <wp:positionH relativeFrom="column">
                  <wp:posOffset>909955</wp:posOffset>
                </wp:positionH>
                <wp:positionV relativeFrom="paragraph">
                  <wp:posOffset>692150</wp:posOffset>
                </wp:positionV>
                <wp:extent cx="539750" cy="222250"/>
                <wp:effectExtent l="0" t="0" r="1270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2250"/>
                        </a:xfrm>
                        <a:prstGeom prst="rect">
                          <a:avLst/>
                        </a:prstGeom>
                        <a:noFill/>
                        <a:ln w="9525">
                          <a:noFill/>
                          <a:miter lim="800000"/>
                          <a:headEnd/>
                          <a:tailEnd/>
                        </a:ln>
                      </wps:spPr>
                      <wps:txbx>
                        <w:txbxContent>
                          <w:p w14:paraId="6710C865" w14:textId="77777777" w:rsidR="00C82550" w:rsidRPr="00855C02" w:rsidRDefault="00C82550" w:rsidP="00320107">
                            <w:pPr>
                              <w:spacing w:after="0" w:line="240" w:lineRule="auto"/>
                              <w:rPr>
                                <w:rFonts w:ascii="Times New Roman" w:hAnsi="Times New Roman" w:cs="Times New Roman"/>
                                <w:sz w:val="16"/>
                                <w:szCs w:val="16"/>
                              </w:rPr>
                            </w:pPr>
                            <w:r w:rsidRPr="00855C02">
                              <w:rPr>
                                <w:rFonts w:ascii="Times New Roman" w:hAnsi="Times New Roman" w:cs="Times New Roman"/>
                                <w:sz w:val="16"/>
                                <w:szCs w:val="16"/>
                              </w:rPr>
                              <w:t xml:space="preserve">Asian </w:t>
                            </w:r>
                            <w:r>
                              <w:rPr>
                                <w:rFonts w:ascii="Times New Roman" w:hAnsi="Times New Roman" w:cs="Times New Roman"/>
                                <w:sz w:val="16"/>
                                <w:szCs w:val="16"/>
                              </w:rPr>
                              <w:t>C</w:t>
                            </w:r>
                            <w:r w:rsidRPr="00855C02">
                              <w:rPr>
                                <w:rFonts w:ascii="Times New Roman" w:hAnsi="Times New Roman" w:cs="Times New Roman"/>
                                <w:sz w:val="16"/>
                                <w:szCs w:val="16"/>
                              </w:rPr>
                              <w:t>risis</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DC1EF9" id="_x0000_t202" coordsize="21600,21600" o:spt="202" path="m,l,21600r21600,l21600,xe">
                <v:stroke joinstyle="miter"/>
                <v:path gradientshapeok="t" o:connecttype="rect"/>
              </v:shapetype>
              <v:shape id="Text Box 2" o:spid="_x0000_s1026" type="#_x0000_t202" style="position:absolute;margin-left:71.65pt;margin-top:54.5pt;width:42.5pt;height:1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" filled="f" stroked="f">
                <v:textbox inset="0,0,0,0">
                  <w:txbxContent>
                    <w:p w14:paraId="6710C865" w14:textId="77777777" w:rsidR="00C82550" w:rsidRPr="00855C02" w:rsidRDefault="00C82550" w:rsidP="00320107">
                      <w:pPr>
                        <w:spacing w:after="0" w:line="240" w:lineRule="auto"/>
                        <w:rPr>
                          <w:rFonts w:ascii="Times New Roman" w:hAnsi="Times New Roman" w:cs="Times New Roman"/>
                          <w:sz w:val="16"/>
                          <w:szCs w:val="16"/>
                        </w:rPr>
                      </w:pPr>
                      <w:r w:rsidRPr="00855C02">
                        <w:rPr>
                          <w:rFonts w:ascii="Times New Roman" w:hAnsi="Times New Roman" w:cs="Times New Roman"/>
                          <w:sz w:val="16"/>
                          <w:szCs w:val="16"/>
                        </w:rPr>
                        <w:t xml:space="preserve">Asian </w:t>
                      </w:r>
                      <w:r>
                        <w:rPr>
                          <w:rFonts w:ascii="Times New Roman" w:hAnsi="Times New Roman" w:cs="Times New Roman"/>
                          <w:sz w:val="16"/>
                          <w:szCs w:val="16"/>
                        </w:rPr>
                        <w:t>C</w:t>
                      </w:r>
                      <w:r w:rsidRPr="00855C02">
                        <w:rPr>
                          <w:rFonts w:ascii="Times New Roman" w:hAnsi="Times New Roman" w:cs="Times New Roman"/>
                          <w:sz w:val="16"/>
                          <w:szCs w:val="16"/>
                        </w:rPr>
                        <w:t>risis</w:t>
                      </w:r>
                    </w:p>
                  </w:txbxContent>
                </v:textbox>
              </v:shape>
            </w:pict>
          </mc:Fallback>
        </mc:AlternateContent>
      </w:r>
      <w:r w:rsidRPr="00855C02">
        <w:rPr>
          <w:rFonts w:ascii="Times New Roman" w:hAnsi="Times New Roman" w:cs="Times New Roman"/>
          <w:noProof/>
          <w:sz w:val="24"/>
          <w:szCs w:val="24"/>
          <w:lang w:eastAsia="zh-TW"/>
        </w:rPr>
        <mc:AlternateContent>
          <mc:Choice Requires="wps">
            <w:drawing>
              <wp:anchor distT="0" distB="0" distL="114300" distR="114300" simplePos="0" relativeHeight="251690496" behindDoc="0" locked="0" layoutInCell="1" allowOverlap="1" wp14:anchorId="3FC1F36D" wp14:editId="10996334">
                <wp:simplePos x="0" y="0"/>
                <wp:positionH relativeFrom="column">
                  <wp:posOffset>3456305</wp:posOffset>
                </wp:positionH>
                <wp:positionV relativeFrom="paragraph">
                  <wp:posOffset>120650</wp:posOffset>
                </wp:positionV>
                <wp:extent cx="744855" cy="220980"/>
                <wp:effectExtent l="0" t="0" r="0" b="762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220980"/>
                        </a:xfrm>
                        <a:prstGeom prst="rect">
                          <a:avLst/>
                        </a:prstGeom>
                        <a:noFill/>
                        <a:ln w="9525">
                          <a:noFill/>
                          <a:miter lim="800000"/>
                          <a:headEnd/>
                          <a:tailEnd/>
                        </a:ln>
                      </wps:spPr>
                      <wps:txbx>
                        <w:txbxContent>
                          <w:p w14:paraId="510FD736" w14:textId="77777777" w:rsidR="00C82550" w:rsidRPr="00F95C1A" w:rsidRDefault="00C82550" w:rsidP="00961A82">
                            <w:pPr>
                              <w:spacing w:after="0" w:line="240" w:lineRule="auto"/>
                              <w:rPr>
                                <w:rFonts w:ascii="Times New Roman" w:hAnsi="Times New Roman" w:cs="Times New Roman"/>
                                <w:sz w:val="16"/>
                                <w:szCs w:val="16"/>
                              </w:rPr>
                            </w:pPr>
                            <w:r w:rsidRPr="00F95C1A">
                              <w:rPr>
                                <w:rFonts w:ascii="Times New Roman" w:hAnsi="Times New Roman" w:cs="Times New Roman"/>
                                <w:sz w:val="16"/>
                                <w:szCs w:val="16"/>
                              </w:rPr>
                              <w:t>Euro debt crisis</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C1F36D" id="_x0000_s1027" type="#_x0000_t202" style="position:absolute;margin-left:272.15pt;margin-top:9.5pt;width:58.65pt;height:17.4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" filled="f" stroked="f">
                <v:textbox inset="0,0,0,0">
                  <w:txbxContent>
                    <w:p w14:paraId="510FD736" w14:textId="77777777" w:rsidR="00C82550" w:rsidRPr="00F95C1A" w:rsidRDefault="00C82550" w:rsidP="00961A82">
                      <w:pPr>
                        <w:spacing w:after="0" w:line="240" w:lineRule="auto"/>
                        <w:rPr>
                          <w:rFonts w:ascii="Times New Roman" w:hAnsi="Times New Roman" w:cs="Times New Roman"/>
                          <w:sz w:val="16"/>
                          <w:szCs w:val="16"/>
                        </w:rPr>
                      </w:pPr>
                      <w:r w:rsidRPr="00F95C1A">
                        <w:rPr>
                          <w:rFonts w:ascii="Times New Roman" w:hAnsi="Times New Roman" w:cs="Times New Roman"/>
                          <w:sz w:val="16"/>
                          <w:szCs w:val="16"/>
                        </w:rPr>
                        <w:t>Euro debt crisis</w:t>
                      </w:r>
                    </w:p>
                  </w:txbxContent>
                </v:textbox>
              </v:shape>
            </w:pict>
          </mc:Fallback>
        </mc:AlternateContent>
      </w:r>
      <w:r w:rsidRPr="00855C02">
        <w:rPr>
          <w:rFonts w:ascii="Times New Roman" w:hAnsi="Times New Roman" w:cs="Times New Roman"/>
          <w:noProof/>
          <w:sz w:val="24"/>
          <w:szCs w:val="24"/>
          <w:lang w:eastAsia="zh-TW"/>
        </w:rPr>
        <mc:AlternateContent>
          <mc:Choice Requires="wps">
            <w:drawing>
              <wp:anchor distT="0" distB="0" distL="114300" distR="114300" simplePos="0" relativeHeight="251678208" behindDoc="0" locked="0" layoutInCell="1" allowOverlap="1" wp14:anchorId="1A24D9CF" wp14:editId="0C978C7F">
                <wp:simplePos x="0" y="0"/>
                <wp:positionH relativeFrom="column">
                  <wp:posOffset>2821305</wp:posOffset>
                </wp:positionH>
                <wp:positionV relativeFrom="paragraph">
                  <wp:posOffset>571500</wp:posOffset>
                </wp:positionV>
                <wp:extent cx="476250" cy="234950"/>
                <wp:effectExtent l="0" t="0" r="0" b="1270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4950"/>
                        </a:xfrm>
                        <a:prstGeom prst="rect">
                          <a:avLst/>
                        </a:prstGeom>
                        <a:noFill/>
                        <a:ln w="9525">
                          <a:noFill/>
                          <a:miter lim="800000"/>
                          <a:headEnd/>
                          <a:tailEnd/>
                        </a:ln>
                      </wps:spPr>
                      <wps:txbx>
                        <w:txbxContent>
                          <w:p w14:paraId="501A7A1D" w14:textId="77777777" w:rsidR="00C82550" w:rsidRPr="007429A0" w:rsidRDefault="00C82550" w:rsidP="00961A82">
                            <w:pPr>
                              <w:spacing w:after="0" w:line="240" w:lineRule="auto"/>
                              <w:rPr>
                                <w:rFonts w:ascii="Times New Roman" w:hAnsi="Times New Roman" w:cs="Times New Roman"/>
                                <w:sz w:val="16"/>
                                <w:szCs w:val="16"/>
                              </w:rPr>
                            </w:pPr>
                            <w:r>
                              <w:rPr>
                                <w:rFonts w:ascii="Times New Roman" w:hAnsi="Times New Roman" w:cs="Times New Roman"/>
                                <w:sz w:val="16"/>
                                <w:szCs w:val="16"/>
                              </w:rPr>
                              <w:t>Lehman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A24D9CF" id="_x0000_s1028" type="#_x0000_t202" style="position:absolute;margin-left:222.15pt;margin-top:45pt;width:37.5pt;height:18.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" filled="f" stroked="f">
                <v:textbox inset="0,0,0,0">
                  <w:txbxContent>
                    <w:p w14:paraId="501A7A1D" w14:textId="77777777" w:rsidR="00C82550" w:rsidRPr="007429A0" w:rsidRDefault="00C82550" w:rsidP="00961A82">
                      <w:pPr>
                        <w:spacing w:after="0" w:line="240" w:lineRule="auto"/>
                        <w:rPr>
                          <w:rFonts w:ascii="Times New Roman" w:hAnsi="Times New Roman" w:cs="Times New Roman"/>
                          <w:sz w:val="16"/>
                          <w:szCs w:val="16"/>
                        </w:rPr>
                      </w:pPr>
                      <w:r>
                        <w:rPr>
                          <w:rFonts w:ascii="Times New Roman" w:hAnsi="Times New Roman" w:cs="Times New Roman"/>
                          <w:sz w:val="16"/>
                          <w:szCs w:val="16"/>
                        </w:rPr>
                        <w:t>Lehman</w:t>
                      </w:r>
                    </w:p>
                  </w:txbxContent>
                </v:textbox>
              </v:shape>
            </w:pict>
          </mc:Fallback>
        </mc:AlternateContent>
      </w:r>
      <w:r w:rsidRPr="00855C02">
        <w:rPr>
          <w:rFonts w:ascii="Times New Roman" w:hAnsi="Times New Roman" w:cs="Times New Roman"/>
          <w:noProof/>
          <w:sz w:val="24"/>
          <w:szCs w:val="24"/>
          <w:lang w:eastAsia="zh-TW"/>
        </w:rPr>
        <mc:AlternateContent>
          <mc:Choice Requires="wps">
            <w:drawing>
              <wp:anchor distT="0" distB="0" distL="114300" distR="114300" simplePos="0" relativeHeight="251699712" behindDoc="0" locked="0" layoutInCell="1" allowOverlap="1" wp14:anchorId="1BCA52E1" wp14:editId="49892D9C">
                <wp:simplePos x="0" y="0"/>
                <wp:positionH relativeFrom="column">
                  <wp:posOffset>3970655</wp:posOffset>
                </wp:positionH>
                <wp:positionV relativeFrom="paragraph">
                  <wp:posOffset>412750</wp:posOffset>
                </wp:positionV>
                <wp:extent cx="685800" cy="28575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noFill/>
                        <a:ln w="9525">
                          <a:noFill/>
                          <a:miter lim="800000"/>
                          <a:headEnd/>
                          <a:tailEnd/>
                        </a:ln>
                      </wps:spPr>
                      <wps:txbx>
                        <w:txbxContent>
                          <w:p w14:paraId="3EF2FA76" w14:textId="77777777" w:rsidR="00C82550" w:rsidRPr="007429A0" w:rsidRDefault="00C82550" w:rsidP="000F0F91">
                            <w:pPr>
                              <w:spacing w:line="200" w:lineRule="exact"/>
                              <w:rPr>
                                <w:rFonts w:ascii="Times New Roman" w:hAnsi="Times New Roman" w:cs="Times New Roman"/>
                                <w:sz w:val="16"/>
                                <w:szCs w:val="16"/>
                              </w:rPr>
                            </w:pPr>
                            <w:r>
                              <w:rPr>
                                <w:rFonts w:ascii="Times New Roman" w:hAnsi="Times New Roman" w:cs="Times New Roman"/>
                                <w:sz w:val="16"/>
                                <w:szCs w:val="16"/>
                              </w:rPr>
                              <w:t>US debt-ceiling crisis</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A52E1" id="_x0000_s1029" type="#_x0000_t202" style="position:absolute;margin-left:312.65pt;margin-top:32.5pt;width:54pt;height:22.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" filled="f" stroked="f">
                <v:textbox inset="0,0,0,0">
                  <w:txbxContent>
                    <w:p w14:paraId="3EF2FA76" w14:textId="77777777" w:rsidR="00C82550" w:rsidRPr="007429A0" w:rsidRDefault="00C82550" w:rsidP="000F0F91">
                      <w:pPr>
                        <w:spacing w:line="200" w:lineRule="exact"/>
                        <w:rPr>
                          <w:rFonts w:ascii="Times New Roman" w:hAnsi="Times New Roman" w:cs="Times New Roman"/>
                          <w:sz w:val="16"/>
                          <w:szCs w:val="16"/>
                        </w:rPr>
                      </w:pPr>
                      <w:r>
                        <w:rPr>
                          <w:rFonts w:ascii="Times New Roman" w:hAnsi="Times New Roman" w:cs="Times New Roman"/>
                          <w:sz w:val="16"/>
                          <w:szCs w:val="16"/>
                        </w:rPr>
                        <w:t>US debt-ceiling crisis</w:t>
                      </w:r>
                    </w:p>
                  </w:txbxContent>
                </v:textbox>
              </v:shape>
            </w:pict>
          </mc:Fallback>
        </mc:AlternateContent>
      </w:r>
      <w:r w:rsidRPr="00855C02">
        <w:rPr>
          <w:rFonts w:ascii="Times New Roman" w:hAnsi="Times New Roman" w:cs="Times New Roman"/>
          <w:noProof/>
          <w:sz w:val="24"/>
          <w:szCs w:val="24"/>
          <w:lang w:eastAsia="zh-TW"/>
        </w:rPr>
        <mc:AlternateContent>
          <mc:Choice Requires="wps">
            <w:drawing>
              <wp:anchor distT="0" distB="0" distL="114300" distR="114300" simplePos="0" relativeHeight="251664896" behindDoc="0" locked="0" layoutInCell="1" allowOverlap="1" wp14:anchorId="18A74118" wp14:editId="3A40AA80">
                <wp:simplePos x="0" y="0"/>
                <wp:positionH relativeFrom="column">
                  <wp:posOffset>2256155</wp:posOffset>
                </wp:positionH>
                <wp:positionV relativeFrom="paragraph">
                  <wp:posOffset>146050</wp:posOffset>
                </wp:positionV>
                <wp:extent cx="829310" cy="254000"/>
                <wp:effectExtent l="0" t="0" r="8890" b="1270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310" cy="254000"/>
                        </a:xfrm>
                        <a:prstGeom prst="rect">
                          <a:avLst/>
                        </a:prstGeom>
                        <a:noFill/>
                        <a:ln w="9525">
                          <a:noFill/>
                          <a:miter lim="800000"/>
                          <a:headEnd/>
                          <a:tailEnd/>
                        </a:ln>
                      </wps:spPr>
                      <wps:txbx>
                        <w:txbxContent>
                          <w:p w14:paraId="72C7DDE2" w14:textId="77777777" w:rsidR="00C82550" w:rsidRPr="002A371D" w:rsidRDefault="00C82550" w:rsidP="00961A82">
                            <w:pPr>
                              <w:spacing w:after="0" w:line="240" w:lineRule="auto"/>
                              <w:rPr>
                                <w:rFonts w:ascii="Times New Roman" w:hAnsi="Times New Roman" w:cs="Times New Roman"/>
                                <w:sz w:val="16"/>
                                <w:szCs w:val="16"/>
                              </w:rPr>
                            </w:pPr>
                            <w:r w:rsidRPr="002A371D">
                              <w:rPr>
                                <w:rFonts w:ascii="Times New Roman" w:hAnsi="Times New Roman" w:cs="Times New Roman"/>
                                <w:sz w:val="16"/>
                                <w:szCs w:val="16"/>
                              </w:rPr>
                              <w:t>Corporate scandal</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A74118" id="_x0000_s1030" type="#_x0000_t202" style="position:absolute;margin-left:177.65pt;margin-top:11.5pt;width:65.3pt;height:20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" filled="f" stroked="f">
                <v:textbox inset="0,0,0,0">
                  <w:txbxContent>
                    <w:p w14:paraId="72C7DDE2" w14:textId="77777777" w:rsidR="00C82550" w:rsidRPr="002A371D" w:rsidRDefault="00C82550" w:rsidP="00961A82">
                      <w:pPr>
                        <w:spacing w:after="0" w:line="240" w:lineRule="auto"/>
                        <w:rPr>
                          <w:rFonts w:ascii="Times New Roman" w:hAnsi="Times New Roman" w:cs="Times New Roman"/>
                          <w:sz w:val="16"/>
                          <w:szCs w:val="16"/>
                        </w:rPr>
                      </w:pPr>
                      <w:r w:rsidRPr="002A371D">
                        <w:rPr>
                          <w:rFonts w:ascii="Times New Roman" w:hAnsi="Times New Roman" w:cs="Times New Roman"/>
                          <w:sz w:val="16"/>
                          <w:szCs w:val="16"/>
                        </w:rPr>
                        <w:t>Corporate scandal</w:t>
                      </w:r>
                    </w:p>
                  </w:txbxContent>
                </v:textbox>
              </v:shape>
            </w:pict>
          </mc:Fallback>
        </mc:AlternateContent>
      </w:r>
      <w:r w:rsidR="00320107" w:rsidRPr="00855C02">
        <w:rPr>
          <w:rFonts w:ascii="Times New Roman" w:hAnsi="Times New Roman" w:cs="Times New Roman"/>
          <w:noProof/>
          <w:sz w:val="24"/>
          <w:szCs w:val="24"/>
          <w:lang w:eastAsia="zh-TW"/>
        </w:rPr>
        <mc:AlternateContent>
          <mc:Choice Requires="wps">
            <w:drawing>
              <wp:anchor distT="0" distB="0" distL="114300" distR="114300" simplePos="0" relativeHeight="251654656" behindDoc="0" locked="0" layoutInCell="1" allowOverlap="1" wp14:anchorId="303AF8FA" wp14:editId="585AFAAB">
                <wp:simplePos x="0" y="0"/>
                <wp:positionH relativeFrom="column">
                  <wp:posOffset>2014855</wp:posOffset>
                </wp:positionH>
                <wp:positionV relativeFrom="paragraph">
                  <wp:posOffset>488950</wp:posOffset>
                </wp:positionV>
                <wp:extent cx="336550" cy="203200"/>
                <wp:effectExtent l="0" t="0" r="635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203200"/>
                        </a:xfrm>
                        <a:prstGeom prst="rect">
                          <a:avLst/>
                        </a:prstGeom>
                        <a:noFill/>
                        <a:ln w="9525">
                          <a:noFill/>
                          <a:miter lim="800000"/>
                          <a:headEnd/>
                          <a:tailEnd/>
                        </a:ln>
                      </wps:spPr>
                      <wps:txbx>
                        <w:txbxContent>
                          <w:p w14:paraId="286B2ED3" w14:textId="77777777" w:rsidR="00C82550" w:rsidRPr="00855C02" w:rsidRDefault="00C82550" w:rsidP="000F0F91">
                            <w:pPr>
                              <w:spacing w:line="240" w:lineRule="exact"/>
                              <w:rPr>
                                <w:rFonts w:ascii="Times New Roman" w:hAnsi="Times New Roman" w:cs="Times New Roman"/>
                                <w:sz w:val="20"/>
                                <w:szCs w:val="20"/>
                              </w:rPr>
                            </w:pPr>
                            <w:r>
                              <w:rPr>
                                <w:rFonts w:ascii="Times New Roman" w:hAnsi="Times New Roman" w:cs="Times New Roman"/>
                                <w:sz w:val="16"/>
                                <w:szCs w:val="16"/>
                              </w:rPr>
                              <w:t>09/11</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03AF8FA" id="_x0000_s1031" type="#_x0000_t202" style="position:absolute;margin-left:158.65pt;margin-top:38.5pt;width:26.5pt;height: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" filled="f" stroked="f">
                <v:textbox inset="0,0,0,0">
                  <w:txbxContent>
                    <w:p w14:paraId="286B2ED3" w14:textId="77777777" w:rsidR="00C82550" w:rsidRPr="00855C02" w:rsidRDefault="00C82550" w:rsidP="000F0F91">
                      <w:pPr>
                        <w:spacing w:line="240" w:lineRule="exact"/>
                        <w:rPr>
                          <w:rFonts w:ascii="Times New Roman" w:hAnsi="Times New Roman" w:cs="Times New Roman"/>
                          <w:sz w:val="20"/>
                          <w:szCs w:val="20"/>
                        </w:rPr>
                      </w:pPr>
                      <w:r>
                        <w:rPr>
                          <w:rFonts w:ascii="Times New Roman" w:hAnsi="Times New Roman" w:cs="Times New Roman"/>
                          <w:sz w:val="16"/>
                          <w:szCs w:val="16"/>
                        </w:rPr>
                        <w:t>09/11</w:t>
                      </w:r>
                    </w:p>
                  </w:txbxContent>
                </v:textbox>
              </v:shape>
            </w:pict>
          </mc:Fallback>
        </mc:AlternateContent>
      </w:r>
      <w:r w:rsidR="00320107" w:rsidRPr="00855C02">
        <w:rPr>
          <w:rFonts w:ascii="Times New Roman" w:hAnsi="Times New Roman" w:cs="Times New Roman"/>
          <w:noProof/>
          <w:sz w:val="24"/>
          <w:szCs w:val="24"/>
          <w:lang w:eastAsia="zh-TW"/>
        </w:rPr>
        <mc:AlternateContent>
          <mc:Choice Requires="wps">
            <w:drawing>
              <wp:anchor distT="0" distB="0" distL="114300" distR="114300" simplePos="0" relativeHeight="251646464" behindDoc="0" locked="0" layoutInCell="1" allowOverlap="1" wp14:anchorId="6064D316" wp14:editId="37C8BE69">
                <wp:simplePos x="0" y="0"/>
                <wp:positionH relativeFrom="column">
                  <wp:posOffset>1398905</wp:posOffset>
                </wp:positionH>
                <wp:positionV relativeFrom="paragraph">
                  <wp:posOffset>127000</wp:posOffset>
                </wp:positionV>
                <wp:extent cx="615950" cy="254000"/>
                <wp:effectExtent l="0" t="0" r="1270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 cy="254000"/>
                        </a:xfrm>
                        <a:prstGeom prst="rect">
                          <a:avLst/>
                        </a:prstGeom>
                        <a:noFill/>
                        <a:ln w="9525">
                          <a:noFill/>
                          <a:miter lim="800000"/>
                          <a:headEnd/>
                          <a:tailEnd/>
                        </a:ln>
                      </wps:spPr>
                      <wps:txbx>
                        <w:txbxContent>
                          <w:p w14:paraId="12E4A164" w14:textId="77777777" w:rsidR="00C82550" w:rsidRPr="00855C02" w:rsidRDefault="00C82550" w:rsidP="00320107">
                            <w:pPr>
                              <w:spacing w:after="0" w:line="240" w:lineRule="auto"/>
                              <w:rPr>
                                <w:rFonts w:ascii="Times New Roman" w:hAnsi="Times New Roman" w:cs="Times New Roman"/>
                                <w:sz w:val="20"/>
                                <w:szCs w:val="20"/>
                              </w:rPr>
                            </w:pPr>
                            <w:r w:rsidRPr="007429A0">
                              <w:rPr>
                                <w:rFonts w:ascii="Times New Roman" w:hAnsi="Times New Roman" w:cs="Times New Roman"/>
                                <w:sz w:val="16"/>
                                <w:szCs w:val="16"/>
                              </w:rPr>
                              <w:t>LTCM crisis</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064D316" id="_x0000_s1032" type="#_x0000_t202" style="position:absolute;margin-left:110.15pt;margin-top:10pt;width:48.5pt;height:20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" filled="f" stroked="f">
                <v:textbox inset="0,0,0,0">
                  <w:txbxContent>
                    <w:p w14:paraId="12E4A164" w14:textId="77777777" w:rsidR="00C82550" w:rsidRPr="00855C02" w:rsidRDefault="00C82550" w:rsidP="00320107">
                      <w:pPr>
                        <w:spacing w:after="0" w:line="240" w:lineRule="auto"/>
                        <w:rPr>
                          <w:rFonts w:ascii="Times New Roman" w:hAnsi="Times New Roman" w:cs="Times New Roman"/>
                          <w:sz w:val="20"/>
                          <w:szCs w:val="20"/>
                        </w:rPr>
                      </w:pPr>
                      <w:r w:rsidRPr="007429A0">
                        <w:rPr>
                          <w:rFonts w:ascii="Times New Roman" w:hAnsi="Times New Roman" w:cs="Times New Roman"/>
                          <w:sz w:val="16"/>
                          <w:szCs w:val="16"/>
                        </w:rPr>
                        <w:t>LTCM crisis</w:t>
                      </w:r>
                    </w:p>
                  </w:txbxContent>
                </v:textbox>
              </v:shape>
            </w:pict>
          </mc:Fallback>
        </mc:AlternateContent>
      </w:r>
      <w:r w:rsidR="00320107" w:rsidRPr="00855C02">
        <w:rPr>
          <w:rFonts w:ascii="Times New Roman" w:hAnsi="Times New Roman" w:cs="Times New Roman"/>
          <w:noProof/>
          <w:sz w:val="24"/>
          <w:szCs w:val="24"/>
          <w:lang w:eastAsia="zh-TW"/>
        </w:rPr>
        <mc:AlternateContent>
          <mc:Choice Requires="wps">
            <w:drawing>
              <wp:anchor distT="0" distB="0" distL="114300" distR="114300" simplePos="0" relativeHeight="251622912" behindDoc="0" locked="0" layoutInCell="1" allowOverlap="1" wp14:anchorId="2635887D" wp14:editId="5AAA3309">
                <wp:simplePos x="0" y="0"/>
                <wp:positionH relativeFrom="column">
                  <wp:posOffset>782955</wp:posOffset>
                </wp:positionH>
                <wp:positionV relativeFrom="paragraph">
                  <wp:posOffset>184150</wp:posOffset>
                </wp:positionV>
                <wp:extent cx="488950" cy="246380"/>
                <wp:effectExtent l="0" t="0" r="6350" b="12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 cy="246380"/>
                        </a:xfrm>
                        <a:prstGeom prst="rect">
                          <a:avLst/>
                        </a:prstGeom>
                        <a:noFill/>
                        <a:ln w="9525">
                          <a:noFill/>
                          <a:miter lim="800000"/>
                          <a:headEnd/>
                          <a:tailEnd/>
                        </a:ln>
                      </wps:spPr>
                      <wps:txbx>
                        <w:txbxContent>
                          <w:p w14:paraId="5048C45C" w14:textId="77777777" w:rsidR="00C82550" w:rsidRPr="007429A0" w:rsidRDefault="00C82550" w:rsidP="00320107">
                            <w:pPr>
                              <w:spacing w:after="0" w:line="240" w:lineRule="auto"/>
                              <w:rPr>
                                <w:rFonts w:ascii="Times New Roman" w:hAnsi="Times New Roman" w:cs="Times New Roman"/>
                                <w:sz w:val="16"/>
                                <w:szCs w:val="16"/>
                              </w:rPr>
                            </w:pPr>
                            <w:r w:rsidRPr="007429A0">
                              <w:rPr>
                                <w:rFonts w:ascii="Times New Roman" w:hAnsi="Times New Roman" w:cs="Times New Roman"/>
                                <w:sz w:val="16"/>
                                <w:szCs w:val="16"/>
                              </w:rPr>
                              <w:t>Gulf War</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635887D" id="_x0000_s1033" type="#_x0000_t202" style="position:absolute;margin-left:61.65pt;margin-top:14.5pt;width:38.5pt;height:19.4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" filled="f" stroked="f">
                <v:textbox inset="0,0,0,0">
                  <w:txbxContent>
                    <w:p w14:paraId="5048C45C" w14:textId="77777777" w:rsidR="00C82550" w:rsidRPr="007429A0" w:rsidRDefault="00C82550" w:rsidP="00320107">
                      <w:pPr>
                        <w:spacing w:after="0" w:line="240" w:lineRule="auto"/>
                        <w:rPr>
                          <w:rFonts w:ascii="Times New Roman" w:hAnsi="Times New Roman" w:cs="Times New Roman"/>
                          <w:sz w:val="16"/>
                          <w:szCs w:val="16"/>
                        </w:rPr>
                      </w:pPr>
                      <w:r w:rsidRPr="007429A0">
                        <w:rPr>
                          <w:rFonts w:ascii="Times New Roman" w:hAnsi="Times New Roman" w:cs="Times New Roman"/>
                          <w:sz w:val="16"/>
                          <w:szCs w:val="16"/>
                        </w:rPr>
                        <w:t>Gulf War</w:t>
                      </w:r>
                    </w:p>
                  </w:txbxContent>
                </v:textbox>
              </v:shape>
            </w:pict>
          </mc:Fallback>
        </mc:AlternateContent>
      </w:r>
      <w:r w:rsidR="00F04E95">
        <w:rPr>
          <w:noProof/>
          <w:lang w:eastAsia="zh-TW"/>
        </w:rPr>
        <w:drawing>
          <wp:inline distT="0" distB="0" distL="0" distR="0" wp14:anchorId="14B7659C" wp14:editId="4373A313">
            <wp:extent cx="5302250" cy="2730500"/>
            <wp:effectExtent l="0" t="0" r="12700" b="1270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F13A79A" w14:textId="4DEC833B" w:rsidR="0099270C" w:rsidRPr="007477B4" w:rsidRDefault="0099270C" w:rsidP="0089798D">
      <w:pPr>
        <w:autoSpaceDE w:val="0"/>
        <w:autoSpaceDN w:val="0"/>
        <w:adjustRightInd w:val="0"/>
        <w:spacing w:afterLines="50" w:after="180" w:line="240" w:lineRule="auto"/>
        <w:jc w:val="center"/>
        <w:rPr>
          <w:rFonts w:ascii="Times New Roman" w:hAnsi="Times New Roman" w:cs="Times New Roman"/>
          <w:sz w:val="20"/>
          <w:szCs w:val="20"/>
        </w:rPr>
      </w:pPr>
      <w:r w:rsidRPr="007477B4">
        <w:rPr>
          <w:rFonts w:ascii="Times New Roman" w:hAnsi="Times New Roman" w:cs="Times New Roman"/>
          <w:sz w:val="20"/>
          <w:szCs w:val="20"/>
        </w:rPr>
        <w:t>F</w:t>
      </w:r>
      <w:r w:rsidR="00184F5C" w:rsidRPr="007477B4">
        <w:rPr>
          <w:rFonts w:ascii="Times New Roman" w:hAnsi="Times New Roman" w:cs="Times New Roman"/>
          <w:sz w:val="20"/>
          <w:szCs w:val="20"/>
        </w:rPr>
        <w:t>IG</w:t>
      </w:r>
      <w:r w:rsidRPr="007477B4">
        <w:rPr>
          <w:rFonts w:ascii="Times New Roman" w:hAnsi="Times New Roman" w:cs="Times New Roman"/>
          <w:sz w:val="20"/>
          <w:szCs w:val="20"/>
        </w:rPr>
        <w:t xml:space="preserve">. 1. </w:t>
      </w:r>
      <w:r w:rsidR="00B43FA5" w:rsidRPr="007477B4">
        <w:rPr>
          <w:rFonts w:ascii="Times New Roman" w:hAnsi="Times New Roman" w:cs="Times New Roman"/>
          <w:sz w:val="20"/>
          <w:szCs w:val="20"/>
        </w:rPr>
        <w:t xml:space="preserve">Time </w:t>
      </w:r>
      <w:r w:rsidR="004C15AE">
        <w:rPr>
          <w:rFonts w:ascii="Times New Roman" w:hAnsi="Times New Roman" w:cs="Times New Roman"/>
          <w:sz w:val="20"/>
          <w:szCs w:val="20"/>
        </w:rPr>
        <w:t>S</w:t>
      </w:r>
      <w:r w:rsidR="00B43FA5" w:rsidRPr="007477B4">
        <w:rPr>
          <w:rFonts w:ascii="Times New Roman" w:hAnsi="Times New Roman" w:cs="Times New Roman"/>
          <w:sz w:val="20"/>
          <w:szCs w:val="20"/>
        </w:rPr>
        <w:t xml:space="preserve">eries </w:t>
      </w:r>
      <w:r w:rsidR="004C15AE">
        <w:rPr>
          <w:rFonts w:ascii="Times New Roman" w:hAnsi="Times New Roman" w:cs="Times New Roman"/>
          <w:sz w:val="20"/>
          <w:szCs w:val="20"/>
        </w:rPr>
        <w:t>P</w:t>
      </w:r>
      <w:r w:rsidR="00B43FA5" w:rsidRPr="007477B4">
        <w:rPr>
          <w:rFonts w:ascii="Times New Roman" w:hAnsi="Times New Roman" w:cs="Times New Roman"/>
          <w:sz w:val="20"/>
          <w:szCs w:val="20"/>
        </w:rPr>
        <w:t xml:space="preserve">lot of </w:t>
      </w:r>
      <w:r w:rsidR="004C15AE">
        <w:rPr>
          <w:rFonts w:ascii="Times New Roman" w:hAnsi="Times New Roman" w:cs="Times New Roman"/>
          <w:sz w:val="20"/>
          <w:szCs w:val="20"/>
        </w:rPr>
        <w:t>L</w:t>
      </w:r>
      <w:r w:rsidR="0042312E" w:rsidRPr="007477B4">
        <w:rPr>
          <w:rFonts w:ascii="Times New Roman" w:eastAsiaTheme="minorEastAsia" w:hAnsi="Times New Roman" w:cs="Times New Roman"/>
          <w:color w:val="231F20"/>
          <w:sz w:val="20"/>
          <w:szCs w:val="20"/>
        </w:rPr>
        <w:t>ogarithmic VRP</w:t>
      </w:r>
      <w:r w:rsidRPr="007477B4">
        <w:rPr>
          <w:rFonts w:ascii="Times New Roman" w:hAnsi="Times New Roman" w:cs="Times New Roman"/>
          <w:sz w:val="20"/>
          <w:szCs w:val="20"/>
        </w:rPr>
        <w:t>.</w:t>
      </w:r>
    </w:p>
    <w:p w14:paraId="6011A1C6" w14:textId="37146753" w:rsidR="007E69B5" w:rsidRPr="007477B4" w:rsidRDefault="00184F5C" w:rsidP="0099270C">
      <w:pPr>
        <w:autoSpaceDE w:val="0"/>
        <w:autoSpaceDN w:val="0"/>
        <w:adjustRightInd w:val="0"/>
        <w:spacing w:after="0" w:line="240" w:lineRule="auto"/>
        <w:jc w:val="both"/>
        <w:rPr>
          <w:rFonts w:ascii="Times New Roman" w:eastAsiaTheme="minorEastAsia" w:hAnsi="Times New Roman" w:cs="Times New Roman"/>
          <w:color w:val="231F20"/>
          <w:sz w:val="20"/>
          <w:szCs w:val="20"/>
        </w:rPr>
      </w:pPr>
      <w:r w:rsidRPr="007477B4">
        <w:rPr>
          <w:rFonts w:ascii="Times New Roman" w:hAnsi="Times New Roman" w:cs="Times New Roman"/>
          <w:sz w:val="20"/>
          <w:szCs w:val="20"/>
        </w:rPr>
        <w:t xml:space="preserve">NOTES: </w:t>
      </w:r>
      <w:r w:rsidR="0099270C" w:rsidRPr="007477B4">
        <w:rPr>
          <w:rFonts w:ascii="Times New Roman" w:hAnsi="Times New Roman" w:cs="Times New Roman"/>
          <w:sz w:val="20"/>
          <w:szCs w:val="20"/>
        </w:rPr>
        <w:t>The plot</w:t>
      </w:r>
      <w:r w:rsidR="00855C02" w:rsidRPr="007477B4">
        <w:rPr>
          <w:rFonts w:ascii="Times New Roman" w:hAnsi="Times New Roman" w:cs="Times New Roman"/>
          <w:sz w:val="20"/>
          <w:szCs w:val="20"/>
        </w:rPr>
        <w:t xml:space="preserve"> shows </w:t>
      </w:r>
      <w:r w:rsidR="00E15FBB" w:rsidRPr="007477B4">
        <w:rPr>
          <w:rFonts w:ascii="Times New Roman" w:hAnsi="Times New Roman" w:cs="Times New Roman"/>
          <w:sz w:val="20"/>
          <w:szCs w:val="20"/>
        </w:rPr>
        <w:t>the time series of</w:t>
      </w:r>
      <w:r w:rsidR="00E15FBB" w:rsidRPr="007477B4">
        <w:rPr>
          <w:rFonts w:ascii="Times New Roman" w:eastAsiaTheme="minorEastAsia" w:hAnsi="Times New Roman" w:cs="Times New Roman"/>
          <w:color w:val="231F20"/>
          <w:sz w:val="20"/>
          <w:szCs w:val="20"/>
        </w:rPr>
        <w:t xml:space="preserve"> </w:t>
      </w:r>
      <w:r w:rsidR="0099270C" w:rsidRPr="007477B4">
        <w:rPr>
          <w:rFonts w:ascii="Times New Roman" w:eastAsiaTheme="minorEastAsia" w:hAnsi="Times New Roman" w:cs="Times New Roman"/>
          <w:color w:val="231F20"/>
          <w:sz w:val="20"/>
          <w:szCs w:val="20"/>
        </w:rPr>
        <w:t>logarithmic VRP</w:t>
      </w:r>
      <w:r w:rsidR="00855C02" w:rsidRPr="007477B4">
        <w:rPr>
          <w:rFonts w:ascii="Times New Roman" w:eastAsiaTheme="minorEastAsia" w:hAnsi="Times New Roman" w:cs="Times New Roman"/>
          <w:color w:val="231F20"/>
          <w:sz w:val="20"/>
          <w:szCs w:val="20"/>
        </w:rPr>
        <w:t xml:space="preserve"> </w:t>
      </w:r>
      <w:r w:rsidR="0099270C" w:rsidRPr="007477B4">
        <w:rPr>
          <w:rFonts w:ascii="Times New Roman" w:eastAsiaTheme="minorEastAsia" w:hAnsi="Times New Roman" w:cs="Times New Roman"/>
          <w:color w:val="231F20"/>
          <w:sz w:val="20"/>
          <w:szCs w:val="20"/>
        </w:rPr>
        <w:t>(</w:t>
      </w:r>
      <w:r w:rsidR="00855C02" w:rsidRPr="007477B4">
        <w:rPr>
          <w:rFonts w:ascii="Times New Roman" w:eastAsiaTheme="minorEastAsia" w:hAnsi="Times New Roman" w:cs="Times New Roman"/>
          <w:i/>
          <w:color w:val="231F20"/>
          <w:sz w:val="20"/>
          <w:szCs w:val="20"/>
        </w:rPr>
        <w:t>logVRP</w:t>
      </w:r>
      <w:r w:rsidR="0099270C" w:rsidRPr="007477B4">
        <w:rPr>
          <w:rFonts w:ascii="Times New Roman" w:eastAsiaTheme="minorEastAsia" w:hAnsi="Times New Roman" w:cs="Times New Roman"/>
          <w:color w:val="231F20"/>
          <w:sz w:val="20"/>
          <w:szCs w:val="20"/>
        </w:rPr>
        <w:t>)</w:t>
      </w:r>
      <w:r w:rsidR="00855C02" w:rsidRPr="007477B4">
        <w:rPr>
          <w:rFonts w:ascii="Times New Roman" w:eastAsiaTheme="minorEastAsia" w:hAnsi="Times New Roman" w:cs="Times New Roman"/>
          <w:color w:val="231F20"/>
          <w:sz w:val="20"/>
          <w:szCs w:val="20"/>
        </w:rPr>
        <w:t>.</w:t>
      </w:r>
      <w:r w:rsidR="00E15FBB">
        <w:rPr>
          <w:rFonts w:ascii="Times New Roman" w:eastAsiaTheme="minorEastAsia" w:hAnsi="Times New Roman" w:cs="Times New Roman"/>
          <w:color w:val="231F20"/>
          <w:sz w:val="20"/>
          <w:szCs w:val="20"/>
        </w:rPr>
        <w:t xml:space="preserve"> </w:t>
      </w:r>
      <w:r w:rsidR="00C36892" w:rsidRPr="007477B4">
        <w:rPr>
          <w:rFonts w:ascii="Times New Roman" w:eastAsiaTheme="minorEastAsia" w:hAnsi="Times New Roman" w:cs="Times New Roman"/>
          <w:color w:val="231F20"/>
          <w:sz w:val="20"/>
          <w:szCs w:val="20"/>
        </w:rPr>
        <w:t>Shaded areas</w:t>
      </w:r>
      <w:r w:rsidR="00705F0C" w:rsidRPr="007477B4">
        <w:rPr>
          <w:rFonts w:ascii="Times New Roman" w:eastAsiaTheme="minorEastAsia" w:hAnsi="Times New Roman" w:cs="Times New Roman"/>
          <w:color w:val="231F20"/>
          <w:sz w:val="20"/>
          <w:szCs w:val="20"/>
        </w:rPr>
        <w:t xml:space="preserve"> indicate NBER recession dates: 1990:3-1991:1, 2001:1-2001: 4 and 2007:4-2009:2.</w:t>
      </w:r>
    </w:p>
    <w:p w14:paraId="1F781940" w14:textId="26F00333" w:rsidR="00822169" w:rsidRDefault="00822169" w:rsidP="001C2072">
      <w:pPr>
        <w:autoSpaceDE w:val="0"/>
        <w:autoSpaceDN w:val="0"/>
        <w:adjustRightInd w:val="0"/>
        <w:spacing w:after="0" w:line="240" w:lineRule="auto"/>
        <w:rPr>
          <w:rFonts w:ascii="Times New Roman" w:eastAsiaTheme="minorEastAsia" w:hAnsi="Times New Roman" w:cs="Times New Roman"/>
          <w:color w:val="231F20"/>
          <w:sz w:val="20"/>
          <w:szCs w:val="20"/>
        </w:rPr>
      </w:pPr>
    </w:p>
    <w:p w14:paraId="60B780E9" w14:textId="609898FB" w:rsidR="00791A5D" w:rsidRDefault="00791A5D" w:rsidP="001C2072">
      <w:pPr>
        <w:autoSpaceDE w:val="0"/>
        <w:autoSpaceDN w:val="0"/>
        <w:adjustRightInd w:val="0"/>
        <w:spacing w:after="0" w:line="240" w:lineRule="auto"/>
        <w:rPr>
          <w:rFonts w:ascii="Times New Roman" w:eastAsiaTheme="minorEastAsia" w:hAnsi="Times New Roman" w:cs="Times New Roman"/>
          <w:color w:val="231F20"/>
          <w:sz w:val="20"/>
          <w:szCs w:val="20"/>
        </w:rPr>
      </w:pPr>
    </w:p>
    <w:p w14:paraId="5931C4D3" w14:textId="77777777" w:rsidR="00E15FBB" w:rsidRDefault="00E15FBB" w:rsidP="001C2072">
      <w:pPr>
        <w:autoSpaceDE w:val="0"/>
        <w:autoSpaceDN w:val="0"/>
        <w:adjustRightInd w:val="0"/>
        <w:spacing w:after="0" w:line="240" w:lineRule="auto"/>
        <w:rPr>
          <w:rFonts w:ascii="Times New Roman" w:eastAsiaTheme="minorEastAsia" w:hAnsi="Times New Roman" w:cs="Times New Roman"/>
          <w:color w:val="231F20"/>
          <w:sz w:val="20"/>
          <w:szCs w:val="20"/>
        </w:rPr>
      </w:pPr>
    </w:p>
    <w:p w14:paraId="5D6D6A70" w14:textId="77777777" w:rsidR="00822169" w:rsidRDefault="00822169" w:rsidP="0089798D">
      <w:pPr>
        <w:spacing w:afterLines="50" w:after="180" w:line="240" w:lineRule="auto"/>
        <w:rPr>
          <w:rFonts w:ascii="Times New Roman" w:hAnsi="Times New Roman" w:cs="Times New Roman"/>
        </w:rPr>
      </w:pPr>
      <w:r>
        <w:rPr>
          <w:noProof/>
          <w:lang w:eastAsia="zh-TW"/>
        </w:rPr>
        <w:drawing>
          <wp:inline distT="0" distB="0" distL="0" distR="0" wp14:anchorId="266BA28B" wp14:editId="5C246881">
            <wp:extent cx="5257800" cy="2711450"/>
            <wp:effectExtent l="0" t="0" r="0" b="12700"/>
            <wp:docPr id="11"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99941C0" w14:textId="37B800DE" w:rsidR="00B43FA5" w:rsidRPr="007477B4" w:rsidRDefault="00B43FA5" w:rsidP="0089798D">
      <w:pPr>
        <w:autoSpaceDE w:val="0"/>
        <w:autoSpaceDN w:val="0"/>
        <w:adjustRightInd w:val="0"/>
        <w:spacing w:afterLines="50" w:after="180" w:line="240" w:lineRule="auto"/>
        <w:jc w:val="center"/>
        <w:rPr>
          <w:rFonts w:ascii="Times New Roman" w:hAnsi="Times New Roman" w:cs="Times New Roman"/>
          <w:sz w:val="20"/>
          <w:szCs w:val="20"/>
        </w:rPr>
      </w:pPr>
      <w:r w:rsidRPr="007477B4">
        <w:rPr>
          <w:rFonts w:ascii="Times New Roman" w:eastAsiaTheme="minorEastAsia" w:hAnsi="Times New Roman" w:cs="Times New Roman"/>
          <w:color w:val="231F20"/>
          <w:sz w:val="20"/>
          <w:szCs w:val="20"/>
        </w:rPr>
        <w:t>F</w:t>
      </w:r>
      <w:r w:rsidR="00184F5C" w:rsidRPr="007477B4">
        <w:rPr>
          <w:rFonts w:ascii="Times New Roman" w:eastAsiaTheme="minorEastAsia" w:hAnsi="Times New Roman" w:cs="Times New Roman"/>
          <w:color w:val="231F20"/>
          <w:sz w:val="20"/>
          <w:szCs w:val="20"/>
        </w:rPr>
        <w:t>IG</w:t>
      </w:r>
      <w:r w:rsidRPr="007477B4">
        <w:rPr>
          <w:rFonts w:ascii="Times New Roman" w:eastAsiaTheme="minorEastAsia" w:hAnsi="Times New Roman" w:cs="Times New Roman"/>
          <w:color w:val="231F20"/>
          <w:sz w:val="20"/>
          <w:szCs w:val="20"/>
        </w:rPr>
        <w:t xml:space="preserve">. 2. </w:t>
      </w:r>
      <w:r w:rsidR="00F024D0">
        <w:rPr>
          <w:rFonts w:ascii="Times New Roman" w:hAnsi="Times New Roman" w:cs="Times New Roman"/>
          <w:sz w:val="20"/>
          <w:szCs w:val="20"/>
        </w:rPr>
        <w:t>Time S</w:t>
      </w:r>
      <w:r w:rsidRPr="007477B4">
        <w:rPr>
          <w:rFonts w:ascii="Times New Roman" w:hAnsi="Times New Roman" w:cs="Times New Roman"/>
          <w:sz w:val="20"/>
          <w:szCs w:val="20"/>
        </w:rPr>
        <w:t xml:space="preserve">eries </w:t>
      </w:r>
      <w:r w:rsidR="00F024D0">
        <w:rPr>
          <w:rFonts w:ascii="Times New Roman" w:hAnsi="Times New Roman" w:cs="Times New Roman"/>
          <w:sz w:val="20"/>
          <w:szCs w:val="20"/>
        </w:rPr>
        <w:t>P</w:t>
      </w:r>
      <w:r w:rsidRPr="007477B4">
        <w:rPr>
          <w:rFonts w:ascii="Times New Roman" w:hAnsi="Times New Roman" w:cs="Times New Roman"/>
          <w:sz w:val="20"/>
          <w:szCs w:val="20"/>
        </w:rPr>
        <w:t xml:space="preserve">lot of </w:t>
      </w:r>
      <w:r w:rsidRPr="007477B4">
        <w:rPr>
          <w:rFonts w:ascii="Times New Roman" w:hAnsi="Times New Roman" w:cs="Times New Roman"/>
          <w:i/>
          <w:sz w:val="20"/>
          <w:szCs w:val="20"/>
        </w:rPr>
        <w:t>∆CI_Loan</w:t>
      </w:r>
      <w:r w:rsidRPr="007477B4">
        <w:rPr>
          <w:rFonts w:ascii="Times New Roman" w:hAnsi="Times New Roman" w:cs="Times New Roman"/>
          <w:sz w:val="20"/>
          <w:szCs w:val="20"/>
        </w:rPr>
        <w:t xml:space="preserve">, </w:t>
      </w:r>
      <w:r w:rsidRPr="007477B4">
        <w:rPr>
          <w:rFonts w:ascii="Times New Roman" w:hAnsi="Times New Roman" w:cs="Times New Roman"/>
          <w:i/>
          <w:sz w:val="20"/>
          <w:szCs w:val="20"/>
        </w:rPr>
        <w:t>Synd_Loan</w:t>
      </w:r>
      <w:r w:rsidRPr="007477B4">
        <w:rPr>
          <w:rFonts w:ascii="Times New Roman" w:hAnsi="Times New Roman" w:cs="Times New Roman"/>
          <w:sz w:val="20"/>
          <w:szCs w:val="20"/>
        </w:rPr>
        <w:t xml:space="preserve">, and </w:t>
      </w:r>
      <w:r w:rsidRPr="007477B4">
        <w:rPr>
          <w:rFonts w:ascii="Times New Roman" w:hAnsi="Times New Roman" w:cs="Times New Roman"/>
          <w:i/>
          <w:sz w:val="20"/>
          <w:szCs w:val="20"/>
        </w:rPr>
        <w:t>logVRP</w:t>
      </w:r>
      <w:r w:rsidR="00BE008A" w:rsidRPr="007477B4">
        <w:rPr>
          <w:rFonts w:ascii="Times New Roman" w:hAnsi="Times New Roman" w:cs="Times New Roman"/>
          <w:sz w:val="20"/>
          <w:szCs w:val="20"/>
        </w:rPr>
        <w:t>.</w:t>
      </w:r>
    </w:p>
    <w:p w14:paraId="177C2E48" w14:textId="77777777" w:rsidR="00705F0C" w:rsidRPr="007477B4" w:rsidRDefault="00184F5C" w:rsidP="00873FE8">
      <w:pPr>
        <w:autoSpaceDE w:val="0"/>
        <w:autoSpaceDN w:val="0"/>
        <w:adjustRightInd w:val="0"/>
        <w:spacing w:after="0" w:line="240" w:lineRule="auto"/>
        <w:jc w:val="both"/>
        <w:rPr>
          <w:rFonts w:ascii="Times New Roman" w:eastAsiaTheme="minorEastAsia" w:hAnsi="Times New Roman" w:cs="Times New Roman"/>
          <w:color w:val="231F20"/>
          <w:sz w:val="20"/>
          <w:szCs w:val="20"/>
        </w:rPr>
      </w:pPr>
      <w:r w:rsidRPr="007477B4">
        <w:rPr>
          <w:rFonts w:ascii="Times New Roman" w:hAnsi="Times New Roman" w:cs="Times New Roman"/>
          <w:sz w:val="20"/>
          <w:szCs w:val="20"/>
        </w:rPr>
        <w:t xml:space="preserve">NOTES: </w:t>
      </w:r>
      <w:r w:rsidR="00B43FA5" w:rsidRPr="007477B4">
        <w:rPr>
          <w:rFonts w:ascii="Times New Roman" w:hAnsi="Times New Roman" w:cs="Times New Roman"/>
          <w:sz w:val="20"/>
          <w:szCs w:val="20"/>
        </w:rPr>
        <w:t>The figure plots the time series of the change in C&amp;I loans (</w:t>
      </w:r>
      <w:r w:rsidR="00B43FA5" w:rsidRPr="007477B4">
        <w:rPr>
          <w:rFonts w:ascii="Times New Roman" w:hAnsi="Times New Roman" w:cs="Times New Roman"/>
          <w:i/>
          <w:sz w:val="20"/>
          <w:szCs w:val="20"/>
        </w:rPr>
        <w:t>∆CI_Loan</w:t>
      </w:r>
      <w:r w:rsidR="00B43FA5" w:rsidRPr="007477B4">
        <w:rPr>
          <w:rFonts w:ascii="Times New Roman" w:hAnsi="Times New Roman" w:cs="Times New Roman"/>
          <w:sz w:val="20"/>
          <w:szCs w:val="20"/>
        </w:rPr>
        <w:t xml:space="preserve">), </w:t>
      </w:r>
      <w:r w:rsidR="00B43FA5" w:rsidRPr="007477B4">
        <w:rPr>
          <w:rFonts w:ascii="Times New Roman" w:eastAsiaTheme="minorEastAsia" w:hAnsi="Times New Roman" w:cs="Times New Roman"/>
          <w:color w:val="231F20"/>
          <w:sz w:val="20"/>
          <w:szCs w:val="20"/>
        </w:rPr>
        <w:t>the volume of syndicated loans (</w:t>
      </w:r>
      <w:r w:rsidR="00B43FA5" w:rsidRPr="007477B4">
        <w:rPr>
          <w:rFonts w:ascii="Times New Roman" w:hAnsi="Times New Roman" w:cs="Times New Roman"/>
          <w:i/>
          <w:sz w:val="20"/>
          <w:szCs w:val="20"/>
        </w:rPr>
        <w:t>Synd_Loan</w:t>
      </w:r>
      <w:r w:rsidR="00B43FA5" w:rsidRPr="007477B4">
        <w:rPr>
          <w:rFonts w:ascii="Times New Roman" w:eastAsiaTheme="minorEastAsia" w:hAnsi="Times New Roman" w:cs="Times New Roman"/>
          <w:color w:val="231F20"/>
          <w:sz w:val="20"/>
          <w:szCs w:val="20"/>
        </w:rPr>
        <w:t>) and the logarithmic VRP (</w:t>
      </w:r>
      <w:r w:rsidR="00B43FA5" w:rsidRPr="007477B4">
        <w:rPr>
          <w:rFonts w:ascii="Times New Roman" w:eastAsiaTheme="minorEastAsia" w:hAnsi="Times New Roman" w:cs="Times New Roman"/>
          <w:i/>
          <w:color w:val="231F20"/>
          <w:sz w:val="20"/>
          <w:szCs w:val="20"/>
        </w:rPr>
        <w:t>logVRP</w:t>
      </w:r>
      <w:r w:rsidR="00B43FA5" w:rsidRPr="007477B4">
        <w:rPr>
          <w:rFonts w:ascii="Times New Roman" w:eastAsiaTheme="minorEastAsia" w:hAnsi="Times New Roman" w:cs="Times New Roman"/>
          <w:color w:val="231F20"/>
          <w:sz w:val="20"/>
          <w:szCs w:val="20"/>
        </w:rPr>
        <w:t>).</w:t>
      </w:r>
      <w:r w:rsidR="00BE008A" w:rsidRPr="007477B4">
        <w:rPr>
          <w:rFonts w:ascii="Times New Roman" w:eastAsiaTheme="minorEastAsia" w:hAnsi="Times New Roman" w:cs="Times New Roman"/>
          <w:color w:val="231F20"/>
          <w:sz w:val="20"/>
          <w:szCs w:val="20"/>
        </w:rPr>
        <w:t xml:space="preserve"> The right-hand side axis is for </w:t>
      </w:r>
      <w:r w:rsidR="00BE008A" w:rsidRPr="007477B4">
        <w:rPr>
          <w:rFonts w:ascii="Times New Roman" w:eastAsiaTheme="minorEastAsia" w:hAnsi="Times New Roman" w:cs="Times New Roman"/>
          <w:i/>
          <w:color w:val="231F20"/>
          <w:sz w:val="20"/>
          <w:szCs w:val="20"/>
        </w:rPr>
        <w:t>logVRP</w:t>
      </w:r>
      <w:r w:rsidR="00BE008A" w:rsidRPr="007477B4">
        <w:rPr>
          <w:rFonts w:ascii="Times New Roman" w:eastAsiaTheme="minorEastAsia" w:hAnsi="Times New Roman" w:cs="Times New Roman"/>
          <w:color w:val="231F20"/>
          <w:sz w:val="20"/>
          <w:szCs w:val="20"/>
        </w:rPr>
        <w:t xml:space="preserve">. </w:t>
      </w:r>
      <w:r w:rsidR="00822169" w:rsidRPr="007477B4">
        <w:rPr>
          <w:rFonts w:ascii="Times New Roman" w:eastAsiaTheme="minorEastAsia" w:hAnsi="Times New Roman" w:cs="Times New Roman"/>
          <w:color w:val="231F20"/>
          <w:sz w:val="20"/>
          <w:szCs w:val="20"/>
        </w:rPr>
        <w:t>Shaded areas</w:t>
      </w:r>
      <w:r w:rsidR="00705F0C" w:rsidRPr="007477B4">
        <w:rPr>
          <w:rFonts w:ascii="Times New Roman" w:eastAsiaTheme="minorEastAsia" w:hAnsi="Times New Roman" w:cs="Times New Roman"/>
          <w:color w:val="231F20"/>
          <w:sz w:val="20"/>
          <w:szCs w:val="20"/>
        </w:rPr>
        <w:t xml:space="preserve"> indicate NBER recession dates: 1990:3-1991:1, 2001:1-2001: 4 and 2007:4-2009:2.</w:t>
      </w:r>
    </w:p>
    <w:p w14:paraId="1208373B" w14:textId="77777777" w:rsidR="006B039B" w:rsidRPr="007477B4" w:rsidRDefault="006B039B" w:rsidP="00873FE8">
      <w:pPr>
        <w:autoSpaceDE w:val="0"/>
        <w:autoSpaceDN w:val="0"/>
        <w:adjustRightInd w:val="0"/>
        <w:spacing w:after="0" w:line="240" w:lineRule="auto"/>
        <w:jc w:val="both"/>
        <w:rPr>
          <w:rFonts w:ascii="Times New Roman" w:eastAsiaTheme="minorEastAsia" w:hAnsi="Times New Roman" w:cs="Times New Roman"/>
          <w:color w:val="231F20"/>
          <w:sz w:val="20"/>
          <w:szCs w:val="20"/>
        </w:rPr>
        <w:sectPr w:rsidR="006B039B" w:rsidRPr="007477B4" w:rsidSect="00D95489">
          <w:pgSz w:w="11906" w:h="16838"/>
          <w:pgMar w:top="1440" w:right="1797" w:bottom="1440" w:left="1797" w:header="851" w:footer="992" w:gutter="0"/>
          <w:cols w:space="425"/>
          <w:docGrid w:type="lines" w:linePitch="360"/>
        </w:sectPr>
      </w:pPr>
    </w:p>
    <w:p w14:paraId="603B9950" w14:textId="77777777" w:rsidR="000F0F91" w:rsidRDefault="000F0F91" w:rsidP="0089798D">
      <w:pPr>
        <w:spacing w:afterLines="50" w:after="180" w:line="240" w:lineRule="auto"/>
        <w:rPr>
          <w:rFonts w:ascii="Times New Roman" w:hAnsi="Times New Roman" w:cs="Times New Roman"/>
        </w:rPr>
      </w:pPr>
      <w:r>
        <w:rPr>
          <w:noProof/>
          <w:lang w:eastAsia="zh-TW"/>
        </w:rPr>
        <w:lastRenderedPageBreak/>
        <w:drawing>
          <wp:inline distT="0" distB="0" distL="0" distR="0" wp14:anchorId="6E32905F" wp14:editId="34695D55">
            <wp:extent cx="5276850" cy="2927350"/>
            <wp:effectExtent l="0" t="0" r="0" b="6350"/>
            <wp:docPr id="13"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9758BD2" w14:textId="2BB88753" w:rsidR="00BB457D" w:rsidRPr="007477B4" w:rsidRDefault="00BB457D" w:rsidP="0089798D">
      <w:pPr>
        <w:spacing w:afterLines="50" w:after="180" w:line="240" w:lineRule="auto"/>
        <w:jc w:val="center"/>
        <w:rPr>
          <w:rFonts w:ascii="Times New Roman" w:hAnsi="Times New Roman" w:cs="Times New Roman"/>
          <w:sz w:val="20"/>
          <w:szCs w:val="20"/>
        </w:rPr>
      </w:pPr>
      <w:r w:rsidRPr="007477B4">
        <w:rPr>
          <w:rFonts w:ascii="Times New Roman" w:hAnsi="Times New Roman" w:cs="Times New Roman" w:hint="eastAsia"/>
          <w:sz w:val="20"/>
          <w:szCs w:val="20"/>
        </w:rPr>
        <w:t>F</w:t>
      </w:r>
      <w:r w:rsidR="00184F5C" w:rsidRPr="007477B4">
        <w:rPr>
          <w:rFonts w:ascii="Times New Roman" w:hAnsi="Times New Roman" w:cs="Times New Roman"/>
          <w:sz w:val="20"/>
          <w:szCs w:val="20"/>
        </w:rPr>
        <w:t>IG.</w:t>
      </w:r>
      <w:r w:rsidR="00F024D0">
        <w:rPr>
          <w:rFonts w:ascii="Times New Roman" w:hAnsi="Times New Roman" w:cs="Times New Roman"/>
          <w:sz w:val="20"/>
          <w:szCs w:val="20"/>
        </w:rPr>
        <w:t xml:space="preserve"> 3. Time Series P</w:t>
      </w:r>
      <w:r w:rsidRPr="007477B4">
        <w:rPr>
          <w:rFonts w:ascii="Times New Roman" w:hAnsi="Times New Roman" w:cs="Times New Roman"/>
          <w:sz w:val="20"/>
          <w:szCs w:val="20"/>
        </w:rPr>
        <w:t xml:space="preserve">lot of </w:t>
      </w:r>
      <w:r w:rsidRPr="007477B4">
        <w:rPr>
          <w:rFonts w:ascii="Times New Roman" w:hAnsi="Times New Roman" w:cs="Times New Roman"/>
          <w:i/>
          <w:sz w:val="20"/>
          <w:szCs w:val="20"/>
        </w:rPr>
        <w:t>Standard_LM</w:t>
      </w:r>
      <w:r w:rsidRPr="007477B4">
        <w:rPr>
          <w:rFonts w:ascii="Times New Roman" w:hAnsi="Times New Roman" w:cs="Times New Roman"/>
          <w:sz w:val="20"/>
          <w:szCs w:val="20"/>
        </w:rPr>
        <w:t xml:space="preserve">, </w:t>
      </w:r>
      <w:r w:rsidRPr="007477B4">
        <w:rPr>
          <w:rFonts w:ascii="Times New Roman" w:hAnsi="Times New Roman" w:cs="Times New Roman"/>
          <w:i/>
          <w:sz w:val="20"/>
          <w:szCs w:val="20"/>
        </w:rPr>
        <w:t>Demand_LM</w:t>
      </w:r>
      <w:r w:rsidRPr="007477B4">
        <w:rPr>
          <w:rFonts w:ascii="Times New Roman" w:hAnsi="Times New Roman" w:cs="Times New Roman"/>
          <w:sz w:val="20"/>
          <w:szCs w:val="20"/>
        </w:rPr>
        <w:t xml:space="preserve">, and </w:t>
      </w:r>
      <w:r w:rsidRPr="007477B4">
        <w:rPr>
          <w:rFonts w:ascii="Times New Roman" w:hAnsi="Times New Roman" w:cs="Times New Roman"/>
          <w:i/>
          <w:sz w:val="20"/>
          <w:szCs w:val="20"/>
        </w:rPr>
        <w:t>logVRP</w:t>
      </w:r>
      <w:r w:rsidR="00C112BF" w:rsidRPr="007477B4">
        <w:rPr>
          <w:rFonts w:ascii="Times New Roman" w:hAnsi="Times New Roman" w:cs="Times New Roman"/>
          <w:sz w:val="20"/>
          <w:szCs w:val="20"/>
        </w:rPr>
        <w:t>.</w:t>
      </w:r>
    </w:p>
    <w:p w14:paraId="5D81D77F" w14:textId="77777777" w:rsidR="000F0F91" w:rsidRPr="007477B4" w:rsidRDefault="00184F5C" w:rsidP="00066D21">
      <w:pPr>
        <w:autoSpaceDE w:val="0"/>
        <w:autoSpaceDN w:val="0"/>
        <w:adjustRightInd w:val="0"/>
        <w:spacing w:after="0" w:line="240" w:lineRule="auto"/>
        <w:jc w:val="both"/>
        <w:rPr>
          <w:rFonts w:ascii="Times New Roman" w:eastAsiaTheme="minorEastAsia" w:hAnsi="Times New Roman" w:cs="Times New Roman"/>
          <w:color w:val="231F20"/>
          <w:sz w:val="20"/>
          <w:szCs w:val="20"/>
        </w:rPr>
      </w:pPr>
      <w:r w:rsidRPr="007477B4">
        <w:rPr>
          <w:rFonts w:ascii="Times New Roman" w:hAnsi="Times New Roman" w:cs="Times New Roman"/>
          <w:sz w:val="20"/>
          <w:szCs w:val="20"/>
        </w:rPr>
        <w:t xml:space="preserve">NOTES: </w:t>
      </w:r>
      <w:r w:rsidR="00BB457D" w:rsidRPr="007477B4">
        <w:rPr>
          <w:rFonts w:ascii="Times New Roman" w:hAnsi="Times New Roman" w:cs="Times New Roman"/>
          <w:sz w:val="20"/>
          <w:szCs w:val="20"/>
        </w:rPr>
        <w:t>This graph displays the net percentage of domestic banks reporting tightening standards for C&amp;I loans to large and medium firms (</w:t>
      </w:r>
      <w:r w:rsidR="00BB457D" w:rsidRPr="007477B4">
        <w:rPr>
          <w:rFonts w:ascii="Times New Roman" w:hAnsi="Times New Roman" w:cs="Times New Roman"/>
          <w:i/>
          <w:sz w:val="20"/>
          <w:szCs w:val="20"/>
        </w:rPr>
        <w:t>Standard_LM</w:t>
      </w:r>
      <w:r w:rsidR="00BB457D" w:rsidRPr="007477B4">
        <w:rPr>
          <w:rFonts w:ascii="Times New Roman" w:hAnsi="Times New Roman" w:cs="Times New Roman"/>
          <w:sz w:val="20"/>
          <w:szCs w:val="20"/>
        </w:rPr>
        <w:t xml:space="preserve">), the net percentage of domestic banks reporting stronger demand for </w:t>
      </w:r>
      <w:r w:rsidR="00BB457D" w:rsidRPr="007477B4">
        <w:rPr>
          <w:rFonts w:ascii="Times New Roman" w:hAnsi="Times New Roman" w:cs="Times New Roman" w:hint="eastAsia"/>
          <w:sz w:val="20"/>
          <w:szCs w:val="20"/>
        </w:rPr>
        <w:t xml:space="preserve">C&amp;I loans </w:t>
      </w:r>
      <w:r w:rsidR="00BB457D" w:rsidRPr="007477B4">
        <w:rPr>
          <w:rFonts w:ascii="Times New Roman" w:hAnsi="Times New Roman" w:cs="Times New Roman"/>
          <w:sz w:val="20"/>
          <w:szCs w:val="20"/>
        </w:rPr>
        <w:t>from large and medium</w:t>
      </w:r>
      <w:r w:rsidR="00BB457D" w:rsidRPr="007477B4">
        <w:rPr>
          <w:rFonts w:ascii="Times New Roman" w:hAnsi="Times New Roman" w:cs="Times New Roman" w:hint="eastAsia"/>
          <w:sz w:val="20"/>
          <w:szCs w:val="20"/>
        </w:rPr>
        <w:t xml:space="preserve"> firms</w:t>
      </w:r>
      <w:r w:rsidR="00BB457D" w:rsidRPr="007477B4">
        <w:rPr>
          <w:rFonts w:ascii="Times New Roman" w:hAnsi="Times New Roman" w:cs="Times New Roman"/>
          <w:sz w:val="20"/>
          <w:szCs w:val="20"/>
        </w:rPr>
        <w:t xml:space="preserve"> (</w:t>
      </w:r>
      <w:r w:rsidR="00BB457D" w:rsidRPr="007477B4">
        <w:rPr>
          <w:rFonts w:ascii="Times New Roman" w:hAnsi="Times New Roman" w:cs="Times New Roman"/>
          <w:i/>
          <w:sz w:val="20"/>
          <w:szCs w:val="20"/>
        </w:rPr>
        <w:t>Demand_LM</w:t>
      </w:r>
      <w:r w:rsidR="00BB457D" w:rsidRPr="007477B4">
        <w:rPr>
          <w:rFonts w:ascii="Times New Roman" w:hAnsi="Times New Roman" w:cs="Times New Roman"/>
          <w:sz w:val="20"/>
          <w:szCs w:val="20"/>
        </w:rPr>
        <w:t>)</w:t>
      </w:r>
      <w:r w:rsidR="000E1C2C" w:rsidRPr="007477B4">
        <w:rPr>
          <w:rFonts w:ascii="Times New Roman" w:hAnsi="Times New Roman" w:cs="Times New Roman"/>
          <w:sz w:val="20"/>
          <w:szCs w:val="20"/>
        </w:rPr>
        <w:t>,</w:t>
      </w:r>
      <w:r w:rsidR="00BB457D" w:rsidRPr="007477B4">
        <w:rPr>
          <w:rFonts w:ascii="Times New Roman" w:hAnsi="Times New Roman" w:cs="Times New Roman"/>
          <w:sz w:val="20"/>
          <w:szCs w:val="20"/>
        </w:rPr>
        <w:t xml:space="preserve"> and </w:t>
      </w:r>
      <w:r w:rsidR="008D696A" w:rsidRPr="007477B4">
        <w:rPr>
          <w:rFonts w:ascii="Times New Roman" w:eastAsiaTheme="minorEastAsia" w:hAnsi="Times New Roman" w:cs="Times New Roman"/>
          <w:color w:val="231F20"/>
          <w:sz w:val="20"/>
          <w:szCs w:val="20"/>
        </w:rPr>
        <w:t>the logarithmic VRP (</w:t>
      </w:r>
      <w:r w:rsidR="008D696A" w:rsidRPr="007477B4">
        <w:rPr>
          <w:rFonts w:ascii="Times New Roman" w:eastAsiaTheme="minorEastAsia" w:hAnsi="Times New Roman" w:cs="Times New Roman"/>
          <w:i/>
          <w:color w:val="231F20"/>
          <w:sz w:val="20"/>
          <w:szCs w:val="20"/>
        </w:rPr>
        <w:t>logVRP</w:t>
      </w:r>
      <w:r w:rsidR="008D696A" w:rsidRPr="007477B4">
        <w:rPr>
          <w:rFonts w:ascii="Times New Roman" w:eastAsiaTheme="minorEastAsia" w:hAnsi="Times New Roman" w:cs="Times New Roman"/>
          <w:color w:val="231F20"/>
          <w:sz w:val="20"/>
          <w:szCs w:val="20"/>
        </w:rPr>
        <w:t>)</w:t>
      </w:r>
      <w:r w:rsidR="00BB457D" w:rsidRPr="007477B4">
        <w:rPr>
          <w:rFonts w:ascii="Times New Roman" w:hAnsi="Times New Roman" w:cs="Times New Roman"/>
          <w:sz w:val="20"/>
          <w:szCs w:val="20"/>
        </w:rPr>
        <w:t>.</w:t>
      </w:r>
      <w:r w:rsidR="008D696A" w:rsidRPr="007477B4">
        <w:rPr>
          <w:rFonts w:ascii="Times New Roman" w:hAnsi="Times New Roman" w:cs="Times New Roman"/>
          <w:sz w:val="20"/>
          <w:szCs w:val="20"/>
        </w:rPr>
        <w:t xml:space="preserve"> </w:t>
      </w:r>
      <w:r w:rsidR="00873FE8" w:rsidRPr="007477B4">
        <w:rPr>
          <w:rFonts w:ascii="Times New Roman" w:eastAsiaTheme="minorEastAsia" w:hAnsi="Times New Roman" w:cs="Times New Roman"/>
          <w:color w:val="231F20"/>
          <w:sz w:val="20"/>
          <w:szCs w:val="20"/>
        </w:rPr>
        <w:t xml:space="preserve">The right-hand side axis is for </w:t>
      </w:r>
      <w:r w:rsidR="00873FE8" w:rsidRPr="007477B4">
        <w:rPr>
          <w:rFonts w:ascii="Times New Roman" w:eastAsiaTheme="minorEastAsia" w:hAnsi="Times New Roman" w:cs="Times New Roman"/>
          <w:i/>
          <w:color w:val="231F20"/>
          <w:sz w:val="20"/>
          <w:szCs w:val="20"/>
        </w:rPr>
        <w:t>logVRP</w:t>
      </w:r>
      <w:r w:rsidR="00873FE8" w:rsidRPr="007477B4">
        <w:rPr>
          <w:rFonts w:ascii="Times New Roman" w:eastAsiaTheme="minorEastAsia" w:hAnsi="Times New Roman" w:cs="Times New Roman"/>
          <w:color w:val="231F20"/>
          <w:sz w:val="20"/>
          <w:szCs w:val="20"/>
        </w:rPr>
        <w:t xml:space="preserve">. </w:t>
      </w:r>
      <w:r w:rsidR="000F0F91" w:rsidRPr="007477B4">
        <w:rPr>
          <w:rFonts w:ascii="Times New Roman" w:eastAsiaTheme="minorEastAsia" w:hAnsi="Times New Roman" w:cs="Times New Roman"/>
          <w:color w:val="231F20"/>
          <w:sz w:val="20"/>
          <w:szCs w:val="20"/>
        </w:rPr>
        <w:t>Shaded areas</w:t>
      </w:r>
      <w:r w:rsidR="00705F0C" w:rsidRPr="007477B4">
        <w:rPr>
          <w:rFonts w:ascii="Times New Roman" w:eastAsiaTheme="minorEastAsia" w:hAnsi="Times New Roman" w:cs="Times New Roman"/>
          <w:color w:val="231F20"/>
          <w:sz w:val="20"/>
          <w:szCs w:val="20"/>
        </w:rPr>
        <w:t xml:space="preserve"> indicate NBER recession dates: 1990:3-1991:1, 2001:1-2001: 4 and</w:t>
      </w:r>
      <w:r w:rsidR="005A5ABB" w:rsidRPr="007477B4">
        <w:rPr>
          <w:rFonts w:ascii="Times New Roman" w:eastAsiaTheme="minorEastAsia" w:hAnsi="Times New Roman" w:cs="Times New Roman"/>
          <w:color w:val="231F20"/>
          <w:sz w:val="20"/>
          <w:szCs w:val="20"/>
        </w:rPr>
        <w:t xml:space="preserve"> 2007:4-2009:2.</w:t>
      </w:r>
    </w:p>
    <w:p w14:paraId="593505AB" w14:textId="77777777" w:rsidR="00781F2D" w:rsidRDefault="00781F2D" w:rsidP="0027242C">
      <w:pPr>
        <w:autoSpaceDE w:val="0"/>
        <w:autoSpaceDN w:val="0"/>
        <w:adjustRightInd w:val="0"/>
        <w:spacing w:after="0" w:line="240" w:lineRule="exact"/>
        <w:rPr>
          <w:rFonts w:ascii="Times New Roman" w:eastAsiaTheme="minorEastAsia" w:hAnsi="Times New Roman" w:cs="Times New Roman"/>
          <w:color w:val="231F20"/>
          <w:sz w:val="20"/>
          <w:szCs w:val="20"/>
        </w:rPr>
      </w:pPr>
    </w:p>
    <w:p w14:paraId="6D34B016" w14:textId="77777777" w:rsidR="0089798D" w:rsidRDefault="0089798D" w:rsidP="0089798D">
      <w:pPr>
        <w:spacing w:after="0" w:line="240" w:lineRule="auto"/>
        <w:jc w:val="both"/>
        <w:rPr>
          <w:rFonts w:ascii="Times New Roman" w:hAnsi="Times New Roman" w:cs="Times New Roman"/>
          <w:sz w:val="24"/>
          <w:szCs w:val="24"/>
          <w:lang w:eastAsia="zh-TW"/>
        </w:rPr>
      </w:pPr>
    </w:p>
    <w:p w14:paraId="195435C1" w14:textId="77777777" w:rsidR="006C51F6" w:rsidRDefault="006C51F6" w:rsidP="0089798D">
      <w:pPr>
        <w:spacing w:after="0" w:line="240" w:lineRule="auto"/>
        <w:jc w:val="both"/>
        <w:rPr>
          <w:rFonts w:ascii="Times New Roman" w:hAnsi="Times New Roman" w:cs="Times New Roman"/>
          <w:sz w:val="24"/>
          <w:szCs w:val="24"/>
          <w:lang w:eastAsia="zh-TW"/>
        </w:rPr>
        <w:sectPr w:rsidR="006C51F6" w:rsidSect="00D95489">
          <w:pgSz w:w="11906" w:h="16838"/>
          <w:pgMar w:top="1440" w:right="1797" w:bottom="1440" w:left="1797" w:header="851" w:footer="992" w:gutter="0"/>
          <w:cols w:space="425"/>
          <w:docGrid w:type="lines" w:linePitch="360"/>
        </w:sectPr>
      </w:pPr>
    </w:p>
    <w:p w14:paraId="4E9EE708" w14:textId="77777777" w:rsidR="0089798D" w:rsidRDefault="0089798D" w:rsidP="0089798D">
      <w:pPr>
        <w:spacing w:after="0" w:line="240" w:lineRule="auto"/>
        <w:jc w:val="both"/>
        <w:rPr>
          <w:rFonts w:ascii="Times New Roman" w:hAnsi="Times New Roman" w:cs="Times New Roman"/>
          <w:sz w:val="24"/>
          <w:szCs w:val="24"/>
          <w:lang w:eastAsia="zh-TW"/>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2751"/>
        <w:gridCol w:w="2810"/>
      </w:tblGrid>
      <w:tr w:rsidR="0089798D" w:rsidRPr="00E03F60" w14:paraId="6BB2F107" w14:textId="77777777" w:rsidTr="0089798D">
        <w:tc>
          <w:tcPr>
            <w:tcW w:w="8328" w:type="dxa"/>
            <w:gridSpan w:val="3"/>
          </w:tcPr>
          <w:p w14:paraId="41120768" w14:textId="77777777" w:rsidR="0089798D" w:rsidRPr="00074FB3" w:rsidRDefault="0089798D" w:rsidP="00D95489">
            <w:pPr>
              <w:jc w:val="both"/>
              <w:rPr>
                <w:rFonts w:ascii="Times New Roman" w:eastAsia="新細明體" w:hAnsi="Times New Roman" w:cs="Times New Roman"/>
                <w:szCs w:val="24"/>
              </w:rPr>
            </w:pPr>
            <w:r>
              <w:rPr>
                <w:rFonts w:ascii="Times New Roman" w:eastAsia="新細明體" w:hAnsi="Times New Roman" w:cs="Times New Roman" w:hint="eastAsia"/>
                <w:szCs w:val="24"/>
              </w:rPr>
              <w:t>P</w:t>
            </w:r>
            <w:r>
              <w:rPr>
                <w:rFonts w:ascii="Times New Roman" w:eastAsia="新細明體" w:hAnsi="Times New Roman" w:cs="Times New Roman"/>
                <w:szCs w:val="24"/>
              </w:rPr>
              <w:t>anel A: Impulse responses to a positive uncertainty shock</w:t>
            </w:r>
          </w:p>
        </w:tc>
      </w:tr>
      <w:tr w:rsidR="0089798D" w14:paraId="27CA0835" w14:textId="77777777" w:rsidTr="0089798D">
        <w:tblPrEx>
          <w:tblCellMar>
            <w:left w:w="28" w:type="dxa"/>
            <w:right w:w="28" w:type="dxa"/>
          </w:tblCellMar>
        </w:tblPrEx>
        <w:tc>
          <w:tcPr>
            <w:tcW w:w="2756" w:type="dxa"/>
          </w:tcPr>
          <w:p w14:paraId="4AD587FD" w14:textId="77777777" w:rsidR="0089798D" w:rsidRPr="00AB0631" w:rsidRDefault="0089798D" w:rsidP="00D95489">
            <w:pPr>
              <w:jc w:val="both"/>
              <w:rPr>
                <w:rFonts w:ascii="Times New Roman" w:hAnsi="Times New Roman" w:cs="Times New Roman"/>
                <w:szCs w:val="24"/>
              </w:rPr>
            </w:pPr>
            <w:r>
              <w:rPr>
                <w:noProof/>
              </w:rPr>
              <w:drawing>
                <wp:inline distT="0" distB="0" distL="0" distR="0" wp14:anchorId="54B70B80" wp14:editId="0D4102FF">
                  <wp:extent cx="1708150" cy="1350010"/>
                  <wp:effectExtent l="0" t="0" r="6350" b="2540"/>
                  <wp:docPr id="1" name="圖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2756" w:type="dxa"/>
          </w:tcPr>
          <w:p w14:paraId="7CCEC4DB" w14:textId="77777777" w:rsidR="0089798D" w:rsidRDefault="0089798D" w:rsidP="00D95489">
            <w:pPr>
              <w:jc w:val="both"/>
              <w:rPr>
                <w:rFonts w:ascii="Times New Roman" w:hAnsi="Times New Roman" w:cs="Times New Roman"/>
                <w:szCs w:val="24"/>
              </w:rPr>
            </w:pPr>
            <w:r>
              <w:rPr>
                <w:noProof/>
              </w:rPr>
              <w:drawing>
                <wp:inline distT="0" distB="0" distL="0" distR="0" wp14:anchorId="121CADC8" wp14:editId="71438D85">
                  <wp:extent cx="1714500" cy="1350010"/>
                  <wp:effectExtent l="0" t="0" r="0" b="2540"/>
                  <wp:docPr id="9"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2816" w:type="dxa"/>
          </w:tcPr>
          <w:p w14:paraId="2362FE7F" w14:textId="77777777" w:rsidR="0089798D" w:rsidRDefault="0089798D" w:rsidP="00D95489">
            <w:pPr>
              <w:jc w:val="both"/>
              <w:rPr>
                <w:rFonts w:ascii="Times New Roman" w:hAnsi="Times New Roman" w:cs="Times New Roman"/>
                <w:szCs w:val="24"/>
              </w:rPr>
            </w:pPr>
            <w:r>
              <w:rPr>
                <w:noProof/>
              </w:rPr>
              <w:drawing>
                <wp:inline distT="0" distB="0" distL="0" distR="0" wp14:anchorId="47992C8A" wp14:editId="5A4E8279">
                  <wp:extent cx="1752600" cy="1350010"/>
                  <wp:effectExtent l="0" t="0" r="0" b="2540"/>
                  <wp:docPr id="19" name="圖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89798D" w14:paraId="644FD358" w14:textId="77777777" w:rsidTr="0089798D">
        <w:tblPrEx>
          <w:tblCellMar>
            <w:left w:w="28" w:type="dxa"/>
            <w:right w:w="28" w:type="dxa"/>
          </w:tblCellMar>
        </w:tblPrEx>
        <w:tc>
          <w:tcPr>
            <w:tcW w:w="2756" w:type="dxa"/>
          </w:tcPr>
          <w:p w14:paraId="0CA9AA54" w14:textId="77777777" w:rsidR="0089798D" w:rsidRDefault="0089798D" w:rsidP="00D95489">
            <w:pPr>
              <w:jc w:val="both"/>
              <w:rPr>
                <w:rFonts w:ascii="Times New Roman" w:hAnsi="Times New Roman" w:cs="Times New Roman"/>
                <w:szCs w:val="24"/>
              </w:rPr>
            </w:pPr>
            <w:r>
              <w:rPr>
                <w:noProof/>
              </w:rPr>
              <w:drawing>
                <wp:inline distT="0" distB="0" distL="0" distR="0" wp14:anchorId="10F03BB8" wp14:editId="6B2FBA90">
                  <wp:extent cx="1708150" cy="1409700"/>
                  <wp:effectExtent l="0" t="0" r="6350" b="0"/>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2756" w:type="dxa"/>
          </w:tcPr>
          <w:p w14:paraId="63F82085" w14:textId="77777777" w:rsidR="0089798D" w:rsidRDefault="0089798D" w:rsidP="00D95489">
            <w:pPr>
              <w:jc w:val="both"/>
              <w:rPr>
                <w:rFonts w:ascii="Times New Roman" w:hAnsi="Times New Roman" w:cs="Times New Roman"/>
                <w:szCs w:val="24"/>
              </w:rPr>
            </w:pPr>
            <w:r>
              <w:rPr>
                <w:noProof/>
              </w:rPr>
              <w:drawing>
                <wp:inline distT="0" distB="0" distL="0" distR="0" wp14:anchorId="21151369" wp14:editId="4096689A">
                  <wp:extent cx="1714500" cy="1409700"/>
                  <wp:effectExtent l="0" t="0" r="0" b="0"/>
                  <wp:docPr id="37" name="圖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2816" w:type="dxa"/>
          </w:tcPr>
          <w:p w14:paraId="41047D83" w14:textId="77777777" w:rsidR="0089798D" w:rsidRDefault="0089798D" w:rsidP="00D95489">
            <w:pPr>
              <w:jc w:val="both"/>
              <w:rPr>
                <w:rFonts w:ascii="Times New Roman" w:hAnsi="Times New Roman" w:cs="Times New Roman"/>
                <w:szCs w:val="24"/>
              </w:rPr>
            </w:pPr>
            <w:r>
              <w:rPr>
                <w:noProof/>
              </w:rPr>
              <w:drawing>
                <wp:inline distT="0" distB="0" distL="0" distR="0" wp14:anchorId="6537C465" wp14:editId="2776387A">
                  <wp:extent cx="1752600" cy="1409700"/>
                  <wp:effectExtent l="0" t="0" r="0" b="0"/>
                  <wp:docPr id="38" name="圖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89798D" w14:paraId="718FCE2B" w14:textId="77777777" w:rsidTr="0089798D">
        <w:tblPrEx>
          <w:tblCellMar>
            <w:left w:w="28" w:type="dxa"/>
            <w:right w:w="28" w:type="dxa"/>
          </w:tblCellMar>
        </w:tblPrEx>
        <w:tc>
          <w:tcPr>
            <w:tcW w:w="8328" w:type="dxa"/>
            <w:gridSpan w:val="3"/>
          </w:tcPr>
          <w:p w14:paraId="656BBF1E" w14:textId="77777777" w:rsidR="0089798D" w:rsidRDefault="0089798D" w:rsidP="004D48AE">
            <w:pPr>
              <w:spacing w:beforeLines="50" w:before="180"/>
              <w:jc w:val="both"/>
              <w:rPr>
                <w:noProof/>
              </w:rPr>
            </w:pPr>
            <w:r>
              <w:rPr>
                <w:rFonts w:ascii="Times New Roman" w:eastAsia="新細明體" w:hAnsi="Times New Roman" w:cs="Times New Roman" w:hint="eastAsia"/>
                <w:szCs w:val="24"/>
              </w:rPr>
              <w:t>P</w:t>
            </w:r>
            <w:r>
              <w:rPr>
                <w:rFonts w:ascii="Times New Roman" w:eastAsia="新細明體" w:hAnsi="Times New Roman" w:cs="Times New Roman"/>
                <w:szCs w:val="24"/>
              </w:rPr>
              <w:t xml:space="preserve">anel B: Impulse responses to a </w:t>
            </w:r>
            <w:r w:rsidR="004D48AE">
              <w:rPr>
                <w:rFonts w:ascii="Times New Roman" w:eastAsia="新細明體" w:hAnsi="Times New Roman" w:cs="Times New Roman"/>
                <w:szCs w:val="24"/>
              </w:rPr>
              <w:t>contractionary</w:t>
            </w:r>
            <w:r>
              <w:rPr>
                <w:rFonts w:ascii="Times New Roman" w:eastAsia="新細明體" w:hAnsi="Times New Roman" w:cs="Times New Roman"/>
                <w:szCs w:val="24"/>
              </w:rPr>
              <w:t xml:space="preserve"> monetary policy shock</w:t>
            </w:r>
          </w:p>
        </w:tc>
      </w:tr>
      <w:tr w:rsidR="0089798D" w:rsidRPr="00840F1F" w14:paraId="17E493C6" w14:textId="77777777" w:rsidTr="0089798D">
        <w:tblPrEx>
          <w:tblCellMar>
            <w:left w:w="28" w:type="dxa"/>
            <w:right w:w="28" w:type="dxa"/>
          </w:tblCellMar>
        </w:tblPrEx>
        <w:tc>
          <w:tcPr>
            <w:tcW w:w="2756" w:type="dxa"/>
          </w:tcPr>
          <w:p w14:paraId="34E53385" w14:textId="77777777" w:rsidR="0089798D" w:rsidRPr="00951140" w:rsidRDefault="0089798D" w:rsidP="00D95489">
            <w:pPr>
              <w:jc w:val="both"/>
              <w:rPr>
                <w:rFonts w:eastAsia="新細明體"/>
                <w:noProof/>
              </w:rPr>
            </w:pPr>
            <w:r>
              <w:rPr>
                <w:noProof/>
              </w:rPr>
              <w:drawing>
                <wp:inline distT="0" distB="0" distL="0" distR="0" wp14:anchorId="7D61555E" wp14:editId="1A14E811">
                  <wp:extent cx="1708150" cy="1448435"/>
                  <wp:effectExtent l="0" t="0" r="6350" b="0"/>
                  <wp:docPr id="39" name="圖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2756" w:type="dxa"/>
          </w:tcPr>
          <w:p w14:paraId="57F63E5F" w14:textId="77777777" w:rsidR="0089798D" w:rsidRPr="00951140" w:rsidRDefault="0089798D" w:rsidP="00D95489">
            <w:pPr>
              <w:jc w:val="both"/>
              <w:rPr>
                <w:rFonts w:eastAsia="新細明體"/>
                <w:noProof/>
              </w:rPr>
            </w:pPr>
            <w:r>
              <w:rPr>
                <w:noProof/>
              </w:rPr>
              <w:drawing>
                <wp:inline distT="0" distB="0" distL="0" distR="0" wp14:anchorId="2F17A3D3" wp14:editId="38F4B2B7">
                  <wp:extent cx="1714500" cy="1448435"/>
                  <wp:effectExtent l="0" t="0" r="0" b="0"/>
                  <wp:docPr id="40" name="圖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2816" w:type="dxa"/>
          </w:tcPr>
          <w:p w14:paraId="1CC3A02D" w14:textId="77777777" w:rsidR="0089798D" w:rsidRDefault="0089798D" w:rsidP="00D95489">
            <w:pPr>
              <w:jc w:val="both"/>
              <w:rPr>
                <w:noProof/>
              </w:rPr>
            </w:pPr>
            <w:r>
              <w:rPr>
                <w:noProof/>
              </w:rPr>
              <w:drawing>
                <wp:inline distT="0" distB="0" distL="0" distR="0" wp14:anchorId="1E78E0E3" wp14:editId="1E58261B">
                  <wp:extent cx="1752600" cy="1448435"/>
                  <wp:effectExtent l="0" t="0" r="0" b="0"/>
                  <wp:docPr id="41" name="圖表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89798D" w:rsidRPr="00840F1F" w14:paraId="30D120B4" w14:textId="77777777" w:rsidTr="0089798D">
        <w:tblPrEx>
          <w:tblCellMar>
            <w:left w:w="28" w:type="dxa"/>
            <w:right w:w="28" w:type="dxa"/>
          </w:tblCellMar>
        </w:tblPrEx>
        <w:tc>
          <w:tcPr>
            <w:tcW w:w="2756" w:type="dxa"/>
          </w:tcPr>
          <w:p w14:paraId="3705D9F6" w14:textId="77777777" w:rsidR="0089798D" w:rsidRDefault="0089798D" w:rsidP="00D95489">
            <w:pPr>
              <w:jc w:val="both"/>
              <w:rPr>
                <w:noProof/>
              </w:rPr>
            </w:pPr>
            <w:r>
              <w:rPr>
                <w:noProof/>
              </w:rPr>
              <w:drawing>
                <wp:inline distT="0" distB="0" distL="0" distR="0" wp14:anchorId="36BA91C8" wp14:editId="2E77736F">
                  <wp:extent cx="1708150" cy="1460500"/>
                  <wp:effectExtent l="0" t="0" r="6350" b="6350"/>
                  <wp:docPr id="42" name="圖表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c>
          <w:tcPr>
            <w:tcW w:w="2756" w:type="dxa"/>
          </w:tcPr>
          <w:p w14:paraId="768793B2" w14:textId="77777777" w:rsidR="0089798D" w:rsidRDefault="0089798D" w:rsidP="00D95489">
            <w:pPr>
              <w:jc w:val="both"/>
              <w:rPr>
                <w:noProof/>
              </w:rPr>
            </w:pPr>
            <w:r>
              <w:rPr>
                <w:noProof/>
              </w:rPr>
              <w:drawing>
                <wp:inline distT="0" distB="0" distL="0" distR="0" wp14:anchorId="379431A2" wp14:editId="4B40D231">
                  <wp:extent cx="1714500" cy="1460500"/>
                  <wp:effectExtent l="0" t="0" r="0" b="6350"/>
                  <wp:docPr id="43" name="圖表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c>
          <w:tcPr>
            <w:tcW w:w="2816" w:type="dxa"/>
          </w:tcPr>
          <w:p w14:paraId="4A3A11FE" w14:textId="77777777" w:rsidR="0089798D" w:rsidRDefault="0089798D" w:rsidP="00D95489">
            <w:pPr>
              <w:jc w:val="both"/>
              <w:rPr>
                <w:noProof/>
              </w:rPr>
            </w:pPr>
            <w:r>
              <w:rPr>
                <w:noProof/>
              </w:rPr>
              <w:drawing>
                <wp:inline distT="0" distB="0" distL="0" distR="0" wp14:anchorId="10CC8070" wp14:editId="10680BFA">
                  <wp:extent cx="1752600" cy="1406769"/>
                  <wp:effectExtent l="0" t="0" r="0" b="3175"/>
                  <wp:docPr id="44" name="圖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bl>
    <w:p w14:paraId="61E074A7" w14:textId="1DDB0E4A" w:rsidR="0089798D" w:rsidRPr="007477B4" w:rsidRDefault="0089798D" w:rsidP="00044D4B">
      <w:pPr>
        <w:spacing w:beforeLines="50" w:before="180" w:afterLines="50" w:after="180" w:line="240" w:lineRule="auto"/>
        <w:jc w:val="center"/>
        <w:rPr>
          <w:rFonts w:ascii="Times New Roman" w:hAnsi="Times New Roman" w:cs="Times New Roman"/>
          <w:sz w:val="20"/>
          <w:szCs w:val="20"/>
          <w:lang w:eastAsia="zh-TW"/>
        </w:rPr>
      </w:pPr>
      <w:r w:rsidRPr="007477B4">
        <w:rPr>
          <w:rFonts w:ascii="Times New Roman" w:hAnsi="Times New Roman" w:cs="Times New Roman"/>
          <w:sz w:val="20"/>
          <w:szCs w:val="20"/>
          <w:lang w:eastAsia="zh-TW"/>
        </w:rPr>
        <w:t>FIG. 4</w:t>
      </w:r>
      <w:r w:rsidR="00C653E8">
        <w:rPr>
          <w:rFonts w:ascii="Times New Roman" w:hAnsi="Times New Roman" w:cs="Times New Roman" w:hint="eastAsia"/>
          <w:sz w:val="20"/>
          <w:szCs w:val="20"/>
          <w:lang w:eastAsia="zh-TW"/>
        </w:rPr>
        <w:t>.</w:t>
      </w:r>
      <w:r w:rsidRPr="007477B4">
        <w:rPr>
          <w:rFonts w:ascii="Times New Roman" w:hAnsi="Times New Roman" w:cs="Times New Roman"/>
          <w:sz w:val="20"/>
          <w:szCs w:val="20"/>
          <w:lang w:eastAsia="zh-TW"/>
        </w:rPr>
        <w:t xml:space="preserve"> Structural VAR with </w:t>
      </w:r>
      <w:r w:rsidR="00F024D0">
        <w:rPr>
          <w:rFonts w:ascii="Times New Roman" w:hAnsi="Times New Roman" w:cs="Times New Roman"/>
          <w:sz w:val="20"/>
          <w:szCs w:val="20"/>
          <w:lang w:eastAsia="zh-TW"/>
        </w:rPr>
        <w:t>S</w:t>
      </w:r>
      <w:r w:rsidRPr="007477B4">
        <w:rPr>
          <w:rFonts w:ascii="Times New Roman" w:hAnsi="Times New Roman" w:cs="Times New Roman"/>
          <w:sz w:val="20"/>
          <w:szCs w:val="20"/>
          <w:lang w:eastAsia="zh-TW"/>
        </w:rPr>
        <w:t xml:space="preserve">ign </w:t>
      </w:r>
      <w:r w:rsidR="00F024D0">
        <w:rPr>
          <w:rFonts w:ascii="Times New Roman" w:hAnsi="Times New Roman" w:cs="Times New Roman"/>
          <w:sz w:val="20"/>
          <w:szCs w:val="20"/>
          <w:lang w:eastAsia="zh-TW"/>
        </w:rPr>
        <w:t>R</w:t>
      </w:r>
      <w:r w:rsidRPr="007477B4">
        <w:rPr>
          <w:rFonts w:ascii="Times New Roman" w:hAnsi="Times New Roman" w:cs="Times New Roman"/>
          <w:sz w:val="20"/>
          <w:szCs w:val="20"/>
          <w:lang w:eastAsia="zh-TW"/>
        </w:rPr>
        <w:t>estrictions</w:t>
      </w:r>
      <w:r w:rsidRPr="007477B4">
        <w:rPr>
          <w:rFonts w:ascii="Times New Roman" w:hAnsi="Times New Roman" w:cs="Times New Roman" w:hint="eastAsia"/>
          <w:sz w:val="20"/>
          <w:szCs w:val="20"/>
          <w:lang w:eastAsia="zh-TW"/>
        </w:rPr>
        <w:t xml:space="preserve"> </w:t>
      </w:r>
      <w:r w:rsidRPr="007477B4">
        <w:rPr>
          <w:rFonts w:ascii="Times New Roman" w:hAnsi="Times New Roman" w:cs="Times New Roman"/>
          <w:sz w:val="20"/>
          <w:szCs w:val="20"/>
          <w:lang w:eastAsia="zh-TW"/>
        </w:rPr>
        <w:t xml:space="preserve">for the </w:t>
      </w:r>
      <w:r w:rsidR="00F024D0">
        <w:rPr>
          <w:rFonts w:ascii="Times New Roman" w:hAnsi="Times New Roman" w:cs="Times New Roman"/>
          <w:sz w:val="20"/>
          <w:szCs w:val="20"/>
          <w:lang w:eastAsia="zh-TW"/>
        </w:rPr>
        <w:t>S</w:t>
      </w:r>
      <w:r w:rsidRPr="007477B4">
        <w:rPr>
          <w:rFonts w:ascii="Times New Roman" w:hAnsi="Times New Roman" w:cs="Times New Roman"/>
          <w:sz w:val="20"/>
          <w:szCs w:val="20"/>
          <w:lang w:eastAsia="zh-TW"/>
        </w:rPr>
        <w:t xml:space="preserve">yndicated </w:t>
      </w:r>
      <w:r w:rsidR="00F024D0">
        <w:rPr>
          <w:rFonts w:ascii="Times New Roman" w:hAnsi="Times New Roman" w:cs="Times New Roman"/>
          <w:sz w:val="20"/>
          <w:szCs w:val="20"/>
          <w:lang w:eastAsia="zh-TW"/>
        </w:rPr>
        <w:t>L</w:t>
      </w:r>
      <w:r w:rsidRPr="007477B4">
        <w:rPr>
          <w:rFonts w:ascii="Times New Roman" w:hAnsi="Times New Roman" w:cs="Times New Roman"/>
          <w:sz w:val="20"/>
          <w:szCs w:val="20"/>
          <w:lang w:eastAsia="zh-TW"/>
        </w:rPr>
        <w:t xml:space="preserve">oan </w:t>
      </w:r>
      <w:r w:rsidR="00F024D0">
        <w:rPr>
          <w:rFonts w:ascii="Times New Roman" w:hAnsi="Times New Roman" w:cs="Times New Roman"/>
          <w:sz w:val="20"/>
          <w:szCs w:val="20"/>
          <w:lang w:eastAsia="zh-TW"/>
        </w:rPr>
        <w:t>M</w:t>
      </w:r>
      <w:r w:rsidRPr="007477B4">
        <w:rPr>
          <w:rFonts w:ascii="Times New Roman" w:hAnsi="Times New Roman" w:cs="Times New Roman"/>
          <w:sz w:val="20"/>
          <w:szCs w:val="20"/>
          <w:lang w:eastAsia="zh-TW"/>
        </w:rPr>
        <w:t>arket.</w:t>
      </w:r>
    </w:p>
    <w:p w14:paraId="7AE80DA5" w14:textId="77777777" w:rsidR="0089798D" w:rsidRPr="007477B4" w:rsidRDefault="0089798D" w:rsidP="0089798D">
      <w:pPr>
        <w:spacing w:after="0" w:line="240" w:lineRule="auto"/>
        <w:jc w:val="both"/>
        <w:rPr>
          <w:rFonts w:ascii="Times New Roman" w:hAnsi="Times New Roman" w:cs="Times New Roman"/>
          <w:sz w:val="20"/>
          <w:szCs w:val="20"/>
          <w:lang w:eastAsia="zh-TW"/>
        </w:rPr>
      </w:pPr>
      <w:r w:rsidRPr="007477B4">
        <w:rPr>
          <w:rFonts w:ascii="Times New Roman" w:hAnsi="Times New Roman" w:cs="Times New Roman"/>
          <w:sz w:val="20"/>
          <w:szCs w:val="20"/>
          <w:lang w:eastAsia="zh-TW"/>
        </w:rPr>
        <w:t>NOTES: The solid line is the median impulse responses and the dotted lines represent the 16% and 84% quantiles of the posterior distribution of the 500 draws.</w:t>
      </w:r>
    </w:p>
    <w:p w14:paraId="3360711F" w14:textId="77777777" w:rsidR="0089798D" w:rsidRDefault="0089798D" w:rsidP="0089798D">
      <w:pPr>
        <w:spacing w:after="0" w:line="240" w:lineRule="auto"/>
        <w:jc w:val="both"/>
        <w:rPr>
          <w:rFonts w:ascii="Times New Roman" w:hAnsi="Times New Roman" w:cs="Times New Roman"/>
          <w:sz w:val="24"/>
          <w:szCs w:val="24"/>
          <w:lang w:eastAsia="zh-TW"/>
        </w:rPr>
      </w:pPr>
    </w:p>
    <w:p w14:paraId="15E0879C" w14:textId="77777777" w:rsidR="0089798D" w:rsidRDefault="0089798D" w:rsidP="0089798D">
      <w:pPr>
        <w:spacing w:after="0" w:line="240" w:lineRule="auto"/>
        <w:jc w:val="both"/>
        <w:rPr>
          <w:rFonts w:ascii="Times New Roman" w:hAnsi="Times New Roman" w:cs="Times New Roman"/>
          <w:sz w:val="24"/>
          <w:szCs w:val="24"/>
          <w:lang w:eastAsia="zh-TW"/>
        </w:rPr>
        <w:sectPr w:rsidR="0089798D" w:rsidSect="00D95489">
          <w:pgSz w:w="11906" w:h="16838"/>
          <w:pgMar w:top="1440" w:right="1797" w:bottom="1440" w:left="1797" w:header="851" w:footer="992" w:gutter="0"/>
          <w:cols w:space="425"/>
          <w:docGrid w:type="lines" w:linePitch="360"/>
        </w:sectPr>
      </w:pPr>
    </w:p>
    <w:p w14:paraId="61BF1AE0" w14:textId="77777777" w:rsidR="0089798D" w:rsidRPr="00C43147" w:rsidRDefault="0089798D" w:rsidP="0089798D">
      <w:pPr>
        <w:spacing w:after="0" w:line="240" w:lineRule="auto"/>
        <w:jc w:val="both"/>
        <w:rPr>
          <w:rFonts w:ascii="Times New Roman" w:hAnsi="Times New Roman" w:cs="Times New Roman"/>
          <w:sz w:val="24"/>
          <w:szCs w:val="24"/>
          <w:lang w:eastAsia="zh-TW"/>
        </w:rPr>
      </w:pPr>
    </w:p>
    <w:tbl>
      <w:tblPr>
        <w:tblStyle w:val="af4"/>
        <w:tblW w:w="8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4"/>
        <w:gridCol w:w="2855"/>
        <w:gridCol w:w="2814"/>
      </w:tblGrid>
      <w:tr w:rsidR="0089798D" w:rsidRPr="00E03F60" w14:paraId="1C8F7BF2" w14:textId="77777777" w:rsidTr="00D22242">
        <w:tc>
          <w:tcPr>
            <w:tcW w:w="8343" w:type="dxa"/>
            <w:gridSpan w:val="3"/>
          </w:tcPr>
          <w:p w14:paraId="7B76EDD8" w14:textId="77777777" w:rsidR="0089798D" w:rsidRPr="00074FB3" w:rsidRDefault="0089798D" w:rsidP="00D95489">
            <w:pPr>
              <w:jc w:val="both"/>
              <w:rPr>
                <w:rFonts w:ascii="Times New Roman" w:eastAsia="新細明體" w:hAnsi="Times New Roman" w:cs="Times New Roman"/>
                <w:szCs w:val="24"/>
              </w:rPr>
            </w:pPr>
            <w:r>
              <w:rPr>
                <w:rFonts w:ascii="Times New Roman" w:eastAsia="新細明體" w:hAnsi="Times New Roman" w:cs="Times New Roman" w:hint="eastAsia"/>
                <w:szCs w:val="24"/>
              </w:rPr>
              <w:t>P</w:t>
            </w:r>
            <w:r>
              <w:rPr>
                <w:rFonts w:ascii="Times New Roman" w:eastAsia="新細明體" w:hAnsi="Times New Roman" w:cs="Times New Roman"/>
                <w:szCs w:val="24"/>
              </w:rPr>
              <w:t>anel A: Impulse responses to a positive uncertainty shock</w:t>
            </w:r>
          </w:p>
        </w:tc>
      </w:tr>
      <w:tr w:rsidR="0089798D" w14:paraId="0FEB2A28" w14:textId="77777777" w:rsidTr="00D22242">
        <w:tblPrEx>
          <w:tblCellMar>
            <w:left w:w="28" w:type="dxa"/>
            <w:right w:w="28" w:type="dxa"/>
          </w:tblCellMar>
        </w:tblPrEx>
        <w:tc>
          <w:tcPr>
            <w:tcW w:w="2674" w:type="dxa"/>
          </w:tcPr>
          <w:p w14:paraId="4792ABC9" w14:textId="77777777" w:rsidR="0089798D" w:rsidRPr="00AB0631" w:rsidRDefault="0089798D" w:rsidP="00E90167">
            <w:pPr>
              <w:rPr>
                <w:rFonts w:ascii="Times New Roman" w:hAnsi="Times New Roman" w:cs="Times New Roman"/>
                <w:szCs w:val="24"/>
              </w:rPr>
            </w:pPr>
            <w:r>
              <w:rPr>
                <w:noProof/>
              </w:rPr>
              <w:drawing>
                <wp:inline distT="0" distB="0" distL="0" distR="0" wp14:anchorId="4613193C" wp14:editId="488317BA">
                  <wp:extent cx="1676400" cy="1371600"/>
                  <wp:effectExtent l="0" t="0" r="0" b="0"/>
                  <wp:docPr id="49" name="圖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c>
          <w:tcPr>
            <w:tcW w:w="2855" w:type="dxa"/>
          </w:tcPr>
          <w:p w14:paraId="60D512B0" w14:textId="77777777" w:rsidR="0089798D" w:rsidRDefault="0089798D" w:rsidP="00E90167">
            <w:pPr>
              <w:rPr>
                <w:rFonts w:ascii="Times New Roman" w:hAnsi="Times New Roman" w:cs="Times New Roman"/>
                <w:szCs w:val="24"/>
              </w:rPr>
            </w:pPr>
            <w:r>
              <w:rPr>
                <w:noProof/>
              </w:rPr>
              <w:drawing>
                <wp:inline distT="0" distB="0" distL="0" distR="0" wp14:anchorId="77C7DFFC" wp14:editId="49E8B91D">
                  <wp:extent cx="1758950" cy="1371600"/>
                  <wp:effectExtent l="0" t="0" r="0" b="0"/>
                  <wp:docPr id="50" name="圖表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c>
          <w:tcPr>
            <w:tcW w:w="2814" w:type="dxa"/>
          </w:tcPr>
          <w:p w14:paraId="693ACD84" w14:textId="77777777" w:rsidR="0089798D" w:rsidRDefault="0089798D" w:rsidP="00E90167">
            <w:pPr>
              <w:rPr>
                <w:rFonts w:ascii="Times New Roman" w:hAnsi="Times New Roman" w:cs="Times New Roman"/>
                <w:szCs w:val="24"/>
              </w:rPr>
            </w:pPr>
            <w:r>
              <w:rPr>
                <w:noProof/>
              </w:rPr>
              <w:drawing>
                <wp:inline distT="0" distB="0" distL="0" distR="0" wp14:anchorId="00125D0A" wp14:editId="5B87F164">
                  <wp:extent cx="1752600" cy="1371600"/>
                  <wp:effectExtent l="0" t="0" r="0" b="0"/>
                  <wp:docPr id="51" name="圖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r>
      <w:tr w:rsidR="0089798D" w14:paraId="4CB95212" w14:textId="77777777" w:rsidTr="00D22242">
        <w:tblPrEx>
          <w:tblCellMar>
            <w:left w:w="28" w:type="dxa"/>
            <w:right w:w="28" w:type="dxa"/>
          </w:tblCellMar>
        </w:tblPrEx>
        <w:tc>
          <w:tcPr>
            <w:tcW w:w="2674" w:type="dxa"/>
          </w:tcPr>
          <w:p w14:paraId="4BBCF4E8" w14:textId="77777777" w:rsidR="0089798D" w:rsidRDefault="0089798D" w:rsidP="00E90167">
            <w:pPr>
              <w:rPr>
                <w:rFonts w:ascii="Times New Roman" w:hAnsi="Times New Roman" w:cs="Times New Roman"/>
                <w:szCs w:val="24"/>
              </w:rPr>
            </w:pPr>
            <w:r>
              <w:rPr>
                <w:noProof/>
              </w:rPr>
              <w:drawing>
                <wp:inline distT="0" distB="0" distL="0" distR="0" wp14:anchorId="09448258" wp14:editId="0884CED9">
                  <wp:extent cx="1676400" cy="1454150"/>
                  <wp:effectExtent l="0" t="0" r="0" b="0"/>
                  <wp:docPr id="53" name="圖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c>
          <w:tcPr>
            <w:tcW w:w="2855" w:type="dxa"/>
          </w:tcPr>
          <w:p w14:paraId="2B0C40D9" w14:textId="77777777" w:rsidR="0089798D" w:rsidRDefault="0089798D" w:rsidP="00E90167">
            <w:pPr>
              <w:rPr>
                <w:rFonts w:ascii="Times New Roman" w:hAnsi="Times New Roman" w:cs="Times New Roman"/>
                <w:szCs w:val="24"/>
              </w:rPr>
            </w:pPr>
            <w:r>
              <w:rPr>
                <w:noProof/>
              </w:rPr>
              <w:drawing>
                <wp:inline distT="0" distB="0" distL="0" distR="0" wp14:anchorId="2249639E" wp14:editId="747F5FE3">
                  <wp:extent cx="1758950" cy="1485900"/>
                  <wp:effectExtent l="0" t="0" r="0" b="0"/>
                  <wp:docPr id="52" name="圖表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c>
          <w:tcPr>
            <w:tcW w:w="2814" w:type="dxa"/>
          </w:tcPr>
          <w:p w14:paraId="10209323" w14:textId="77777777" w:rsidR="0089798D" w:rsidRDefault="0089798D" w:rsidP="00E90167">
            <w:pPr>
              <w:rPr>
                <w:rFonts w:ascii="Times New Roman" w:hAnsi="Times New Roman" w:cs="Times New Roman"/>
                <w:szCs w:val="24"/>
              </w:rPr>
            </w:pPr>
            <w:r>
              <w:rPr>
                <w:noProof/>
              </w:rPr>
              <w:drawing>
                <wp:inline distT="0" distB="0" distL="0" distR="0" wp14:anchorId="558E9035" wp14:editId="593F2E20">
                  <wp:extent cx="1752600" cy="1454150"/>
                  <wp:effectExtent l="0" t="0" r="0" b="0"/>
                  <wp:docPr id="54" name="圖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r>
      <w:tr w:rsidR="0089798D" w14:paraId="7EA275BB" w14:textId="77777777" w:rsidTr="00D22242">
        <w:tblPrEx>
          <w:tblCellMar>
            <w:left w:w="28" w:type="dxa"/>
            <w:right w:w="28" w:type="dxa"/>
          </w:tblCellMar>
        </w:tblPrEx>
        <w:tc>
          <w:tcPr>
            <w:tcW w:w="8343" w:type="dxa"/>
            <w:gridSpan w:val="3"/>
          </w:tcPr>
          <w:p w14:paraId="7C8E6AC1" w14:textId="77777777" w:rsidR="0089798D" w:rsidRDefault="0089798D" w:rsidP="00E90167">
            <w:pPr>
              <w:spacing w:beforeLines="50" w:before="120"/>
              <w:rPr>
                <w:noProof/>
              </w:rPr>
            </w:pPr>
            <w:r>
              <w:rPr>
                <w:rFonts w:ascii="Times New Roman" w:eastAsia="新細明體" w:hAnsi="Times New Roman" w:cs="Times New Roman" w:hint="eastAsia"/>
                <w:szCs w:val="24"/>
              </w:rPr>
              <w:t>P</w:t>
            </w:r>
            <w:r w:rsidR="004D48AE">
              <w:rPr>
                <w:rFonts w:ascii="Times New Roman" w:eastAsia="新細明體" w:hAnsi="Times New Roman" w:cs="Times New Roman"/>
                <w:szCs w:val="24"/>
              </w:rPr>
              <w:t>anel B: Impulse responses to a</w:t>
            </w:r>
            <w:r>
              <w:rPr>
                <w:rFonts w:ascii="Times New Roman" w:eastAsia="新細明體" w:hAnsi="Times New Roman" w:cs="Times New Roman"/>
                <w:szCs w:val="24"/>
              </w:rPr>
              <w:t xml:space="preserve"> </w:t>
            </w:r>
            <w:r w:rsidR="004D48AE">
              <w:rPr>
                <w:rFonts w:ascii="Times New Roman" w:eastAsia="新細明體" w:hAnsi="Times New Roman" w:cs="Times New Roman"/>
                <w:szCs w:val="24"/>
              </w:rPr>
              <w:t>contractiona</w:t>
            </w:r>
            <w:r>
              <w:rPr>
                <w:rFonts w:ascii="Times New Roman" w:eastAsia="新細明體" w:hAnsi="Times New Roman" w:cs="Times New Roman"/>
                <w:szCs w:val="24"/>
              </w:rPr>
              <w:t>ry monetary policy shock</w:t>
            </w:r>
          </w:p>
        </w:tc>
      </w:tr>
      <w:tr w:rsidR="0089798D" w:rsidRPr="00840F1F" w14:paraId="6D0549A7" w14:textId="77777777" w:rsidTr="00D22242">
        <w:tblPrEx>
          <w:tblCellMar>
            <w:left w:w="28" w:type="dxa"/>
            <w:right w:w="28" w:type="dxa"/>
          </w:tblCellMar>
        </w:tblPrEx>
        <w:tc>
          <w:tcPr>
            <w:tcW w:w="2674" w:type="dxa"/>
          </w:tcPr>
          <w:p w14:paraId="398B7E72" w14:textId="77777777" w:rsidR="0089798D" w:rsidRDefault="0089798D" w:rsidP="00E90167">
            <w:pPr>
              <w:rPr>
                <w:noProof/>
              </w:rPr>
            </w:pPr>
            <w:r>
              <w:rPr>
                <w:noProof/>
              </w:rPr>
              <w:drawing>
                <wp:inline distT="0" distB="0" distL="0" distR="0" wp14:anchorId="67D9588A" wp14:editId="69B9B8A5">
                  <wp:extent cx="1676400" cy="1460500"/>
                  <wp:effectExtent l="0" t="0" r="0" b="6350"/>
                  <wp:docPr id="55" name="圖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c>
          <w:tcPr>
            <w:tcW w:w="2855" w:type="dxa"/>
          </w:tcPr>
          <w:p w14:paraId="377EAA77" w14:textId="77777777" w:rsidR="0089798D" w:rsidRDefault="0089798D" w:rsidP="00E90167">
            <w:pPr>
              <w:rPr>
                <w:noProof/>
              </w:rPr>
            </w:pPr>
            <w:r>
              <w:rPr>
                <w:noProof/>
              </w:rPr>
              <w:drawing>
                <wp:inline distT="0" distB="0" distL="0" distR="0" wp14:anchorId="1C131693" wp14:editId="2355C505">
                  <wp:extent cx="1758950" cy="1460500"/>
                  <wp:effectExtent l="0" t="0" r="0" b="6350"/>
                  <wp:docPr id="56" name="圖表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c>
          <w:tcPr>
            <w:tcW w:w="2814" w:type="dxa"/>
          </w:tcPr>
          <w:p w14:paraId="115E62E9" w14:textId="77777777" w:rsidR="0089798D" w:rsidRDefault="0089798D" w:rsidP="00E90167">
            <w:pPr>
              <w:rPr>
                <w:noProof/>
              </w:rPr>
            </w:pPr>
            <w:r>
              <w:rPr>
                <w:noProof/>
              </w:rPr>
              <w:drawing>
                <wp:inline distT="0" distB="0" distL="0" distR="0" wp14:anchorId="2C740C76" wp14:editId="7B0ED4D1">
                  <wp:extent cx="1752600" cy="1422400"/>
                  <wp:effectExtent l="0" t="0" r="0" b="6350"/>
                  <wp:docPr id="57" name="圖表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r w:rsidR="0089798D" w:rsidRPr="00840F1F" w14:paraId="45935539" w14:textId="77777777" w:rsidTr="00D22242">
        <w:tblPrEx>
          <w:tblCellMar>
            <w:left w:w="28" w:type="dxa"/>
            <w:right w:w="28" w:type="dxa"/>
          </w:tblCellMar>
        </w:tblPrEx>
        <w:tc>
          <w:tcPr>
            <w:tcW w:w="2674" w:type="dxa"/>
          </w:tcPr>
          <w:p w14:paraId="7EE770AB" w14:textId="77777777" w:rsidR="0089798D" w:rsidRDefault="0089798D" w:rsidP="00E90167">
            <w:pPr>
              <w:rPr>
                <w:noProof/>
              </w:rPr>
            </w:pPr>
            <w:r>
              <w:rPr>
                <w:noProof/>
              </w:rPr>
              <w:drawing>
                <wp:inline distT="0" distB="0" distL="0" distR="0" wp14:anchorId="030760D9" wp14:editId="07038230">
                  <wp:extent cx="1676400" cy="1422400"/>
                  <wp:effectExtent l="0" t="0" r="0" b="6350"/>
                  <wp:docPr id="58" name="圖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c>
          <w:tcPr>
            <w:tcW w:w="2855" w:type="dxa"/>
          </w:tcPr>
          <w:p w14:paraId="0FDA4AA2" w14:textId="77777777" w:rsidR="0089798D" w:rsidRDefault="0089798D" w:rsidP="00E90167">
            <w:pPr>
              <w:rPr>
                <w:noProof/>
              </w:rPr>
            </w:pPr>
            <w:r>
              <w:rPr>
                <w:noProof/>
              </w:rPr>
              <w:drawing>
                <wp:inline distT="0" distB="0" distL="0" distR="0" wp14:anchorId="22276FE5" wp14:editId="5DFC6A06">
                  <wp:extent cx="1758950" cy="1422400"/>
                  <wp:effectExtent l="0" t="0" r="0" b="6350"/>
                  <wp:docPr id="59" name="圖表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c>
          <w:tcPr>
            <w:tcW w:w="2814" w:type="dxa"/>
          </w:tcPr>
          <w:p w14:paraId="446DDBBA" w14:textId="77777777" w:rsidR="0089798D" w:rsidRDefault="0089798D" w:rsidP="00E90167">
            <w:pPr>
              <w:rPr>
                <w:noProof/>
              </w:rPr>
            </w:pPr>
            <w:r>
              <w:rPr>
                <w:noProof/>
              </w:rPr>
              <w:drawing>
                <wp:inline distT="0" distB="0" distL="0" distR="0" wp14:anchorId="377C4D1C" wp14:editId="36A6F859">
                  <wp:extent cx="1752600" cy="1390650"/>
                  <wp:effectExtent l="0" t="0" r="0" b="0"/>
                  <wp:docPr id="60" name="圖表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c>
      </w:tr>
    </w:tbl>
    <w:p w14:paraId="40393FB4" w14:textId="673F53CE" w:rsidR="0089798D" w:rsidRPr="007477B4" w:rsidRDefault="0089798D" w:rsidP="007477B4">
      <w:pPr>
        <w:spacing w:beforeLines="100" w:before="240" w:afterLines="80" w:after="192" w:line="240" w:lineRule="auto"/>
        <w:jc w:val="center"/>
        <w:rPr>
          <w:rFonts w:ascii="Times New Roman" w:hAnsi="Times New Roman" w:cs="Times New Roman"/>
          <w:sz w:val="20"/>
          <w:szCs w:val="20"/>
          <w:lang w:eastAsia="zh-TW"/>
        </w:rPr>
      </w:pPr>
      <w:r w:rsidRPr="007477B4">
        <w:rPr>
          <w:rFonts w:ascii="Times New Roman" w:hAnsi="Times New Roman" w:cs="Times New Roman"/>
          <w:sz w:val="20"/>
          <w:szCs w:val="20"/>
          <w:lang w:eastAsia="zh-TW"/>
        </w:rPr>
        <w:t>FIG. 5</w:t>
      </w:r>
      <w:r w:rsidR="00C653E8">
        <w:rPr>
          <w:rFonts w:ascii="Times New Roman" w:hAnsi="Times New Roman" w:cs="Times New Roman" w:hint="eastAsia"/>
          <w:sz w:val="20"/>
          <w:szCs w:val="20"/>
          <w:lang w:eastAsia="zh-TW"/>
        </w:rPr>
        <w:t>.</w:t>
      </w:r>
      <w:r w:rsidRPr="007477B4">
        <w:rPr>
          <w:rFonts w:ascii="Times New Roman" w:hAnsi="Times New Roman" w:cs="Times New Roman"/>
          <w:sz w:val="20"/>
          <w:szCs w:val="20"/>
          <w:lang w:eastAsia="zh-TW"/>
        </w:rPr>
        <w:t xml:space="preserve"> Structural VAR with </w:t>
      </w:r>
      <w:r w:rsidR="00F024D0">
        <w:rPr>
          <w:rFonts w:ascii="Times New Roman" w:hAnsi="Times New Roman" w:cs="Times New Roman"/>
          <w:sz w:val="20"/>
          <w:szCs w:val="20"/>
          <w:lang w:eastAsia="zh-TW"/>
        </w:rPr>
        <w:t>Sign R</w:t>
      </w:r>
      <w:r w:rsidRPr="007477B4">
        <w:rPr>
          <w:rFonts w:ascii="Times New Roman" w:hAnsi="Times New Roman" w:cs="Times New Roman"/>
          <w:sz w:val="20"/>
          <w:szCs w:val="20"/>
          <w:lang w:eastAsia="zh-TW"/>
        </w:rPr>
        <w:t>estrictions</w:t>
      </w:r>
      <w:r w:rsidRPr="007477B4">
        <w:rPr>
          <w:rFonts w:ascii="Times New Roman" w:hAnsi="Times New Roman" w:cs="Times New Roman" w:hint="eastAsia"/>
          <w:sz w:val="20"/>
          <w:szCs w:val="20"/>
          <w:lang w:eastAsia="zh-TW"/>
        </w:rPr>
        <w:t xml:space="preserve"> </w:t>
      </w:r>
      <w:r w:rsidRPr="007477B4">
        <w:rPr>
          <w:rFonts w:ascii="Times New Roman" w:hAnsi="Times New Roman" w:cs="Times New Roman"/>
          <w:sz w:val="20"/>
          <w:szCs w:val="20"/>
          <w:lang w:eastAsia="zh-TW"/>
        </w:rPr>
        <w:t xml:space="preserve">for the </w:t>
      </w:r>
      <w:r w:rsidR="001F3CFC" w:rsidRPr="007477B4">
        <w:rPr>
          <w:rFonts w:ascii="Times New Roman" w:hAnsi="Times New Roman" w:cs="Times New Roman" w:hint="eastAsia"/>
          <w:sz w:val="20"/>
          <w:szCs w:val="20"/>
          <w:lang w:eastAsia="zh-TW"/>
        </w:rPr>
        <w:t>H8</w:t>
      </w:r>
      <w:r w:rsidR="001F3CFC" w:rsidRPr="007477B4">
        <w:rPr>
          <w:rFonts w:ascii="Times New Roman" w:hAnsi="Times New Roman" w:cs="Times New Roman"/>
          <w:sz w:val="20"/>
          <w:szCs w:val="20"/>
          <w:lang w:eastAsia="zh-TW"/>
        </w:rPr>
        <w:t xml:space="preserve"> </w:t>
      </w:r>
      <w:r w:rsidR="00F024D0">
        <w:rPr>
          <w:rFonts w:ascii="Times New Roman" w:hAnsi="Times New Roman" w:cs="Times New Roman"/>
          <w:color w:val="231F20"/>
          <w:sz w:val="20"/>
          <w:szCs w:val="20"/>
        </w:rPr>
        <w:t>C&amp;I L</w:t>
      </w:r>
      <w:r w:rsidR="006607BC" w:rsidRPr="007477B4">
        <w:rPr>
          <w:rFonts w:ascii="Times New Roman" w:hAnsi="Times New Roman" w:cs="Times New Roman"/>
          <w:color w:val="231F20"/>
          <w:sz w:val="20"/>
          <w:szCs w:val="20"/>
        </w:rPr>
        <w:t>oan</w:t>
      </w:r>
      <w:r w:rsidRPr="007477B4">
        <w:rPr>
          <w:rFonts w:ascii="Times New Roman" w:hAnsi="Times New Roman" w:cs="Times New Roman"/>
          <w:sz w:val="20"/>
          <w:szCs w:val="20"/>
          <w:lang w:eastAsia="zh-TW"/>
        </w:rPr>
        <w:t xml:space="preserve"> </w:t>
      </w:r>
      <w:r w:rsidR="00F024D0">
        <w:rPr>
          <w:rFonts w:ascii="Times New Roman" w:hAnsi="Times New Roman" w:cs="Times New Roman"/>
          <w:sz w:val="20"/>
          <w:szCs w:val="20"/>
          <w:lang w:eastAsia="zh-TW"/>
        </w:rPr>
        <w:t>D</w:t>
      </w:r>
      <w:r w:rsidRPr="007477B4">
        <w:rPr>
          <w:rFonts w:ascii="Times New Roman" w:hAnsi="Times New Roman" w:cs="Times New Roman"/>
          <w:sz w:val="20"/>
          <w:szCs w:val="20"/>
          <w:lang w:eastAsia="zh-TW"/>
        </w:rPr>
        <w:t>ata.</w:t>
      </w:r>
    </w:p>
    <w:p w14:paraId="16BA2786" w14:textId="1526FBC2" w:rsidR="0083300E" w:rsidRPr="00E47CD7" w:rsidRDefault="0089798D" w:rsidP="008456C7">
      <w:pPr>
        <w:spacing w:after="0" w:line="360" w:lineRule="exact"/>
        <w:jc w:val="both"/>
        <w:rPr>
          <w:rFonts w:ascii="Times New Roman" w:hAnsi="Times New Roman" w:cs="Times New Roman"/>
          <w:b/>
          <w:sz w:val="20"/>
          <w:szCs w:val="20"/>
        </w:rPr>
      </w:pPr>
      <w:r w:rsidRPr="007477B4">
        <w:rPr>
          <w:rFonts w:ascii="Times New Roman" w:hAnsi="Times New Roman" w:cs="Times New Roman"/>
          <w:sz w:val="20"/>
          <w:szCs w:val="20"/>
          <w:lang w:eastAsia="zh-TW"/>
        </w:rPr>
        <w:t>NOTES: The solid line is the median impulse responses and the dotted lines represent the 16% and 84% quantiles of the posterior distribution of the 500 draws.</w:t>
      </w:r>
    </w:p>
    <w:sectPr w:rsidR="0083300E" w:rsidRPr="00E47CD7" w:rsidSect="009C3513">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9D48C" w14:textId="77777777" w:rsidR="00C64E14" w:rsidRDefault="00C64E14" w:rsidP="004C79E2">
      <w:pPr>
        <w:spacing w:after="0" w:line="240" w:lineRule="auto"/>
      </w:pPr>
      <w:r>
        <w:separator/>
      </w:r>
    </w:p>
  </w:endnote>
  <w:endnote w:type="continuationSeparator" w:id="0">
    <w:p w14:paraId="3245AFC9" w14:textId="77777777" w:rsidR="00C64E14" w:rsidRDefault="00C64E14" w:rsidP="004C79E2">
      <w:pPr>
        <w:spacing w:after="0" w:line="240" w:lineRule="auto"/>
      </w:pPr>
      <w:r>
        <w:continuationSeparator/>
      </w:r>
    </w:p>
  </w:endnote>
  <w:endnote w:id="1">
    <w:p w14:paraId="07361C7C" w14:textId="6539554A"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There are different measures of uncertainty surrounding the economy (Jurado, Ludvigson, and Ng 2015), stock market (Bloom 2009) and economic policy uncertainty (Baker, Bloom, and Davis 2016). For the last two decades the general consensus has been that the level of uncertainty increased.</w:t>
      </w:r>
    </w:p>
  </w:endnote>
  <w:endnote w:id="2">
    <w:p w14:paraId="73312188" w14:textId="754586CC"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The work of Ritz and Walther (2015) examines the effects of funding uncertainty on commercial banks’ behavior during the 2007-9 financial crisis, covering many aspects of banking activities. These include lending volume, balance sheet, profitability, competition in retail deposits and the wider implication of the “zero lower bound” unconventional monetary policy on banks’ behavior. Our work examines the effects of economic uncertainty on bank lending over a quarter century of data and does not merely focus on the recent financial crisis.</w:t>
      </w:r>
    </w:p>
  </w:endnote>
  <w:endnote w:id="3">
    <w:p w14:paraId="43494AA9" w14:textId="4742E36F"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SLOOS together with STBL survey data have been used by many studies to identify credit supply shocks and credit demand shocks (e.g., Bassett et al. 2014, Black and Rosen 2016, Hirtle 2009, Ivashina and Scharfstein 2010, Lown and Morgan 2006).</w:t>
      </w:r>
    </w:p>
  </w:endnote>
  <w:endnote w:id="4">
    <w:p w14:paraId="7B8B481B" w14:textId="13A38DBE"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Recent evidence points to the superior predictive power of the VRP for stock market returns (</w:t>
      </w:r>
      <w:r w:rsidRPr="000D1DD2">
        <w:rPr>
          <w:rFonts w:ascii="Times New Roman" w:hAnsi="Times New Roman" w:cs="Times New Roman"/>
          <w:sz w:val="20"/>
          <w:szCs w:val="20"/>
          <w:lang w:eastAsia="zh-TW"/>
        </w:rPr>
        <w:t xml:space="preserve">Bali and Zhou 2016, Bollerslev et al. 2014, </w:t>
      </w:r>
      <w:r w:rsidRPr="000D1DD2">
        <w:rPr>
          <w:rFonts w:ascii="Times New Roman" w:hAnsi="Times New Roman" w:cs="Times New Roman"/>
          <w:sz w:val="20"/>
          <w:szCs w:val="20"/>
        </w:rPr>
        <w:t>Bollerslev, Tauchen, and Zhou 2009, Drechsler and Yaron 2011), Treasury bonds (Mueller et al. 201</w:t>
      </w:r>
      <w:r>
        <w:rPr>
          <w:rFonts w:ascii="Times New Roman" w:hAnsi="Times New Roman" w:cs="Times New Roman"/>
          <w:sz w:val="20"/>
          <w:szCs w:val="20"/>
        </w:rPr>
        <w:t>7</w:t>
      </w:r>
      <w:r w:rsidRPr="000D1DD2">
        <w:rPr>
          <w:rFonts w:ascii="Times New Roman" w:hAnsi="Times New Roman" w:cs="Times New Roman"/>
          <w:sz w:val="20"/>
          <w:szCs w:val="20"/>
        </w:rPr>
        <w:t>), credit default swaps (Cao, Yu, and Zhong 2010, Wang, Zhou, and Zhou 2013) and credit spreads (Ubukata and Watanabe 2014).</w:t>
      </w:r>
    </w:p>
  </w:endnote>
  <w:endnote w:id="5">
    <w:p w14:paraId="295A27F3" w14:textId="52FF9D3B"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t>
      </w:r>
      <w:r w:rsidRPr="000D1DD2">
        <w:rPr>
          <w:rFonts w:ascii="Times New Roman" w:hAnsi="Times New Roman" w:cs="Times New Roman"/>
          <w:sz w:val="20"/>
          <w:szCs w:val="20"/>
          <w:lang w:eastAsia="zh-TW"/>
        </w:rPr>
        <w:t>Neamtiu et al. (2014) and Ericsson and Lotfaliei (201</w:t>
      </w:r>
      <w:r>
        <w:rPr>
          <w:rFonts w:ascii="Times New Roman" w:hAnsi="Times New Roman" w:cs="Times New Roman"/>
          <w:sz w:val="20"/>
          <w:szCs w:val="20"/>
          <w:lang w:eastAsia="zh-TW"/>
        </w:rPr>
        <w:t>7</w:t>
      </w:r>
      <w:r w:rsidRPr="000D1DD2">
        <w:rPr>
          <w:rFonts w:ascii="Times New Roman" w:hAnsi="Times New Roman" w:cs="Times New Roman"/>
          <w:sz w:val="20"/>
          <w:szCs w:val="20"/>
          <w:lang w:eastAsia="zh-TW"/>
        </w:rPr>
        <w:t>) provide evidence for a negative relationship between the VRP and firms’ investment. Neamtiu et al. (2014) also demonstrate that the VRP is positively associated with cash holdings.</w:t>
      </w:r>
    </w:p>
  </w:endnote>
  <w:endnote w:id="6">
    <w:p w14:paraId="02BB5DBD" w14:textId="79392C57"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Puri, Rocholl, and Steffen (2011) and Acharya and Mora (2015) show that the US financial crisis induced a contraction in loan supply and dampened the banks’ ability to provide liquidity to businesses. Valencia (2017) examines the effect of aggregate uncertainty, including dispersion of forecasts, stock market realized volatility, bank lending standards outlook, volatility of forecast errors, and incidence of natural disasters, on the supply of credit while the evidence suggests that aggregate uncertainty significantly reduces credit supply. Peek, Rosengren, and Tootell (2003), Lown and Morgan (2006), and Bassett et al. (2014) all document a significant correlation between bank credit supply and macroeconomy. With this striking relationship, Ivashina and Scharfstein (2010) and Becker and Ivashina (2014) show that credit supply is highly pro-cyclical. Tight monetary policy may also induce a fall in the supply and demand for bank loans through the lending (Bernanke and Blinder 1988) and balance sheet channels (Bernanke and Gertler 1995).</w:t>
      </w:r>
    </w:p>
  </w:endnote>
  <w:endnote w:id="7">
    <w:p w14:paraId="6907C192" w14:textId="0F36D4AF"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Conventionally, monetary policy decisions could affect banks’ risk-taking (Rajan 2006, Borio and Zhu 2012, Buch, Eickmeier, and Prieto 2014, Dell’Ariccia, Laeven, and Suarez 2017). Specifically, a fall in the policy rate induces a reduction in returns of particularly low risk investments. In ensuring that the average return on assets is kept constant, bank managers will shift into riskier credit market segments, a strategy which increases the likelihood of financial instability. Another view relates to the institutional memory hypothesis, in which the risk-taking behavior of banks determines the fluctuations in bank loan supply and performance, especially the high correlation that is observed between problem loans and the aggregate business cycle (Berger </w:t>
      </w:r>
      <w:r w:rsidRPr="000D1DD2">
        <w:rPr>
          <w:rFonts w:ascii="Times New Roman" w:hAnsi="Times New Roman" w:cs="Times New Roman"/>
          <w:sz w:val="20"/>
          <w:szCs w:val="20"/>
          <w:lang w:val="en"/>
        </w:rPr>
        <w:t>and Udell</w:t>
      </w:r>
      <w:r w:rsidRPr="000D1DD2">
        <w:rPr>
          <w:rFonts w:ascii="Times New Roman" w:hAnsi="Times New Roman" w:cs="Times New Roman"/>
          <w:sz w:val="20"/>
          <w:szCs w:val="20"/>
        </w:rPr>
        <w:t xml:space="preserve"> 2004, Bouwman and Malmendier 2015). The hypothesis argues that bank loan officers have difficulties in recognizing potential loan problems to the extent that there is an easing of credit standards with the passing of time from the bank’s last loan “bust”. The “institutional memory” problem is aggravated by the proportion of officers who have never experienced a loan bust; it is further compounded by the atrophying skills of experienced officers as their memory of the experience from the last problem loan</w:t>
      </w:r>
      <w:r w:rsidRPr="000D1DD2">
        <w:rPr>
          <w:rFonts w:ascii="Times New Roman" w:hAnsi="Times New Roman" w:cs="Times New Roman"/>
          <w:b/>
          <w:sz w:val="20"/>
          <w:szCs w:val="20"/>
        </w:rPr>
        <w:t xml:space="preserve"> </w:t>
      </w:r>
      <w:r w:rsidRPr="000D1DD2">
        <w:rPr>
          <w:rFonts w:ascii="Times New Roman" w:hAnsi="Times New Roman" w:cs="Times New Roman"/>
          <w:sz w:val="20"/>
          <w:szCs w:val="20"/>
        </w:rPr>
        <w:t>lapses.</w:t>
      </w:r>
    </w:p>
  </w:endnote>
  <w:endnote w:id="8">
    <w:p w14:paraId="71667507" w14:textId="77777777"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t>
      </w:r>
      <w:r w:rsidRPr="000D1DD2">
        <w:rPr>
          <w:rFonts w:ascii="Times New Roman" w:eastAsiaTheme="minorEastAsia" w:hAnsi="Times New Roman" w:cs="Times New Roman"/>
          <w:color w:val="231F20"/>
          <w:sz w:val="20"/>
          <w:szCs w:val="20"/>
        </w:rPr>
        <w:t>A VAR of lag order 2 (as determined by the Akaike information criterion) is fitted to the three series and the Granger causality test is conducted to test the predictive power of each series on the others. These results are available from the authors upon request.</w:t>
      </w:r>
    </w:p>
  </w:endnote>
  <w:endnote w:id="9">
    <w:p w14:paraId="53373F25" w14:textId="2FEE5EF6"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SLOOS started in the 1960s and q</w:t>
      </w:r>
      <w:r w:rsidRPr="000D1DD2">
        <w:rPr>
          <w:rFonts w:ascii="Times New Roman" w:hAnsi="Times New Roman" w:cs="Times New Roman"/>
          <w:color w:val="231F20"/>
          <w:sz w:val="20"/>
          <w:szCs w:val="20"/>
        </w:rPr>
        <w:t>uestions about C&amp;I loans became standardized in the second quarter of 1990 (Cunningham 2006).</w:t>
      </w:r>
    </w:p>
  </w:endnote>
  <w:endnote w:id="10">
    <w:p w14:paraId="097E62E2" w14:textId="161D3D60"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According to Bassett et al. (2014) the panel of domestic respondents as of Sep 30, 2011 contained 55 banks, 34 of which had assets worth $20 billion or more. The combined assets of respondent banks totaled $7.5 trillion and accounted for 69% of the $10.9 trillion in total assets of domestically chartered institutions. Respondent banks also held between 40% and 80% of total commercial bank loans outstanding in each major category, which are queried in the survey, with most categories falling in the upper end of that range. Banks are added or replaced as needed and the mergers of very large U.S. banks in recent decades have brought about changes in the sample. The response rate of lenders is very close to 100%. Taken together, these statistics indicate that the sample of banks accurately and broadly reflects trends in credit availability and loan demand for the whole banking industry.</w:t>
      </w:r>
    </w:p>
  </w:endnote>
  <w:endnote w:id="11">
    <w:p w14:paraId="50A435EB" w14:textId="6E643AAD"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In the</w:t>
      </w:r>
      <w:r w:rsidRPr="000D1DD2">
        <w:rPr>
          <w:rFonts w:ascii="Times New Roman" w:hAnsi="Times New Roman" w:cs="Times New Roman"/>
          <w:sz w:val="20"/>
          <w:szCs w:val="20"/>
          <w:lang w:eastAsia="zh-TW"/>
        </w:rPr>
        <w:t xml:space="preserve"> regression analysis, when the dependent variable derives from STBL, the </w:t>
      </w:r>
      <w:r w:rsidRPr="000D1DD2">
        <w:rPr>
          <w:rFonts w:ascii="Times New Roman" w:hAnsi="Times New Roman" w:cs="Times New Roman"/>
          <w:i/>
          <w:sz w:val="20"/>
          <w:szCs w:val="20"/>
          <w:lang w:eastAsia="zh-TW"/>
        </w:rPr>
        <w:t>logVRP</w:t>
      </w:r>
      <w:r w:rsidRPr="000D1DD2">
        <w:rPr>
          <w:rFonts w:ascii="Times New Roman" w:hAnsi="Times New Roman" w:cs="Times New Roman"/>
          <w:sz w:val="20"/>
          <w:szCs w:val="20"/>
          <w:lang w:eastAsia="zh-TW"/>
        </w:rPr>
        <w:t xml:space="preserve"> is the value at the end of the month preceding the survey week.</w:t>
      </w:r>
    </w:p>
  </w:endnote>
  <w:endnote w:id="12">
    <w:p w14:paraId="34481CFD" w14:textId="1159C55B" w:rsidR="00C82550" w:rsidRPr="000D1DD2" w:rsidRDefault="00C82550" w:rsidP="000D1DD2">
      <w:pPr>
        <w:autoSpaceDE w:val="0"/>
        <w:autoSpaceDN w:val="0"/>
        <w:adjustRightInd w:val="0"/>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t>
      </w:r>
      <w:r w:rsidRPr="000D1DD2">
        <w:rPr>
          <w:rFonts w:ascii="Times New Roman" w:hAnsi="Times New Roman" w:cs="Times New Roman"/>
          <w:color w:val="231F20"/>
          <w:sz w:val="20"/>
          <w:szCs w:val="20"/>
        </w:rPr>
        <w:t>Referring to large and middle market firms, they are defined as firms with annual sales of $50 million or more. For small firms their annual sales amount to less than $50 million.</w:t>
      </w:r>
    </w:p>
  </w:endnote>
  <w:endnote w:id="13">
    <w:p w14:paraId="6C9B04E0" w14:textId="3EE770E3"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The control variables (i.e. six orthogonal factors) are included in the regression but not reported in Tables 3 and 4 for brevity.</w:t>
      </w:r>
    </w:p>
  </w:endnote>
  <w:endnote w:id="14">
    <w:p w14:paraId="4D8CF179" w14:textId="77777777"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Van der Veer and Hoeberichts (2016) were able to estimate the influence of a level effect – defined as a one-point non-interest tightening of credit standards – on quarterly growth rate of business lending. The precision of their estimate is made possible by the availability of bank level data which permit control for bank-specific fixed effects. This is difficult to estimate for aggregate level data.</w:t>
      </w:r>
    </w:p>
  </w:endnote>
  <w:endnote w:id="15">
    <w:p w14:paraId="733625FA" w14:textId="53C35C94"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t>
      </w:r>
      <w:r w:rsidRPr="000D1DD2">
        <w:rPr>
          <w:rFonts w:ascii="Times New Roman" w:hAnsi="Times New Roman" w:cs="Times New Roman"/>
          <w:color w:val="231F20"/>
          <w:sz w:val="20"/>
          <w:szCs w:val="20"/>
        </w:rPr>
        <w:t>The reasons include: (i) less aggressive competition from other banks or non-bank lenders, (ii) deterioration in the bank’s current or expected capital position, (iii) increase in defaults by borrowers in public debt markets, (iv) increased concerns about the effects of legislative changes, supervisory actions or changes in accounting standards, (v) worsening industry-specific problems, (vi) deterioration in the bank’s current or expected liquidity position, (vii) less favorable or more uncertain economic outlook, (viii) reduced tolerance for risk, or (ix) decreased liquidity in the secondary market for these loans.</w:t>
      </w:r>
    </w:p>
  </w:endnote>
  <w:endnote w:id="16">
    <w:p w14:paraId="33188773" w14:textId="64129D1D"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In the literature on the cyclicality of credit supply (Bernanke and Gertler 1989, Diamond and Rajan 2005) and effects of monetary policy on credit conditions (Kashyap, Stein, and Wilcox 1993), it is widely agreed that credit is pro-cyclical. However, it is empirically difficult to show that this pro-cyclical nature could be explained by banks not willing to lend (a supply shift), firms not willing to borrow (a demand shift), or both during an economic downturn or when monetary policy is contractionary.  </w:t>
      </w:r>
    </w:p>
  </w:endnote>
  <w:endnote w:id="17">
    <w:p w14:paraId="7A0F9E75" w14:textId="1C6EE38E" w:rsidR="00C82550" w:rsidRPr="000D1DD2" w:rsidRDefault="00C82550" w:rsidP="000D1DD2">
      <w:pPr>
        <w:pStyle w:val="af5"/>
        <w:spacing w:after="0" w:line="480" w:lineRule="auto"/>
        <w:jc w:val="both"/>
        <w:rPr>
          <w:rFonts w:ascii="Times New Roman" w:hAnsi="Times New Roman" w:cs="Times New Roman"/>
          <w:sz w:val="20"/>
          <w:szCs w:val="20"/>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We check both the </w:t>
      </w:r>
      <w:r w:rsidRPr="000D1DD2">
        <w:rPr>
          <w:rFonts w:ascii="Times New Roman" w:hAnsi="Times New Roman" w:cs="Times New Roman"/>
          <w:sz w:val="20"/>
          <w:szCs w:val="20"/>
          <w:lang w:eastAsia="zh-TW"/>
        </w:rPr>
        <w:t>Akaike information criterion (AIC) and the Bayesian information criterion (BIC). The former usually suggests longer lag orders. Given the large size of SVAR (six equations) and the limited sample size (104 observations before taking lags), we choose the lag orders determined by the BIC.</w:t>
      </w:r>
    </w:p>
  </w:endnote>
  <w:endnote w:id="18">
    <w:p w14:paraId="06D176CC" w14:textId="336A0303"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While there are specific questions in the survey about “demand” for credit, nonetheless the answers given to these questions may not be independent of changes in credit standards. Lenders, therefore, might observe fewer loan applications as a result of restrictive lending standards to the extent that the causal relationship between supply and demand of credit is not clear from the answers to the survey.</w:t>
      </w:r>
    </w:p>
  </w:endnote>
  <w:endnote w:id="19">
    <w:p w14:paraId="2CC72A55" w14:textId="05026847" w:rsidR="00C82550" w:rsidRPr="000D1DD2" w:rsidRDefault="00C82550" w:rsidP="000D1DD2">
      <w:pPr>
        <w:autoSpaceDE w:val="0"/>
        <w:autoSpaceDN w:val="0"/>
        <w:adjustRightInd w:val="0"/>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Generally, practitioners of SVAR methods appeal to plausible stories about which variables could or could not affect which other variables in the course of the periodicity of the data. This approach is tenuous because sometimes equally plausible stories can be told for competing causal orderings.</w:t>
      </w:r>
    </w:p>
  </w:endnote>
  <w:endnote w:id="20">
    <w:p w14:paraId="6FAFB786" w14:textId="77777777" w:rsidR="00C82550" w:rsidRPr="000D1DD2" w:rsidRDefault="00C82550" w:rsidP="000D1DD2">
      <w:pPr>
        <w:pStyle w:val="af5"/>
        <w:spacing w:after="0" w:line="480" w:lineRule="auto"/>
        <w:jc w:val="both"/>
        <w:rPr>
          <w:rFonts w:ascii="Times New Roman" w:hAnsi="Times New Roman" w:cs="Times New Roman"/>
          <w:sz w:val="20"/>
          <w:szCs w:val="20"/>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t>
      </w:r>
      <w:r w:rsidRPr="000D1DD2">
        <w:rPr>
          <w:rFonts w:ascii="Times New Roman" w:hAnsi="Times New Roman" w:cs="Times New Roman"/>
          <w:color w:val="231F20"/>
          <w:sz w:val="20"/>
          <w:szCs w:val="20"/>
        </w:rPr>
        <w:t>The SVAR estimation with Cholesky decomposition amounts to estimating the reduced form VAR, which shows that uncertainty has a statistically significant negative impact on loan quantity and positive impact on spreads. These results are available from the authors upon request.</w:t>
      </w:r>
    </w:p>
  </w:endnote>
  <w:endnote w:id="21">
    <w:p w14:paraId="2F59872C" w14:textId="2B0F8343" w:rsidR="00C82550" w:rsidRPr="009877FE" w:rsidRDefault="00C82550" w:rsidP="00572AF5">
      <w:pPr>
        <w:pStyle w:val="af5"/>
        <w:spacing w:after="0" w:line="480" w:lineRule="auto"/>
        <w:jc w:val="both"/>
        <w:rPr>
          <w:rFonts w:ascii="Times New Roman" w:hAnsi="Times New Roman" w:cs="Times New Roman"/>
          <w:lang w:eastAsia="zh-TW"/>
        </w:rPr>
      </w:pPr>
      <w:r w:rsidRPr="000D1DD2">
        <w:rPr>
          <w:rStyle w:val="af7"/>
          <w:rFonts w:ascii="Times New Roman" w:hAnsi="Times New Roman" w:cs="Times New Roman"/>
          <w:sz w:val="20"/>
          <w:szCs w:val="20"/>
        </w:rPr>
        <w:endnoteRef/>
      </w:r>
      <w:r w:rsidRPr="000D1DD2">
        <w:rPr>
          <w:rFonts w:ascii="Times New Roman" w:hAnsi="Times New Roman" w:cs="Times New Roman"/>
          <w:sz w:val="20"/>
          <w:szCs w:val="20"/>
        </w:rPr>
        <w:t xml:space="preserve"> </w:t>
      </w:r>
      <w:r w:rsidRPr="000D1DD2">
        <w:rPr>
          <w:rFonts w:ascii="Times New Roman" w:hAnsi="Times New Roman" w:cs="Times New Roman"/>
          <w:color w:val="231F20"/>
          <w:sz w:val="20"/>
          <w:szCs w:val="20"/>
          <w:lang w:eastAsia="zh-TW"/>
        </w:rPr>
        <w:t>T</w:t>
      </w:r>
      <w:r w:rsidRPr="000D1DD2">
        <w:rPr>
          <w:rFonts w:ascii="Times New Roman" w:hAnsi="Times New Roman" w:cs="Times New Roman"/>
          <w:color w:val="231F20"/>
          <w:sz w:val="20"/>
          <w:szCs w:val="20"/>
        </w:rPr>
        <w:t xml:space="preserve">he Federal Reserve Statistical Release H8 </w:t>
      </w:r>
      <w:r w:rsidRPr="000D1DD2">
        <w:rPr>
          <w:rFonts w:ascii="Times New Roman" w:hAnsi="Times New Roman" w:cs="Times New Roman"/>
          <w:color w:val="231F20"/>
          <w:sz w:val="20"/>
          <w:szCs w:val="20"/>
          <w:lang w:eastAsia="zh-TW"/>
        </w:rPr>
        <w:t>does not provide loan interest rate or loan spread information. Therefore, we use loan spread from STBL as a proxy.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6315976"/>
      <w:docPartObj>
        <w:docPartGallery w:val="Page Numbers (Bottom of Page)"/>
        <w:docPartUnique/>
      </w:docPartObj>
    </w:sdtPr>
    <w:sdtEndPr/>
    <w:sdtContent>
      <w:p w14:paraId="5F21D973" w14:textId="66EA8988" w:rsidR="00C82550" w:rsidRDefault="00C82550">
        <w:pPr>
          <w:pStyle w:val="af0"/>
          <w:jc w:val="center"/>
        </w:pPr>
        <w:r w:rsidRPr="00794974">
          <w:rPr>
            <w:rFonts w:ascii="Times New Roman" w:hAnsi="Times New Roman" w:cs="Times New Roman"/>
            <w:sz w:val="20"/>
            <w:szCs w:val="20"/>
          </w:rPr>
          <w:fldChar w:fldCharType="begin"/>
        </w:r>
        <w:r w:rsidRPr="00794974">
          <w:rPr>
            <w:rFonts w:ascii="Times New Roman" w:hAnsi="Times New Roman" w:cs="Times New Roman"/>
            <w:sz w:val="20"/>
            <w:szCs w:val="20"/>
          </w:rPr>
          <w:instrText>PAGE   \* MERGEFORMAT</w:instrText>
        </w:r>
        <w:r w:rsidRPr="00794974">
          <w:rPr>
            <w:rFonts w:ascii="Times New Roman" w:hAnsi="Times New Roman" w:cs="Times New Roman"/>
            <w:sz w:val="20"/>
            <w:szCs w:val="20"/>
          </w:rPr>
          <w:fldChar w:fldCharType="separate"/>
        </w:r>
        <w:r w:rsidRPr="00565151">
          <w:rPr>
            <w:rFonts w:ascii="Times New Roman" w:hAnsi="Times New Roman" w:cs="Times New Roman"/>
            <w:noProof/>
            <w:sz w:val="20"/>
            <w:szCs w:val="20"/>
            <w:lang w:val="zh-TW" w:eastAsia="zh-TW"/>
          </w:rPr>
          <w:t>2</w:t>
        </w:r>
        <w:r w:rsidRPr="00794974">
          <w:rPr>
            <w:rFonts w:ascii="Times New Roman" w:hAnsi="Times New Roman" w:cs="Times New Roman"/>
            <w:sz w:val="20"/>
            <w:szCs w:val="20"/>
          </w:rPr>
          <w:fldChar w:fldCharType="end"/>
        </w:r>
      </w:p>
    </w:sdtContent>
  </w:sdt>
  <w:p w14:paraId="30A00824" w14:textId="77777777" w:rsidR="00C82550" w:rsidRDefault="00C82550">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12991"/>
      <w:docPartObj>
        <w:docPartGallery w:val="Page Numbers (Bottom of Page)"/>
        <w:docPartUnique/>
      </w:docPartObj>
    </w:sdtPr>
    <w:sdtContent>
      <w:p w14:paraId="2786729C" w14:textId="04E26BA6" w:rsidR="000D4C80" w:rsidRDefault="000D4C80">
        <w:pPr>
          <w:pStyle w:val="af0"/>
          <w:jc w:val="center"/>
        </w:pPr>
        <w:r w:rsidRPr="000D4C80">
          <w:rPr>
            <w:rFonts w:ascii="Times New Roman" w:hAnsi="Times New Roman" w:cs="Times New Roman"/>
            <w:sz w:val="20"/>
            <w:szCs w:val="20"/>
          </w:rPr>
          <w:fldChar w:fldCharType="begin"/>
        </w:r>
        <w:r w:rsidRPr="000D4C80">
          <w:rPr>
            <w:rFonts w:ascii="Times New Roman" w:hAnsi="Times New Roman" w:cs="Times New Roman"/>
            <w:sz w:val="20"/>
            <w:szCs w:val="20"/>
          </w:rPr>
          <w:instrText>PAGE   \* MERGEFORMAT</w:instrText>
        </w:r>
        <w:r w:rsidRPr="000D4C80">
          <w:rPr>
            <w:rFonts w:ascii="Times New Roman" w:hAnsi="Times New Roman" w:cs="Times New Roman"/>
            <w:sz w:val="20"/>
            <w:szCs w:val="20"/>
          </w:rPr>
          <w:fldChar w:fldCharType="separate"/>
        </w:r>
        <w:r w:rsidRPr="000D4C80">
          <w:rPr>
            <w:rFonts w:ascii="Times New Roman" w:hAnsi="Times New Roman" w:cs="Times New Roman"/>
            <w:noProof/>
            <w:sz w:val="20"/>
            <w:szCs w:val="20"/>
            <w:lang w:val="zh-TW" w:eastAsia="zh-TW"/>
          </w:rPr>
          <w:t>18</w:t>
        </w:r>
        <w:r w:rsidRPr="000D4C80">
          <w:rPr>
            <w:rFonts w:ascii="Times New Roman" w:hAnsi="Times New Roman" w:cs="Times New Roman"/>
            <w:sz w:val="20"/>
            <w:szCs w:val="20"/>
          </w:rPr>
          <w:fldChar w:fldCharType="end"/>
        </w:r>
      </w:p>
    </w:sdtContent>
  </w:sdt>
  <w:p w14:paraId="081DF674" w14:textId="77777777" w:rsidR="00C82550" w:rsidRDefault="00C8255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8EB3D" w14:textId="77777777" w:rsidR="00C64E14" w:rsidRDefault="00C64E14" w:rsidP="004C79E2">
      <w:pPr>
        <w:spacing w:after="0" w:line="240" w:lineRule="auto"/>
      </w:pPr>
      <w:r>
        <w:separator/>
      </w:r>
    </w:p>
  </w:footnote>
  <w:footnote w:type="continuationSeparator" w:id="0">
    <w:p w14:paraId="0FF4D174" w14:textId="77777777" w:rsidR="00C64E14" w:rsidRDefault="00C64E14" w:rsidP="004C79E2">
      <w:pPr>
        <w:spacing w:after="0" w:line="240" w:lineRule="auto"/>
      </w:pPr>
      <w:r>
        <w:continuationSeparator/>
      </w:r>
    </w:p>
  </w:footnote>
  <w:footnote w:id="1">
    <w:p w14:paraId="29ECFA41" w14:textId="77DAB6A1" w:rsidR="00C82550" w:rsidRDefault="00C82550" w:rsidP="00565151">
      <w:pPr>
        <w:pStyle w:val="a3"/>
        <w:spacing w:line="480" w:lineRule="auto"/>
        <w:jc w:val="both"/>
        <w:rPr>
          <w:lang w:eastAsia="zh-TW"/>
        </w:rPr>
      </w:pPr>
      <w:r w:rsidRPr="0047700E">
        <w:rPr>
          <w:rStyle w:val="a5"/>
          <w:rFonts w:ascii="Times New Roman" w:hAnsi="Times New Roman" w:cs="Times New Roman"/>
        </w:rPr>
        <w:footnoteRef/>
      </w:r>
      <w:r w:rsidRPr="0047700E">
        <w:rPr>
          <w:rFonts w:ascii="Times New Roman" w:hAnsi="Times New Roman" w:cs="Times New Roman"/>
        </w:rPr>
        <w:t xml:space="preserve"> </w:t>
      </w:r>
      <w:r>
        <w:rPr>
          <w:rFonts w:ascii="Times New Roman" w:hAnsi="Times New Roman" w:cs="Times New Roman"/>
        </w:rPr>
        <w:t xml:space="preserve">Wei-Shao Wu, corresponding author, is an associate professor at </w:t>
      </w:r>
      <w:r w:rsidRPr="00454BB2">
        <w:rPr>
          <w:rFonts w:ascii="Times New Roman" w:hAnsi="Times New Roman" w:cs="Times New Roman"/>
        </w:rPr>
        <w:t>School of Management and Economics</w:t>
      </w:r>
      <w:r w:rsidRPr="0047700E">
        <w:rPr>
          <w:rFonts w:ascii="Times New Roman" w:hAnsi="Times New Roman" w:cs="Times New Roman"/>
        </w:rPr>
        <w:t xml:space="preserve">, </w:t>
      </w:r>
      <w:r w:rsidRPr="00454BB2">
        <w:rPr>
          <w:rFonts w:ascii="Times New Roman" w:hAnsi="Times New Roman" w:cs="Times New Roman"/>
        </w:rPr>
        <w:t>University of Electronic Science and Technology of China</w:t>
      </w:r>
      <w:r>
        <w:rPr>
          <w:rFonts w:ascii="Times New Roman" w:hAnsi="Times New Roman" w:cs="Times New Roman"/>
        </w:rPr>
        <w:t xml:space="preserve"> (E</w:t>
      </w:r>
      <w:r w:rsidRPr="0047700E">
        <w:rPr>
          <w:rFonts w:ascii="Times New Roman" w:hAnsi="Times New Roman" w:cs="Times New Roman"/>
        </w:rPr>
        <w:t xml:space="preserve">-mail: </w:t>
      </w:r>
      <w:hyperlink r:id="rId1" w:history="1">
        <w:r w:rsidRPr="0047700E">
          <w:rPr>
            <w:rStyle w:val="af3"/>
            <w:rFonts w:ascii="Times New Roman" w:hAnsi="Times New Roman" w:cs="Times New Roman"/>
          </w:rPr>
          <w:t>devin4098@gmail.com</w:t>
        </w:r>
      </w:hyperlink>
      <w:hyperlink r:id="rId2" w:history="1"/>
      <w:r>
        <w:rPr>
          <w:rFonts w:ascii="Times New Roman" w:hAnsi="Times New Roman" w:cs="Times New Roman"/>
        </w:rPr>
        <w:t>).</w:t>
      </w:r>
    </w:p>
  </w:footnote>
  <w:footnote w:id="2">
    <w:p w14:paraId="03495C6B" w14:textId="60DDF9F4" w:rsidR="00C82550" w:rsidRPr="003B1964" w:rsidRDefault="00C82550" w:rsidP="00565151">
      <w:pPr>
        <w:pStyle w:val="a3"/>
        <w:spacing w:line="480" w:lineRule="auto"/>
        <w:jc w:val="both"/>
        <w:rPr>
          <w:rFonts w:ascii="Times New Roman" w:hAnsi="Times New Roman" w:cs="Times New Roman"/>
        </w:rPr>
      </w:pPr>
      <w:r w:rsidRPr="003B1964">
        <w:rPr>
          <w:rStyle w:val="a5"/>
          <w:rFonts w:ascii="Times New Roman" w:hAnsi="Times New Roman" w:cs="Times New Roman"/>
        </w:rPr>
        <w:footnoteRef/>
      </w:r>
      <w:r w:rsidRPr="003B1964">
        <w:rPr>
          <w:rFonts w:ascii="Times New Roman" w:hAnsi="Times New Roman" w:cs="Times New Roman"/>
        </w:rPr>
        <w:t xml:space="preserve"> Sandy Suardi is a professor at School of Accounting, Economics and Finance, University of Wollongong (E-mail: </w:t>
      </w:r>
      <w:hyperlink r:id="rId3" w:history="1">
        <w:r w:rsidRPr="003B1964">
          <w:rPr>
            <w:rStyle w:val="af3"/>
            <w:rFonts w:ascii="Times New Roman" w:hAnsi="Times New Roman" w:cs="Times New Roman"/>
          </w:rPr>
          <w:t>ssuardi@uow.edu.au</w:t>
        </w:r>
      </w:hyperlink>
      <w:hyperlink r:id="rId4" w:history="1"/>
      <w:r w:rsidRPr="003B1964">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26C13"/>
    <w:multiLevelType w:val="hybridMultilevel"/>
    <w:tmpl w:val="BE7412D2"/>
    <w:lvl w:ilvl="0" w:tplc="84E235C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5AE20E8"/>
    <w:multiLevelType w:val="multilevel"/>
    <w:tmpl w:val="0880553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CD04325"/>
    <w:multiLevelType w:val="hybridMultilevel"/>
    <w:tmpl w:val="5CDE21D4"/>
    <w:lvl w:ilvl="0" w:tplc="216EDBB2">
      <w:start w:val="1"/>
      <w:numFmt w:val="bullet"/>
      <w:lvlText w:val="•"/>
      <w:lvlJc w:val="left"/>
      <w:pPr>
        <w:tabs>
          <w:tab w:val="num" w:pos="720"/>
        </w:tabs>
        <w:ind w:left="720" w:hanging="360"/>
      </w:pPr>
      <w:rPr>
        <w:rFonts w:ascii="Arial" w:hAnsi="Arial" w:hint="default"/>
      </w:rPr>
    </w:lvl>
    <w:lvl w:ilvl="1" w:tplc="E8545E38" w:tentative="1">
      <w:start w:val="1"/>
      <w:numFmt w:val="bullet"/>
      <w:lvlText w:val="•"/>
      <w:lvlJc w:val="left"/>
      <w:pPr>
        <w:tabs>
          <w:tab w:val="num" w:pos="1440"/>
        </w:tabs>
        <w:ind w:left="1440" w:hanging="360"/>
      </w:pPr>
      <w:rPr>
        <w:rFonts w:ascii="Arial" w:hAnsi="Arial" w:hint="default"/>
      </w:rPr>
    </w:lvl>
    <w:lvl w:ilvl="2" w:tplc="0D5A948C">
      <w:start w:val="1"/>
      <w:numFmt w:val="bullet"/>
      <w:lvlText w:val="•"/>
      <w:lvlJc w:val="left"/>
      <w:pPr>
        <w:tabs>
          <w:tab w:val="num" w:pos="2160"/>
        </w:tabs>
        <w:ind w:left="2160" w:hanging="360"/>
      </w:pPr>
      <w:rPr>
        <w:rFonts w:ascii="Arial" w:hAnsi="Arial" w:hint="default"/>
      </w:rPr>
    </w:lvl>
    <w:lvl w:ilvl="3" w:tplc="2E5CFAF2" w:tentative="1">
      <w:start w:val="1"/>
      <w:numFmt w:val="bullet"/>
      <w:lvlText w:val="•"/>
      <w:lvlJc w:val="left"/>
      <w:pPr>
        <w:tabs>
          <w:tab w:val="num" w:pos="2880"/>
        </w:tabs>
        <w:ind w:left="2880" w:hanging="360"/>
      </w:pPr>
      <w:rPr>
        <w:rFonts w:ascii="Arial" w:hAnsi="Arial" w:hint="default"/>
      </w:rPr>
    </w:lvl>
    <w:lvl w:ilvl="4" w:tplc="CBA06F8E" w:tentative="1">
      <w:start w:val="1"/>
      <w:numFmt w:val="bullet"/>
      <w:lvlText w:val="•"/>
      <w:lvlJc w:val="left"/>
      <w:pPr>
        <w:tabs>
          <w:tab w:val="num" w:pos="3600"/>
        </w:tabs>
        <w:ind w:left="3600" w:hanging="360"/>
      </w:pPr>
      <w:rPr>
        <w:rFonts w:ascii="Arial" w:hAnsi="Arial" w:hint="default"/>
      </w:rPr>
    </w:lvl>
    <w:lvl w:ilvl="5" w:tplc="FC526694" w:tentative="1">
      <w:start w:val="1"/>
      <w:numFmt w:val="bullet"/>
      <w:lvlText w:val="•"/>
      <w:lvlJc w:val="left"/>
      <w:pPr>
        <w:tabs>
          <w:tab w:val="num" w:pos="4320"/>
        </w:tabs>
        <w:ind w:left="4320" w:hanging="360"/>
      </w:pPr>
      <w:rPr>
        <w:rFonts w:ascii="Arial" w:hAnsi="Arial" w:hint="default"/>
      </w:rPr>
    </w:lvl>
    <w:lvl w:ilvl="6" w:tplc="D2D2717A" w:tentative="1">
      <w:start w:val="1"/>
      <w:numFmt w:val="bullet"/>
      <w:lvlText w:val="•"/>
      <w:lvlJc w:val="left"/>
      <w:pPr>
        <w:tabs>
          <w:tab w:val="num" w:pos="5040"/>
        </w:tabs>
        <w:ind w:left="5040" w:hanging="360"/>
      </w:pPr>
      <w:rPr>
        <w:rFonts w:ascii="Arial" w:hAnsi="Arial" w:hint="default"/>
      </w:rPr>
    </w:lvl>
    <w:lvl w:ilvl="7" w:tplc="EE26E92C" w:tentative="1">
      <w:start w:val="1"/>
      <w:numFmt w:val="bullet"/>
      <w:lvlText w:val="•"/>
      <w:lvlJc w:val="left"/>
      <w:pPr>
        <w:tabs>
          <w:tab w:val="num" w:pos="5760"/>
        </w:tabs>
        <w:ind w:left="5760" w:hanging="360"/>
      </w:pPr>
      <w:rPr>
        <w:rFonts w:ascii="Arial" w:hAnsi="Arial" w:hint="default"/>
      </w:rPr>
    </w:lvl>
    <w:lvl w:ilvl="8" w:tplc="FF40CF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D937B1"/>
    <w:multiLevelType w:val="hybridMultilevel"/>
    <w:tmpl w:val="1244FD9C"/>
    <w:lvl w:ilvl="0" w:tplc="EE7CC56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F67396"/>
    <w:multiLevelType w:val="hybridMultilevel"/>
    <w:tmpl w:val="4956B81A"/>
    <w:lvl w:ilvl="0" w:tplc="832CC0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6A779F8"/>
    <w:multiLevelType w:val="hybridMultilevel"/>
    <w:tmpl w:val="09A07B3A"/>
    <w:lvl w:ilvl="0" w:tplc="9856A78A">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52A4AAF"/>
    <w:multiLevelType w:val="hybridMultilevel"/>
    <w:tmpl w:val="C346CE98"/>
    <w:lvl w:ilvl="0" w:tplc="34ECB4E6">
      <w:start w:val="1"/>
      <w:numFmt w:val="bullet"/>
      <w:lvlText w:val="–"/>
      <w:lvlJc w:val="left"/>
      <w:pPr>
        <w:tabs>
          <w:tab w:val="num" w:pos="720"/>
        </w:tabs>
        <w:ind w:left="720" w:hanging="360"/>
      </w:pPr>
      <w:rPr>
        <w:rFonts w:ascii="Arial" w:hAnsi="Arial" w:hint="default"/>
      </w:rPr>
    </w:lvl>
    <w:lvl w:ilvl="1" w:tplc="71E85954">
      <w:start w:val="1"/>
      <w:numFmt w:val="bullet"/>
      <w:lvlText w:val="–"/>
      <w:lvlJc w:val="left"/>
      <w:pPr>
        <w:tabs>
          <w:tab w:val="num" w:pos="1440"/>
        </w:tabs>
        <w:ind w:left="1440" w:hanging="360"/>
      </w:pPr>
      <w:rPr>
        <w:rFonts w:ascii="Arial" w:hAnsi="Arial" w:hint="default"/>
      </w:rPr>
    </w:lvl>
    <w:lvl w:ilvl="2" w:tplc="7876EBC4" w:tentative="1">
      <w:start w:val="1"/>
      <w:numFmt w:val="bullet"/>
      <w:lvlText w:val="–"/>
      <w:lvlJc w:val="left"/>
      <w:pPr>
        <w:tabs>
          <w:tab w:val="num" w:pos="2160"/>
        </w:tabs>
        <w:ind w:left="2160" w:hanging="360"/>
      </w:pPr>
      <w:rPr>
        <w:rFonts w:ascii="Arial" w:hAnsi="Arial" w:hint="default"/>
      </w:rPr>
    </w:lvl>
    <w:lvl w:ilvl="3" w:tplc="5A723704" w:tentative="1">
      <w:start w:val="1"/>
      <w:numFmt w:val="bullet"/>
      <w:lvlText w:val="–"/>
      <w:lvlJc w:val="left"/>
      <w:pPr>
        <w:tabs>
          <w:tab w:val="num" w:pos="2880"/>
        </w:tabs>
        <w:ind w:left="2880" w:hanging="360"/>
      </w:pPr>
      <w:rPr>
        <w:rFonts w:ascii="Arial" w:hAnsi="Arial" w:hint="default"/>
      </w:rPr>
    </w:lvl>
    <w:lvl w:ilvl="4" w:tplc="06843A82" w:tentative="1">
      <w:start w:val="1"/>
      <w:numFmt w:val="bullet"/>
      <w:lvlText w:val="–"/>
      <w:lvlJc w:val="left"/>
      <w:pPr>
        <w:tabs>
          <w:tab w:val="num" w:pos="3600"/>
        </w:tabs>
        <w:ind w:left="3600" w:hanging="360"/>
      </w:pPr>
      <w:rPr>
        <w:rFonts w:ascii="Arial" w:hAnsi="Arial" w:hint="default"/>
      </w:rPr>
    </w:lvl>
    <w:lvl w:ilvl="5" w:tplc="1B7243E2" w:tentative="1">
      <w:start w:val="1"/>
      <w:numFmt w:val="bullet"/>
      <w:lvlText w:val="–"/>
      <w:lvlJc w:val="left"/>
      <w:pPr>
        <w:tabs>
          <w:tab w:val="num" w:pos="4320"/>
        </w:tabs>
        <w:ind w:left="4320" w:hanging="360"/>
      </w:pPr>
      <w:rPr>
        <w:rFonts w:ascii="Arial" w:hAnsi="Arial" w:hint="default"/>
      </w:rPr>
    </w:lvl>
    <w:lvl w:ilvl="6" w:tplc="AFEED706" w:tentative="1">
      <w:start w:val="1"/>
      <w:numFmt w:val="bullet"/>
      <w:lvlText w:val="–"/>
      <w:lvlJc w:val="left"/>
      <w:pPr>
        <w:tabs>
          <w:tab w:val="num" w:pos="5040"/>
        </w:tabs>
        <w:ind w:left="5040" w:hanging="360"/>
      </w:pPr>
      <w:rPr>
        <w:rFonts w:ascii="Arial" w:hAnsi="Arial" w:hint="default"/>
      </w:rPr>
    </w:lvl>
    <w:lvl w:ilvl="7" w:tplc="9A983118" w:tentative="1">
      <w:start w:val="1"/>
      <w:numFmt w:val="bullet"/>
      <w:lvlText w:val="–"/>
      <w:lvlJc w:val="left"/>
      <w:pPr>
        <w:tabs>
          <w:tab w:val="num" w:pos="5760"/>
        </w:tabs>
        <w:ind w:left="5760" w:hanging="360"/>
      </w:pPr>
      <w:rPr>
        <w:rFonts w:ascii="Arial" w:hAnsi="Arial" w:hint="default"/>
      </w:rPr>
    </w:lvl>
    <w:lvl w:ilvl="8" w:tplc="C48E14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AD0661"/>
    <w:multiLevelType w:val="hybridMultilevel"/>
    <w:tmpl w:val="AA7E46BA"/>
    <w:lvl w:ilvl="0" w:tplc="97C877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7BA70D9"/>
    <w:multiLevelType w:val="hybridMultilevel"/>
    <w:tmpl w:val="08200484"/>
    <w:lvl w:ilvl="0" w:tplc="B840E63C">
      <w:start w:val="1"/>
      <w:numFmt w:val="bullet"/>
      <w:lvlText w:val="–"/>
      <w:lvlJc w:val="left"/>
      <w:pPr>
        <w:tabs>
          <w:tab w:val="num" w:pos="720"/>
        </w:tabs>
        <w:ind w:left="720" w:hanging="360"/>
      </w:pPr>
      <w:rPr>
        <w:rFonts w:ascii="Arial" w:hAnsi="Arial" w:hint="default"/>
      </w:rPr>
    </w:lvl>
    <w:lvl w:ilvl="1" w:tplc="0B924856">
      <w:start w:val="1"/>
      <w:numFmt w:val="bullet"/>
      <w:lvlText w:val="–"/>
      <w:lvlJc w:val="left"/>
      <w:pPr>
        <w:tabs>
          <w:tab w:val="num" w:pos="1440"/>
        </w:tabs>
        <w:ind w:left="1440" w:hanging="360"/>
      </w:pPr>
      <w:rPr>
        <w:rFonts w:ascii="Arial" w:hAnsi="Arial" w:hint="default"/>
      </w:rPr>
    </w:lvl>
    <w:lvl w:ilvl="2" w:tplc="6F3A785E" w:tentative="1">
      <w:start w:val="1"/>
      <w:numFmt w:val="bullet"/>
      <w:lvlText w:val="–"/>
      <w:lvlJc w:val="left"/>
      <w:pPr>
        <w:tabs>
          <w:tab w:val="num" w:pos="2160"/>
        </w:tabs>
        <w:ind w:left="2160" w:hanging="360"/>
      </w:pPr>
      <w:rPr>
        <w:rFonts w:ascii="Arial" w:hAnsi="Arial" w:hint="default"/>
      </w:rPr>
    </w:lvl>
    <w:lvl w:ilvl="3" w:tplc="2304D744" w:tentative="1">
      <w:start w:val="1"/>
      <w:numFmt w:val="bullet"/>
      <w:lvlText w:val="–"/>
      <w:lvlJc w:val="left"/>
      <w:pPr>
        <w:tabs>
          <w:tab w:val="num" w:pos="2880"/>
        </w:tabs>
        <w:ind w:left="2880" w:hanging="360"/>
      </w:pPr>
      <w:rPr>
        <w:rFonts w:ascii="Arial" w:hAnsi="Arial" w:hint="default"/>
      </w:rPr>
    </w:lvl>
    <w:lvl w:ilvl="4" w:tplc="E3ACDF42" w:tentative="1">
      <w:start w:val="1"/>
      <w:numFmt w:val="bullet"/>
      <w:lvlText w:val="–"/>
      <w:lvlJc w:val="left"/>
      <w:pPr>
        <w:tabs>
          <w:tab w:val="num" w:pos="3600"/>
        </w:tabs>
        <w:ind w:left="3600" w:hanging="360"/>
      </w:pPr>
      <w:rPr>
        <w:rFonts w:ascii="Arial" w:hAnsi="Arial" w:hint="default"/>
      </w:rPr>
    </w:lvl>
    <w:lvl w:ilvl="5" w:tplc="91DC402E" w:tentative="1">
      <w:start w:val="1"/>
      <w:numFmt w:val="bullet"/>
      <w:lvlText w:val="–"/>
      <w:lvlJc w:val="left"/>
      <w:pPr>
        <w:tabs>
          <w:tab w:val="num" w:pos="4320"/>
        </w:tabs>
        <w:ind w:left="4320" w:hanging="360"/>
      </w:pPr>
      <w:rPr>
        <w:rFonts w:ascii="Arial" w:hAnsi="Arial" w:hint="default"/>
      </w:rPr>
    </w:lvl>
    <w:lvl w:ilvl="6" w:tplc="8D6867A4" w:tentative="1">
      <w:start w:val="1"/>
      <w:numFmt w:val="bullet"/>
      <w:lvlText w:val="–"/>
      <w:lvlJc w:val="left"/>
      <w:pPr>
        <w:tabs>
          <w:tab w:val="num" w:pos="5040"/>
        </w:tabs>
        <w:ind w:left="5040" w:hanging="360"/>
      </w:pPr>
      <w:rPr>
        <w:rFonts w:ascii="Arial" w:hAnsi="Arial" w:hint="default"/>
      </w:rPr>
    </w:lvl>
    <w:lvl w:ilvl="7" w:tplc="58C63978" w:tentative="1">
      <w:start w:val="1"/>
      <w:numFmt w:val="bullet"/>
      <w:lvlText w:val="–"/>
      <w:lvlJc w:val="left"/>
      <w:pPr>
        <w:tabs>
          <w:tab w:val="num" w:pos="5760"/>
        </w:tabs>
        <w:ind w:left="5760" w:hanging="360"/>
      </w:pPr>
      <w:rPr>
        <w:rFonts w:ascii="Arial" w:hAnsi="Arial" w:hint="default"/>
      </w:rPr>
    </w:lvl>
    <w:lvl w:ilvl="8" w:tplc="1FA8F8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6"/>
  </w:num>
  <w:num w:numId="4">
    <w:abstractNumId w:val="2"/>
  </w:num>
  <w:num w:numId="5">
    <w:abstractNumId w:val="5"/>
  </w:num>
  <w:num w:numId="6">
    <w:abstractNumId w:val="3"/>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fr-FR" w:vendorID="64" w:dllVersion="131078" w:nlCheck="1" w:checkStyle="0"/>
  <w:activeWritingStyle w:appName="MSWord" w:lang="zh-TW" w:vendorID="64" w:dllVersion="131077" w:nlCheck="1" w:checkStyle="1"/>
  <w:defaultTabStop w:val="720"/>
  <w:characterSpacingControl w:val="doNotCompress"/>
  <w:hdrShapeDefaults>
    <o:shapedefaults v:ext="edit" spidmax="2049"/>
  </w:hdrShapeDefaults>
  <w:footnotePr>
    <w:numFmt w:val="lowerLetter"/>
    <w:footnote w:id="-1"/>
    <w:footnote w:id="0"/>
  </w:footnotePr>
  <w:endnotePr>
    <w:pos w:val="sectEnd"/>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22F"/>
    <w:rsid w:val="00000D99"/>
    <w:rsid w:val="0000253A"/>
    <w:rsid w:val="0000267D"/>
    <w:rsid w:val="00002C0A"/>
    <w:rsid w:val="00006D30"/>
    <w:rsid w:val="00010AB4"/>
    <w:rsid w:val="0001113B"/>
    <w:rsid w:val="000116EF"/>
    <w:rsid w:val="00014499"/>
    <w:rsid w:val="00014963"/>
    <w:rsid w:val="00014DE8"/>
    <w:rsid w:val="000158C5"/>
    <w:rsid w:val="00016517"/>
    <w:rsid w:val="00016B4E"/>
    <w:rsid w:val="000201B3"/>
    <w:rsid w:val="000202EB"/>
    <w:rsid w:val="00021170"/>
    <w:rsid w:val="0002239D"/>
    <w:rsid w:val="00023FDE"/>
    <w:rsid w:val="000240F5"/>
    <w:rsid w:val="00025EA0"/>
    <w:rsid w:val="00026E35"/>
    <w:rsid w:val="0002719C"/>
    <w:rsid w:val="00027316"/>
    <w:rsid w:val="00030AA2"/>
    <w:rsid w:val="00030E06"/>
    <w:rsid w:val="00032F08"/>
    <w:rsid w:val="00035013"/>
    <w:rsid w:val="00035611"/>
    <w:rsid w:val="0003707C"/>
    <w:rsid w:val="00037331"/>
    <w:rsid w:val="000376F2"/>
    <w:rsid w:val="000379B4"/>
    <w:rsid w:val="00037E35"/>
    <w:rsid w:val="000405A4"/>
    <w:rsid w:val="00040CF6"/>
    <w:rsid w:val="00041316"/>
    <w:rsid w:val="00042659"/>
    <w:rsid w:val="00044D4B"/>
    <w:rsid w:val="00045C23"/>
    <w:rsid w:val="000470E3"/>
    <w:rsid w:val="00047C96"/>
    <w:rsid w:val="00050D58"/>
    <w:rsid w:val="00053FDF"/>
    <w:rsid w:val="0005714A"/>
    <w:rsid w:val="00057A26"/>
    <w:rsid w:val="00057BF3"/>
    <w:rsid w:val="00061F49"/>
    <w:rsid w:val="000632D9"/>
    <w:rsid w:val="0006363D"/>
    <w:rsid w:val="00066C4F"/>
    <w:rsid w:val="00066D21"/>
    <w:rsid w:val="0007022C"/>
    <w:rsid w:val="00072AB2"/>
    <w:rsid w:val="00074131"/>
    <w:rsid w:val="000758B1"/>
    <w:rsid w:val="00076756"/>
    <w:rsid w:val="000770A1"/>
    <w:rsid w:val="00080D0F"/>
    <w:rsid w:val="00081045"/>
    <w:rsid w:val="000823D0"/>
    <w:rsid w:val="00082AA0"/>
    <w:rsid w:val="00083ED4"/>
    <w:rsid w:val="00084BDC"/>
    <w:rsid w:val="00085072"/>
    <w:rsid w:val="00085AF5"/>
    <w:rsid w:val="0008623F"/>
    <w:rsid w:val="00087372"/>
    <w:rsid w:val="0008783D"/>
    <w:rsid w:val="00091DCF"/>
    <w:rsid w:val="00092633"/>
    <w:rsid w:val="0009384F"/>
    <w:rsid w:val="00093AD7"/>
    <w:rsid w:val="00094091"/>
    <w:rsid w:val="0009433B"/>
    <w:rsid w:val="00096B6C"/>
    <w:rsid w:val="0009772B"/>
    <w:rsid w:val="0009788E"/>
    <w:rsid w:val="00097A46"/>
    <w:rsid w:val="000A021C"/>
    <w:rsid w:val="000A2C7B"/>
    <w:rsid w:val="000A3916"/>
    <w:rsid w:val="000A4C84"/>
    <w:rsid w:val="000A5301"/>
    <w:rsid w:val="000A5660"/>
    <w:rsid w:val="000A6454"/>
    <w:rsid w:val="000A6506"/>
    <w:rsid w:val="000B0FD0"/>
    <w:rsid w:val="000B0FEE"/>
    <w:rsid w:val="000B1F0A"/>
    <w:rsid w:val="000B2100"/>
    <w:rsid w:val="000B26A7"/>
    <w:rsid w:val="000B2DB9"/>
    <w:rsid w:val="000B33A8"/>
    <w:rsid w:val="000B359B"/>
    <w:rsid w:val="000B40D3"/>
    <w:rsid w:val="000B5A0B"/>
    <w:rsid w:val="000B6167"/>
    <w:rsid w:val="000B61E0"/>
    <w:rsid w:val="000B631A"/>
    <w:rsid w:val="000B7145"/>
    <w:rsid w:val="000C0439"/>
    <w:rsid w:val="000C070F"/>
    <w:rsid w:val="000C0F21"/>
    <w:rsid w:val="000C13EF"/>
    <w:rsid w:val="000C22E6"/>
    <w:rsid w:val="000C3AB3"/>
    <w:rsid w:val="000C7069"/>
    <w:rsid w:val="000D0105"/>
    <w:rsid w:val="000D011C"/>
    <w:rsid w:val="000D06E3"/>
    <w:rsid w:val="000D16BF"/>
    <w:rsid w:val="000D1DD2"/>
    <w:rsid w:val="000D321F"/>
    <w:rsid w:val="000D4C80"/>
    <w:rsid w:val="000D6A47"/>
    <w:rsid w:val="000D70CB"/>
    <w:rsid w:val="000D7AEE"/>
    <w:rsid w:val="000E086D"/>
    <w:rsid w:val="000E08C5"/>
    <w:rsid w:val="000E0E3A"/>
    <w:rsid w:val="000E1C2C"/>
    <w:rsid w:val="000E419C"/>
    <w:rsid w:val="000E5345"/>
    <w:rsid w:val="000E5D48"/>
    <w:rsid w:val="000E5F7B"/>
    <w:rsid w:val="000E6224"/>
    <w:rsid w:val="000E7160"/>
    <w:rsid w:val="000E7CE8"/>
    <w:rsid w:val="000F0E8C"/>
    <w:rsid w:val="000F0F91"/>
    <w:rsid w:val="000F22DA"/>
    <w:rsid w:val="000F3756"/>
    <w:rsid w:val="000F3A5D"/>
    <w:rsid w:val="000F52B7"/>
    <w:rsid w:val="0010013E"/>
    <w:rsid w:val="00100759"/>
    <w:rsid w:val="00100ECF"/>
    <w:rsid w:val="001012A5"/>
    <w:rsid w:val="00102A3E"/>
    <w:rsid w:val="00102B57"/>
    <w:rsid w:val="00103752"/>
    <w:rsid w:val="00104271"/>
    <w:rsid w:val="0010445B"/>
    <w:rsid w:val="00105A51"/>
    <w:rsid w:val="00105CFB"/>
    <w:rsid w:val="00105F0C"/>
    <w:rsid w:val="00106729"/>
    <w:rsid w:val="0010679A"/>
    <w:rsid w:val="00106F46"/>
    <w:rsid w:val="001074D9"/>
    <w:rsid w:val="001078B2"/>
    <w:rsid w:val="00112C91"/>
    <w:rsid w:val="00113315"/>
    <w:rsid w:val="00113E73"/>
    <w:rsid w:val="00114185"/>
    <w:rsid w:val="00114506"/>
    <w:rsid w:val="00116347"/>
    <w:rsid w:val="00121B28"/>
    <w:rsid w:val="00121D59"/>
    <w:rsid w:val="00121E11"/>
    <w:rsid w:val="00122F2A"/>
    <w:rsid w:val="0012441D"/>
    <w:rsid w:val="00124963"/>
    <w:rsid w:val="0012668A"/>
    <w:rsid w:val="001268BA"/>
    <w:rsid w:val="0013021B"/>
    <w:rsid w:val="0013147F"/>
    <w:rsid w:val="001329D8"/>
    <w:rsid w:val="0013404D"/>
    <w:rsid w:val="00134A89"/>
    <w:rsid w:val="0013533B"/>
    <w:rsid w:val="00136649"/>
    <w:rsid w:val="0013731C"/>
    <w:rsid w:val="001411DD"/>
    <w:rsid w:val="001414F6"/>
    <w:rsid w:val="00141BF3"/>
    <w:rsid w:val="0014229C"/>
    <w:rsid w:val="00144781"/>
    <w:rsid w:val="00145235"/>
    <w:rsid w:val="00146346"/>
    <w:rsid w:val="00146BF0"/>
    <w:rsid w:val="00147566"/>
    <w:rsid w:val="00150AF6"/>
    <w:rsid w:val="00150E43"/>
    <w:rsid w:val="001519B1"/>
    <w:rsid w:val="001538F6"/>
    <w:rsid w:val="00155D66"/>
    <w:rsid w:val="001604E6"/>
    <w:rsid w:val="00160C75"/>
    <w:rsid w:val="00161789"/>
    <w:rsid w:val="00162FC7"/>
    <w:rsid w:val="001632DA"/>
    <w:rsid w:val="00163670"/>
    <w:rsid w:val="00166EC4"/>
    <w:rsid w:val="00166F9C"/>
    <w:rsid w:val="001704DE"/>
    <w:rsid w:val="0017115B"/>
    <w:rsid w:val="001711A7"/>
    <w:rsid w:val="001727C5"/>
    <w:rsid w:val="00173BF3"/>
    <w:rsid w:val="001750E9"/>
    <w:rsid w:val="00175955"/>
    <w:rsid w:val="0017675F"/>
    <w:rsid w:val="00183725"/>
    <w:rsid w:val="00183B3C"/>
    <w:rsid w:val="001843CA"/>
    <w:rsid w:val="001846C7"/>
    <w:rsid w:val="00184F5C"/>
    <w:rsid w:val="00185E80"/>
    <w:rsid w:val="00186DDC"/>
    <w:rsid w:val="00186F21"/>
    <w:rsid w:val="00190573"/>
    <w:rsid w:val="0019201D"/>
    <w:rsid w:val="001928F1"/>
    <w:rsid w:val="001938F4"/>
    <w:rsid w:val="0019425B"/>
    <w:rsid w:val="00195BD5"/>
    <w:rsid w:val="0019687B"/>
    <w:rsid w:val="00196A5D"/>
    <w:rsid w:val="00197255"/>
    <w:rsid w:val="0019735E"/>
    <w:rsid w:val="00197B0F"/>
    <w:rsid w:val="001A0411"/>
    <w:rsid w:val="001A1098"/>
    <w:rsid w:val="001A1387"/>
    <w:rsid w:val="001A2223"/>
    <w:rsid w:val="001A2E2D"/>
    <w:rsid w:val="001A4078"/>
    <w:rsid w:val="001A4E7D"/>
    <w:rsid w:val="001A5101"/>
    <w:rsid w:val="001A6154"/>
    <w:rsid w:val="001A71F3"/>
    <w:rsid w:val="001A79DC"/>
    <w:rsid w:val="001B0292"/>
    <w:rsid w:val="001B0468"/>
    <w:rsid w:val="001B049D"/>
    <w:rsid w:val="001B1856"/>
    <w:rsid w:val="001B1C61"/>
    <w:rsid w:val="001B4391"/>
    <w:rsid w:val="001B454B"/>
    <w:rsid w:val="001B5F0F"/>
    <w:rsid w:val="001B6602"/>
    <w:rsid w:val="001B732E"/>
    <w:rsid w:val="001B73A3"/>
    <w:rsid w:val="001B7BB9"/>
    <w:rsid w:val="001B7C44"/>
    <w:rsid w:val="001C0292"/>
    <w:rsid w:val="001C032A"/>
    <w:rsid w:val="001C0354"/>
    <w:rsid w:val="001C2072"/>
    <w:rsid w:val="001C28AE"/>
    <w:rsid w:val="001C2E44"/>
    <w:rsid w:val="001C4D39"/>
    <w:rsid w:val="001C533D"/>
    <w:rsid w:val="001C7768"/>
    <w:rsid w:val="001C7A35"/>
    <w:rsid w:val="001C7E86"/>
    <w:rsid w:val="001D3D89"/>
    <w:rsid w:val="001D448D"/>
    <w:rsid w:val="001D4897"/>
    <w:rsid w:val="001D4F85"/>
    <w:rsid w:val="001D68D3"/>
    <w:rsid w:val="001E2D8E"/>
    <w:rsid w:val="001E4057"/>
    <w:rsid w:val="001E4AF9"/>
    <w:rsid w:val="001E50EC"/>
    <w:rsid w:val="001E6F0D"/>
    <w:rsid w:val="001F0DBA"/>
    <w:rsid w:val="001F2E37"/>
    <w:rsid w:val="001F3CFC"/>
    <w:rsid w:val="001F434A"/>
    <w:rsid w:val="001F449D"/>
    <w:rsid w:val="001F5871"/>
    <w:rsid w:val="001F5D8C"/>
    <w:rsid w:val="001F702F"/>
    <w:rsid w:val="001F7F17"/>
    <w:rsid w:val="00202059"/>
    <w:rsid w:val="002020AD"/>
    <w:rsid w:val="002023EC"/>
    <w:rsid w:val="00202B69"/>
    <w:rsid w:val="0020597D"/>
    <w:rsid w:val="002114A2"/>
    <w:rsid w:val="002114DF"/>
    <w:rsid w:val="00212900"/>
    <w:rsid w:val="002136E7"/>
    <w:rsid w:val="00215E9A"/>
    <w:rsid w:val="00216F58"/>
    <w:rsid w:val="0021701A"/>
    <w:rsid w:val="0022244B"/>
    <w:rsid w:val="00222661"/>
    <w:rsid w:val="00223CAD"/>
    <w:rsid w:val="002241E0"/>
    <w:rsid w:val="002242FC"/>
    <w:rsid w:val="00225896"/>
    <w:rsid w:val="00226F6A"/>
    <w:rsid w:val="00227BD7"/>
    <w:rsid w:val="00231A43"/>
    <w:rsid w:val="00232F0E"/>
    <w:rsid w:val="0023337E"/>
    <w:rsid w:val="00233449"/>
    <w:rsid w:val="00235B42"/>
    <w:rsid w:val="00235E2F"/>
    <w:rsid w:val="00235F58"/>
    <w:rsid w:val="0023683D"/>
    <w:rsid w:val="00237A43"/>
    <w:rsid w:val="00241893"/>
    <w:rsid w:val="00242A5F"/>
    <w:rsid w:val="00243630"/>
    <w:rsid w:val="002437E4"/>
    <w:rsid w:val="00245CE8"/>
    <w:rsid w:val="00247969"/>
    <w:rsid w:val="002479FC"/>
    <w:rsid w:val="00250CC5"/>
    <w:rsid w:val="00251EA6"/>
    <w:rsid w:val="00252A40"/>
    <w:rsid w:val="00252FAE"/>
    <w:rsid w:val="0025430C"/>
    <w:rsid w:val="00254D2A"/>
    <w:rsid w:val="002572F7"/>
    <w:rsid w:val="002609E3"/>
    <w:rsid w:val="00261843"/>
    <w:rsid w:val="00262772"/>
    <w:rsid w:val="00263202"/>
    <w:rsid w:val="002635BF"/>
    <w:rsid w:val="00263EE6"/>
    <w:rsid w:val="00264E26"/>
    <w:rsid w:val="00266072"/>
    <w:rsid w:val="00266224"/>
    <w:rsid w:val="00266B4D"/>
    <w:rsid w:val="00267662"/>
    <w:rsid w:val="00267879"/>
    <w:rsid w:val="00267FE0"/>
    <w:rsid w:val="00270134"/>
    <w:rsid w:val="002705BC"/>
    <w:rsid w:val="00271687"/>
    <w:rsid w:val="00271D2A"/>
    <w:rsid w:val="0027242C"/>
    <w:rsid w:val="00274E0A"/>
    <w:rsid w:val="00275BD4"/>
    <w:rsid w:val="00281080"/>
    <w:rsid w:val="002816DD"/>
    <w:rsid w:val="00281884"/>
    <w:rsid w:val="00281A7B"/>
    <w:rsid w:val="00281F12"/>
    <w:rsid w:val="002827AA"/>
    <w:rsid w:val="00283880"/>
    <w:rsid w:val="00284E3D"/>
    <w:rsid w:val="00285F40"/>
    <w:rsid w:val="002860C9"/>
    <w:rsid w:val="002876B9"/>
    <w:rsid w:val="002922FA"/>
    <w:rsid w:val="00292D15"/>
    <w:rsid w:val="00292D3E"/>
    <w:rsid w:val="0029437B"/>
    <w:rsid w:val="00295A41"/>
    <w:rsid w:val="00296EC2"/>
    <w:rsid w:val="0029701D"/>
    <w:rsid w:val="002A0437"/>
    <w:rsid w:val="002A2972"/>
    <w:rsid w:val="002A3584"/>
    <w:rsid w:val="002A35AE"/>
    <w:rsid w:val="002A371D"/>
    <w:rsid w:val="002A3BB3"/>
    <w:rsid w:val="002A4568"/>
    <w:rsid w:val="002A4634"/>
    <w:rsid w:val="002B086A"/>
    <w:rsid w:val="002B17E1"/>
    <w:rsid w:val="002B2D21"/>
    <w:rsid w:val="002B2D45"/>
    <w:rsid w:val="002B7AC0"/>
    <w:rsid w:val="002C1009"/>
    <w:rsid w:val="002C216E"/>
    <w:rsid w:val="002C42FD"/>
    <w:rsid w:val="002C4B14"/>
    <w:rsid w:val="002C5C1C"/>
    <w:rsid w:val="002C789E"/>
    <w:rsid w:val="002D21B9"/>
    <w:rsid w:val="002D4FD0"/>
    <w:rsid w:val="002D55EE"/>
    <w:rsid w:val="002E0F7C"/>
    <w:rsid w:val="002E18A8"/>
    <w:rsid w:val="002E1A6B"/>
    <w:rsid w:val="002E286F"/>
    <w:rsid w:val="002E2AF6"/>
    <w:rsid w:val="002E2EE6"/>
    <w:rsid w:val="002E3A4A"/>
    <w:rsid w:val="002E3B3D"/>
    <w:rsid w:val="002E489E"/>
    <w:rsid w:val="002E497A"/>
    <w:rsid w:val="002E4B86"/>
    <w:rsid w:val="002F0067"/>
    <w:rsid w:val="002F0B62"/>
    <w:rsid w:val="002F2190"/>
    <w:rsid w:val="002F235B"/>
    <w:rsid w:val="002F34A8"/>
    <w:rsid w:val="002F47BD"/>
    <w:rsid w:val="002F4E65"/>
    <w:rsid w:val="002F5B4D"/>
    <w:rsid w:val="002F65C6"/>
    <w:rsid w:val="002F7197"/>
    <w:rsid w:val="002F7FAF"/>
    <w:rsid w:val="003004B6"/>
    <w:rsid w:val="003004CB"/>
    <w:rsid w:val="003009B9"/>
    <w:rsid w:val="00300E84"/>
    <w:rsid w:val="00302817"/>
    <w:rsid w:val="00304412"/>
    <w:rsid w:val="00304613"/>
    <w:rsid w:val="00307558"/>
    <w:rsid w:val="00307CFB"/>
    <w:rsid w:val="00310E07"/>
    <w:rsid w:val="003129C5"/>
    <w:rsid w:val="003129DF"/>
    <w:rsid w:val="00312C91"/>
    <w:rsid w:val="00315B3F"/>
    <w:rsid w:val="0031615A"/>
    <w:rsid w:val="00316256"/>
    <w:rsid w:val="00317842"/>
    <w:rsid w:val="003179C5"/>
    <w:rsid w:val="00320107"/>
    <w:rsid w:val="00320273"/>
    <w:rsid w:val="00322F98"/>
    <w:rsid w:val="00324440"/>
    <w:rsid w:val="00324573"/>
    <w:rsid w:val="00326319"/>
    <w:rsid w:val="003315D3"/>
    <w:rsid w:val="003338AB"/>
    <w:rsid w:val="003352E7"/>
    <w:rsid w:val="00335648"/>
    <w:rsid w:val="003372CD"/>
    <w:rsid w:val="00341665"/>
    <w:rsid w:val="00342228"/>
    <w:rsid w:val="003424AF"/>
    <w:rsid w:val="003436EF"/>
    <w:rsid w:val="00343C87"/>
    <w:rsid w:val="00344557"/>
    <w:rsid w:val="003467DE"/>
    <w:rsid w:val="00346C18"/>
    <w:rsid w:val="003505D2"/>
    <w:rsid w:val="00351702"/>
    <w:rsid w:val="003525F1"/>
    <w:rsid w:val="00352D86"/>
    <w:rsid w:val="003530F5"/>
    <w:rsid w:val="0035370B"/>
    <w:rsid w:val="00355181"/>
    <w:rsid w:val="00356988"/>
    <w:rsid w:val="0036021D"/>
    <w:rsid w:val="003602B6"/>
    <w:rsid w:val="00361403"/>
    <w:rsid w:val="0036265E"/>
    <w:rsid w:val="00362874"/>
    <w:rsid w:val="0036309A"/>
    <w:rsid w:val="0036371E"/>
    <w:rsid w:val="00366775"/>
    <w:rsid w:val="00366F81"/>
    <w:rsid w:val="00371F93"/>
    <w:rsid w:val="00373231"/>
    <w:rsid w:val="003739DC"/>
    <w:rsid w:val="00374736"/>
    <w:rsid w:val="003759A9"/>
    <w:rsid w:val="003760DF"/>
    <w:rsid w:val="00376E15"/>
    <w:rsid w:val="00382621"/>
    <w:rsid w:val="00384A48"/>
    <w:rsid w:val="00387C2E"/>
    <w:rsid w:val="0039042C"/>
    <w:rsid w:val="003904A1"/>
    <w:rsid w:val="0039084C"/>
    <w:rsid w:val="00390956"/>
    <w:rsid w:val="00391EBD"/>
    <w:rsid w:val="00393485"/>
    <w:rsid w:val="003937D8"/>
    <w:rsid w:val="00393B7E"/>
    <w:rsid w:val="00395147"/>
    <w:rsid w:val="00395939"/>
    <w:rsid w:val="003972B9"/>
    <w:rsid w:val="00397963"/>
    <w:rsid w:val="00397F62"/>
    <w:rsid w:val="003A0451"/>
    <w:rsid w:val="003A29FD"/>
    <w:rsid w:val="003A2C12"/>
    <w:rsid w:val="003A3895"/>
    <w:rsid w:val="003A3B30"/>
    <w:rsid w:val="003A459D"/>
    <w:rsid w:val="003A7BCD"/>
    <w:rsid w:val="003B0715"/>
    <w:rsid w:val="003B0850"/>
    <w:rsid w:val="003B1964"/>
    <w:rsid w:val="003B2B8A"/>
    <w:rsid w:val="003B54C6"/>
    <w:rsid w:val="003B6067"/>
    <w:rsid w:val="003B670F"/>
    <w:rsid w:val="003B6897"/>
    <w:rsid w:val="003B6B5A"/>
    <w:rsid w:val="003C1592"/>
    <w:rsid w:val="003C1B83"/>
    <w:rsid w:val="003C2010"/>
    <w:rsid w:val="003C2798"/>
    <w:rsid w:val="003C3CD2"/>
    <w:rsid w:val="003C4C7E"/>
    <w:rsid w:val="003C4F25"/>
    <w:rsid w:val="003C596B"/>
    <w:rsid w:val="003C6723"/>
    <w:rsid w:val="003C6DDE"/>
    <w:rsid w:val="003C7611"/>
    <w:rsid w:val="003D0D5F"/>
    <w:rsid w:val="003D15CA"/>
    <w:rsid w:val="003D1A78"/>
    <w:rsid w:val="003D1BEC"/>
    <w:rsid w:val="003D3195"/>
    <w:rsid w:val="003D3619"/>
    <w:rsid w:val="003D52C7"/>
    <w:rsid w:val="003D637E"/>
    <w:rsid w:val="003D65C2"/>
    <w:rsid w:val="003D6608"/>
    <w:rsid w:val="003D6B25"/>
    <w:rsid w:val="003D7E5F"/>
    <w:rsid w:val="003E014B"/>
    <w:rsid w:val="003E2F2D"/>
    <w:rsid w:val="003E330D"/>
    <w:rsid w:val="003E5432"/>
    <w:rsid w:val="003E557C"/>
    <w:rsid w:val="003E6ADE"/>
    <w:rsid w:val="003E751E"/>
    <w:rsid w:val="003E7D06"/>
    <w:rsid w:val="003E7DFA"/>
    <w:rsid w:val="003F0DC4"/>
    <w:rsid w:val="003F1AF7"/>
    <w:rsid w:val="003F1C8A"/>
    <w:rsid w:val="003F1D47"/>
    <w:rsid w:val="003F21ED"/>
    <w:rsid w:val="003F323B"/>
    <w:rsid w:val="003F4175"/>
    <w:rsid w:val="003F56FB"/>
    <w:rsid w:val="003F6639"/>
    <w:rsid w:val="003F708A"/>
    <w:rsid w:val="004001EF"/>
    <w:rsid w:val="00400B53"/>
    <w:rsid w:val="00400CB4"/>
    <w:rsid w:val="00400FCC"/>
    <w:rsid w:val="00401607"/>
    <w:rsid w:val="00402E94"/>
    <w:rsid w:val="00403B20"/>
    <w:rsid w:val="004047A1"/>
    <w:rsid w:val="00405DE6"/>
    <w:rsid w:val="00407EFB"/>
    <w:rsid w:val="00410301"/>
    <w:rsid w:val="004103A7"/>
    <w:rsid w:val="00410665"/>
    <w:rsid w:val="004117AF"/>
    <w:rsid w:val="00414860"/>
    <w:rsid w:val="00415DE7"/>
    <w:rsid w:val="00415FDA"/>
    <w:rsid w:val="004166CA"/>
    <w:rsid w:val="00417145"/>
    <w:rsid w:val="004173DB"/>
    <w:rsid w:val="00417E9B"/>
    <w:rsid w:val="00420F14"/>
    <w:rsid w:val="00422AEF"/>
    <w:rsid w:val="0042312E"/>
    <w:rsid w:val="00424131"/>
    <w:rsid w:val="0042420A"/>
    <w:rsid w:val="00424891"/>
    <w:rsid w:val="00424B54"/>
    <w:rsid w:val="00425062"/>
    <w:rsid w:val="00425143"/>
    <w:rsid w:val="004252C2"/>
    <w:rsid w:val="0042547A"/>
    <w:rsid w:val="004262C7"/>
    <w:rsid w:val="0042651F"/>
    <w:rsid w:val="004317E0"/>
    <w:rsid w:val="00432DCA"/>
    <w:rsid w:val="00434A8F"/>
    <w:rsid w:val="00435440"/>
    <w:rsid w:val="004363BD"/>
    <w:rsid w:val="00440595"/>
    <w:rsid w:val="00440ECA"/>
    <w:rsid w:val="00442206"/>
    <w:rsid w:val="00443A74"/>
    <w:rsid w:val="004447FB"/>
    <w:rsid w:val="00444A4F"/>
    <w:rsid w:val="00445242"/>
    <w:rsid w:val="0044577B"/>
    <w:rsid w:val="004461EE"/>
    <w:rsid w:val="00446656"/>
    <w:rsid w:val="004467FA"/>
    <w:rsid w:val="004501A5"/>
    <w:rsid w:val="0045078C"/>
    <w:rsid w:val="004508B6"/>
    <w:rsid w:val="0045099B"/>
    <w:rsid w:val="00450A6C"/>
    <w:rsid w:val="004519BA"/>
    <w:rsid w:val="00452822"/>
    <w:rsid w:val="00453ADF"/>
    <w:rsid w:val="00454BB2"/>
    <w:rsid w:val="00455334"/>
    <w:rsid w:val="00456969"/>
    <w:rsid w:val="00457024"/>
    <w:rsid w:val="0046064E"/>
    <w:rsid w:val="00460F9F"/>
    <w:rsid w:val="00461085"/>
    <w:rsid w:val="00461C63"/>
    <w:rsid w:val="00461E20"/>
    <w:rsid w:val="00461E68"/>
    <w:rsid w:val="00462937"/>
    <w:rsid w:val="00462DC5"/>
    <w:rsid w:val="004652EE"/>
    <w:rsid w:val="00465A31"/>
    <w:rsid w:val="00466A67"/>
    <w:rsid w:val="00466AEF"/>
    <w:rsid w:val="00467DE7"/>
    <w:rsid w:val="00470B9F"/>
    <w:rsid w:val="0047415F"/>
    <w:rsid w:val="00474F16"/>
    <w:rsid w:val="00474FD7"/>
    <w:rsid w:val="00476CDA"/>
    <w:rsid w:val="0047700E"/>
    <w:rsid w:val="00480648"/>
    <w:rsid w:val="00480D91"/>
    <w:rsid w:val="004820E6"/>
    <w:rsid w:val="0048241F"/>
    <w:rsid w:val="00483221"/>
    <w:rsid w:val="0048356F"/>
    <w:rsid w:val="004838A8"/>
    <w:rsid w:val="00483C5F"/>
    <w:rsid w:val="00483DA0"/>
    <w:rsid w:val="00484159"/>
    <w:rsid w:val="004850C0"/>
    <w:rsid w:val="00485A40"/>
    <w:rsid w:val="00486FDD"/>
    <w:rsid w:val="0049065D"/>
    <w:rsid w:val="00491670"/>
    <w:rsid w:val="00491F53"/>
    <w:rsid w:val="004927E0"/>
    <w:rsid w:val="00492A6D"/>
    <w:rsid w:val="00492B09"/>
    <w:rsid w:val="004939E1"/>
    <w:rsid w:val="00494F14"/>
    <w:rsid w:val="004963B5"/>
    <w:rsid w:val="004A0129"/>
    <w:rsid w:val="004A2556"/>
    <w:rsid w:val="004A2E36"/>
    <w:rsid w:val="004A3521"/>
    <w:rsid w:val="004A3D25"/>
    <w:rsid w:val="004A44AE"/>
    <w:rsid w:val="004A4984"/>
    <w:rsid w:val="004A4BFC"/>
    <w:rsid w:val="004A5887"/>
    <w:rsid w:val="004A5DC3"/>
    <w:rsid w:val="004A6BB7"/>
    <w:rsid w:val="004A72AA"/>
    <w:rsid w:val="004A78A7"/>
    <w:rsid w:val="004A7A8B"/>
    <w:rsid w:val="004B19E5"/>
    <w:rsid w:val="004B1F33"/>
    <w:rsid w:val="004B279A"/>
    <w:rsid w:val="004B27AC"/>
    <w:rsid w:val="004B2D4A"/>
    <w:rsid w:val="004B3C36"/>
    <w:rsid w:val="004B553F"/>
    <w:rsid w:val="004B6871"/>
    <w:rsid w:val="004B6B32"/>
    <w:rsid w:val="004B78E5"/>
    <w:rsid w:val="004C15AE"/>
    <w:rsid w:val="004C1F37"/>
    <w:rsid w:val="004C2628"/>
    <w:rsid w:val="004C29DA"/>
    <w:rsid w:val="004C370C"/>
    <w:rsid w:val="004C3FA4"/>
    <w:rsid w:val="004C4284"/>
    <w:rsid w:val="004C42DC"/>
    <w:rsid w:val="004C4BF5"/>
    <w:rsid w:val="004C6690"/>
    <w:rsid w:val="004C696F"/>
    <w:rsid w:val="004C6E56"/>
    <w:rsid w:val="004C79E2"/>
    <w:rsid w:val="004D0F38"/>
    <w:rsid w:val="004D3137"/>
    <w:rsid w:val="004D3885"/>
    <w:rsid w:val="004D48AE"/>
    <w:rsid w:val="004D5B3A"/>
    <w:rsid w:val="004D5F13"/>
    <w:rsid w:val="004D77BF"/>
    <w:rsid w:val="004D785D"/>
    <w:rsid w:val="004D7F09"/>
    <w:rsid w:val="004E2F2C"/>
    <w:rsid w:val="004E3357"/>
    <w:rsid w:val="004E4899"/>
    <w:rsid w:val="004E67E6"/>
    <w:rsid w:val="004E6CAC"/>
    <w:rsid w:val="004E74F8"/>
    <w:rsid w:val="004E77BA"/>
    <w:rsid w:val="004E7E91"/>
    <w:rsid w:val="004F0708"/>
    <w:rsid w:val="004F0A8C"/>
    <w:rsid w:val="004F0EB5"/>
    <w:rsid w:val="004F1653"/>
    <w:rsid w:val="004F4290"/>
    <w:rsid w:val="004F536F"/>
    <w:rsid w:val="004F618A"/>
    <w:rsid w:val="004F61D5"/>
    <w:rsid w:val="004F644D"/>
    <w:rsid w:val="005005F7"/>
    <w:rsid w:val="00500D60"/>
    <w:rsid w:val="00501A2D"/>
    <w:rsid w:val="00502A87"/>
    <w:rsid w:val="00502EEB"/>
    <w:rsid w:val="005035F1"/>
    <w:rsid w:val="00504933"/>
    <w:rsid w:val="00507EF0"/>
    <w:rsid w:val="00513C8C"/>
    <w:rsid w:val="00521126"/>
    <w:rsid w:val="00522641"/>
    <w:rsid w:val="00522671"/>
    <w:rsid w:val="0052288E"/>
    <w:rsid w:val="00530033"/>
    <w:rsid w:val="0053033B"/>
    <w:rsid w:val="005303F6"/>
    <w:rsid w:val="0053050F"/>
    <w:rsid w:val="005312BC"/>
    <w:rsid w:val="00531B02"/>
    <w:rsid w:val="00532419"/>
    <w:rsid w:val="00533B46"/>
    <w:rsid w:val="005354BD"/>
    <w:rsid w:val="0054029D"/>
    <w:rsid w:val="00540E91"/>
    <w:rsid w:val="00541814"/>
    <w:rsid w:val="005441F7"/>
    <w:rsid w:val="00544E22"/>
    <w:rsid w:val="005455D7"/>
    <w:rsid w:val="00545938"/>
    <w:rsid w:val="005478A3"/>
    <w:rsid w:val="005478EB"/>
    <w:rsid w:val="005500E2"/>
    <w:rsid w:val="00550700"/>
    <w:rsid w:val="00550F90"/>
    <w:rsid w:val="005512D6"/>
    <w:rsid w:val="00551E0A"/>
    <w:rsid w:val="00551EF8"/>
    <w:rsid w:val="00553693"/>
    <w:rsid w:val="005542D2"/>
    <w:rsid w:val="00554B6D"/>
    <w:rsid w:val="0055557B"/>
    <w:rsid w:val="0055696F"/>
    <w:rsid w:val="00560D1E"/>
    <w:rsid w:val="005611D4"/>
    <w:rsid w:val="005619B6"/>
    <w:rsid w:val="00562297"/>
    <w:rsid w:val="00562872"/>
    <w:rsid w:val="00563A7A"/>
    <w:rsid w:val="0056448D"/>
    <w:rsid w:val="00565151"/>
    <w:rsid w:val="00565822"/>
    <w:rsid w:val="005665E5"/>
    <w:rsid w:val="005666F0"/>
    <w:rsid w:val="00566FED"/>
    <w:rsid w:val="005670AD"/>
    <w:rsid w:val="005677FE"/>
    <w:rsid w:val="00567947"/>
    <w:rsid w:val="00570C4E"/>
    <w:rsid w:val="00570E4D"/>
    <w:rsid w:val="00572AF5"/>
    <w:rsid w:val="00574028"/>
    <w:rsid w:val="005745DA"/>
    <w:rsid w:val="00574EF0"/>
    <w:rsid w:val="00577CA1"/>
    <w:rsid w:val="00580E13"/>
    <w:rsid w:val="00581112"/>
    <w:rsid w:val="005811D8"/>
    <w:rsid w:val="005813B9"/>
    <w:rsid w:val="00581EA1"/>
    <w:rsid w:val="005825E0"/>
    <w:rsid w:val="005836E4"/>
    <w:rsid w:val="00584252"/>
    <w:rsid w:val="005843C7"/>
    <w:rsid w:val="0058551F"/>
    <w:rsid w:val="00585F4C"/>
    <w:rsid w:val="005871D1"/>
    <w:rsid w:val="00587D34"/>
    <w:rsid w:val="00587E97"/>
    <w:rsid w:val="00590CDA"/>
    <w:rsid w:val="00591127"/>
    <w:rsid w:val="005922B0"/>
    <w:rsid w:val="00594A9A"/>
    <w:rsid w:val="00595E5C"/>
    <w:rsid w:val="00596CD1"/>
    <w:rsid w:val="00596D06"/>
    <w:rsid w:val="00597479"/>
    <w:rsid w:val="005A0067"/>
    <w:rsid w:val="005A3B89"/>
    <w:rsid w:val="005A47C2"/>
    <w:rsid w:val="005A5048"/>
    <w:rsid w:val="005A5ABB"/>
    <w:rsid w:val="005A6298"/>
    <w:rsid w:val="005A63C4"/>
    <w:rsid w:val="005A7A36"/>
    <w:rsid w:val="005B0A27"/>
    <w:rsid w:val="005B2837"/>
    <w:rsid w:val="005B2F4A"/>
    <w:rsid w:val="005B3B7E"/>
    <w:rsid w:val="005B3F64"/>
    <w:rsid w:val="005B4364"/>
    <w:rsid w:val="005B4595"/>
    <w:rsid w:val="005B4A20"/>
    <w:rsid w:val="005B4AD5"/>
    <w:rsid w:val="005B58CA"/>
    <w:rsid w:val="005B5DB1"/>
    <w:rsid w:val="005C020D"/>
    <w:rsid w:val="005C0CFC"/>
    <w:rsid w:val="005C122D"/>
    <w:rsid w:val="005C215F"/>
    <w:rsid w:val="005C263A"/>
    <w:rsid w:val="005C2660"/>
    <w:rsid w:val="005C2A56"/>
    <w:rsid w:val="005C3F3C"/>
    <w:rsid w:val="005C40AE"/>
    <w:rsid w:val="005C4F4D"/>
    <w:rsid w:val="005C6267"/>
    <w:rsid w:val="005C7E31"/>
    <w:rsid w:val="005D1052"/>
    <w:rsid w:val="005D1516"/>
    <w:rsid w:val="005D2CA9"/>
    <w:rsid w:val="005D4D9C"/>
    <w:rsid w:val="005D5104"/>
    <w:rsid w:val="005D5178"/>
    <w:rsid w:val="005D5623"/>
    <w:rsid w:val="005D5687"/>
    <w:rsid w:val="005D584E"/>
    <w:rsid w:val="005D63DD"/>
    <w:rsid w:val="005D6567"/>
    <w:rsid w:val="005D752E"/>
    <w:rsid w:val="005D7993"/>
    <w:rsid w:val="005D7F57"/>
    <w:rsid w:val="005E0641"/>
    <w:rsid w:val="005E07E4"/>
    <w:rsid w:val="005E1330"/>
    <w:rsid w:val="005E3B35"/>
    <w:rsid w:val="005E4B9D"/>
    <w:rsid w:val="005E58EF"/>
    <w:rsid w:val="005E5B48"/>
    <w:rsid w:val="005E653D"/>
    <w:rsid w:val="005F0934"/>
    <w:rsid w:val="005F2F0F"/>
    <w:rsid w:val="005F2FD2"/>
    <w:rsid w:val="005F337C"/>
    <w:rsid w:val="005F3FFC"/>
    <w:rsid w:val="005F43FA"/>
    <w:rsid w:val="005F58B0"/>
    <w:rsid w:val="005F655C"/>
    <w:rsid w:val="005F7C80"/>
    <w:rsid w:val="006002D5"/>
    <w:rsid w:val="00600C05"/>
    <w:rsid w:val="00600CE3"/>
    <w:rsid w:val="0060147D"/>
    <w:rsid w:val="0060237D"/>
    <w:rsid w:val="00602EA4"/>
    <w:rsid w:val="00603838"/>
    <w:rsid w:val="00603B93"/>
    <w:rsid w:val="00607E5A"/>
    <w:rsid w:val="0061138E"/>
    <w:rsid w:val="0061244F"/>
    <w:rsid w:val="00612AD4"/>
    <w:rsid w:val="0061372F"/>
    <w:rsid w:val="00616860"/>
    <w:rsid w:val="006170B5"/>
    <w:rsid w:val="00617497"/>
    <w:rsid w:val="006205C5"/>
    <w:rsid w:val="0062176A"/>
    <w:rsid w:val="006227EE"/>
    <w:rsid w:val="00624065"/>
    <w:rsid w:val="00624925"/>
    <w:rsid w:val="00627216"/>
    <w:rsid w:val="00627E96"/>
    <w:rsid w:val="00627F0F"/>
    <w:rsid w:val="006300B9"/>
    <w:rsid w:val="006302E7"/>
    <w:rsid w:val="00630BA4"/>
    <w:rsid w:val="00631730"/>
    <w:rsid w:val="006344C9"/>
    <w:rsid w:val="00634CE3"/>
    <w:rsid w:val="00636180"/>
    <w:rsid w:val="00636A75"/>
    <w:rsid w:val="006372B4"/>
    <w:rsid w:val="006441F4"/>
    <w:rsid w:val="0064450D"/>
    <w:rsid w:val="00645F35"/>
    <w:rsid w:val="00647E2F"/>
    <w:rsid w:val="00650222"/>
    <w:rsid w:val="0065108A"/>
    <w:rsid w:val="006529C6"/>
    <w:rsid w:val="00652D3D"/>
    <w:rsid w:val="006532B5"/>
    <w:rsid w:val="006533F7"/>
    <w:rsid w:val="00654674"/>
    <w:rsid w:val="00655F22"/>
    <w:rsid w:val="00657CE3"/>
    <w:rsid w:val="006607BC"/>
    <w:rsid w:val="006615AF"/>
    <w:rsid w:val="00661C2F"/>
    <w:rsid w:val="00661D1F"/>
    <w:rsid w:val="006637B5"/>
    <w:rsid w:val="00663F9B"/>
    <w:rsid w:val="0066401F"/>
    <w:rsid w:val="0066471F"/>
    <w:rsid w:val="00665466"/>
    <w:rsid w:val="00665E32"/>
    <w:rsid w:val="00666145"/>
    <w:rsid w:val="00670A2E"/>
    <w:rsid w:val="00672411"/>
    <w:rsid w:val="006724E8"/>
    <w:rsid w:val="006728CE"/>
    <w:rsid w:val="006734A9"/>
    <w:rsid w:val="00676359"/>
    <w:rsid w:val="00677EAA"/>
    <w:rsid w:val="00677FC1"/>
    <w:rsid w:val="006801E7"/>
    <w:rsid w:val="006802FE"/>
    <w:rsid w:val="00680E42"/>
    <w:rsid w:val="00680EA1"/>
    <w:rsid w:val="00682467"/>
    <w:rsid w:val="006827BF"/>
    <w:rsid w:val="00682E1F"/>
    <w:rsid w:val="00682F4C"/>
    <w:rsid w:val="006842DA"/>
    <w:rsid w:val="006868B0"/>
    <w:rsid w:val="00686C83"/>
    <w:rsid w:val="006876EE"/>
    <w:rsid w:val="00687C13"/>
    <w:rsid w:val="00691347"/>
    <w:rsid w:val="006917DA"/>
    <w:rsid w:val="006929E7"/>
    <w:rsid w:val="00693BA1"/>
    <w:rsid w:val="00695764"/>
    <w:rsid w:val="00697923"/>
    <w:rsid w:val="006A2905"/>
    <w:rsid w:val="006A29A8"/>
    <w:rsid w:val="006A35E7"/>
    <w:rsid w:val="006A3A3F"/>
    <w:rsid w:val="006A46E4"/>
    <w:rsid w:val="006A68D4"/>
    <w:rsid w:val="006A7817"/>
    <w:rsid w:val="006A7BA6"/>
    <w:rsid w:val="006B039B"/>
    <w:rsid w:val="006B0BAD"/>
    <w:rsid w:val="006B0E8A"/>
    <w:rsid w:val="006B26C8"/>
    <w:rsid w:val="006B2A23"/>
    <w:rsid w:val="006B2EF2"/>
    <w:rsid w:val="006B4454"/>
    <w:rsid w:val="006B4A3A"/>
    <w:rsid w:val="006B54E9"/>
    <w:rsid w:val="006C0A7F"/>
    <w:rsid w:val="006C105C"/>
    <w:rsid w:val="006C1386"/>
    <w:rsid w:val="006C1516"/>
    <w:rsid w:val="006C1AEA"/>
    <w:rsid w:val="006C20D3"/>
    <w:rsid w:val="006C2654"/>
    <w:rsid w:val="006C396F"/>
    <w:rsid w:val="006C466F"/>
    <w:rsid w:val="006C48E7"/>
    <w:rsid w:val="006C48EC"/>
    <w:rsid w:val="006C51F6"/>
    <w:rsid w:val="006C5C7B"/>
    <w:rsid w:val="006C5D2A"/>
    <w:rsid w:val="006C6897"/>
    <w:rsid w:val="006C70E8"/>
    <w:rsid w:val="006C7ED3"/>
    <w:rsid w:val="006D0542"/>
    <w:rsid w:val="006D0A8D"/>
    <w:rsid w:val="006D261A"/>
    <w:rsid w:val="006D2955"/>
    <w:rsid w:val="006D3979"/>
    <w:rsid w:val="006D4285"/>
    <w:rsid w:val="006D4463"/>
    <w:rsid w:val="006D46DE"/>
    <w:rsid w:val="006D47B1"/>
    <w:rsid w:val="006D5AEF"/>
    <w:rsid w:val="006D7142"/>
    <w:rsid w:val="006D7BB3"/>
    <w:rsid w:val="006D7DD4"/>
    <w:rsid w:val="006E03BD"/>
    <w:rsid w:val="006E0427"/>
    <w:rsid w:val="006E0437"/>
    <w:rsid w:val="006E11C7"/>
    <w:rsid w:val="006E1B51"/>
    <w:rsid w:val="006E2352"/>
    <w:rsid w:val="006E2ACB"/>
    <w:rsid w:val="006E3E0B"/>
    <w:rsid w:val="006E66FB"/>
    <w:rsid w:val="006E76EE"/>
    <w:rsid w:val="006F12EC"/>
    <w:rsid w:val="006F18E4"/>
    <w:rsid w:val="006F3CC5"/>
    <w:rsid w:val="006F40CE"/>
    <w:rsid w:val="006F4116"/>
    <w:rsid w:val="006F43FC"/>
    <w:rsid w:val="006F6878"/>
    <w:rsid w:val="006F6EE9"/>
    <w:rsid w:val="006F70A3"/>
    <w:rsid w:val="007009B6"/>
    <w:rsid w:val="00700D01"/>
    <w:rsid w:val="0070163A"/>
    <w:rsid w:val="00701AE3"/>
    <w:rsid w:val="00701CF1"/>
    <w:rsid w:val="00703A44"/>
    <w:rsid w:val="00703C30"/>
    <w:rsid w:val="00703D44"/>
    <w:rsid w:val="00704CEC"/>
    <w:rsid w:val="00705F0C"/>
    <w:rsid w:val="0070684C"/>
    <w:rsid w:val="0071012B"/>
    <w:rsid w:val="0071086F"/>
    <w:rsid w:val="00710BEE"/>
    <w:rsid w:val="007115BF"/>
    <w:rsid w:val="0071191B"/>
    <w:rsid w:val="007119E0"/>
    <w:rsid w:val="00713322"/>
    <w:rsid w:val="00713323"/>
    <w:rsid w:val="0071332E"/>
    <w:rsid w:val="00713E3A"/>
    <w:rsid w:val="00715A0C"/>
    <w:rsid w:val="00717800"/>
    <w:rsid w:val="00717B33"/>
    <w:rsid w:val="00721E9B"/>
    <w:rsid w:val="0072345B"/>
    <w:rsid w:val="007239EC"/>
    <w:rsid w:val="0072552F"/>
    <w:rsid w:val="00726B7D"/>
    <w:rsid w:val="00726CA3"/>
    <w:rsid w:val="0073021A"/>
    <w:rsid w:val="007303AD"/>
    <w:rsid w:val="007314A9"/>
    <w:rsid w:val="00731C9C"/>
    <w:rsid w:val="00731F6E"/>
    <w:rsid w:val="007323D5"/>
    <w:rsid w:val="00735647"/>
    <w:rsid w:val="00736CE5"/>
    <w:rsid w:val="007370C2"/>
    <w:rsid w:val="00737336"/>
    <w:rsid w:val="007378E6"/>
    <w:rsid w:val="007407CD"/>
    <w:rsid w:val="00741E40"/>
    <w:rsid w:val="007429A0"/>
    <w:rsid w:val="00742F9F"/>
    <w:rsid w:val="0074432A"/>
    <w:rsid w:val="00744913"/>
    <w:rsid w:val="007457B4"/>
    <w:rsid w:val="007477B4"/>
    <w:rsid w:val="0075052D"/>
    <w:rsid w:val="00750B42"/>
    <w:rsid w:val="00750EA9"/>
    <w:rsid w:val="00752116"/>
    <w:rsid w:val="007524D3"/>
    <w:rsid w:val="007530D4"/>
    <w:rsid w:val="00754275"/>
    <w:rsid w:val="007547E2"/>
    <w:rsid w:val="0075494D"/>
    <w:rsid w:val="00756B01"/>
    <w:rsid w:val="0076569F"/>
    <w:rsid w:val="00766AD2"/>
    <w:rsid w:val="00766EB6"/>
    <w:rsid w:val="00772280"/>
    <w:rsid w:val="007726C5"/>
    <w:rsid w:val="00772907"/>
    <w:rsid w:val="00774172"/>
    <w:rsid w:val="00774F7B"/>
    <w:rsid w:val="007758B3"/>
    <w:rsid w:val="00775BBE"/>
    <w:rsid w:val="00776535"/>
    <w:rsid w:val="0077672E"/>
    <w:rsid w:val="0077788B"/>
    <w:rsid w:val="00777FF8"/>
    <w:rsid w:val="00780D3B"/>
    <w:rsid w:val="00780F84"/>
    <w:rsid w:val="0078190B"/>
    <w:rsid w:val="00781C3A"/>
    <w:rsid w:val="00781F2D"/>
    <w:rsid w:val="00782215"/>
    <w:rsid w:val="00782D6C"/>
    <w:rsid w:val="00784A1B"/>
    <w:rsid w:val="00785301"/>
    <w:rsid w:val="007873D0"/>
    <w:rsid w:val="00787C30"/>
    <w:rsid w:val="00791279"/>
    <w:rsid w:val="00791A5D"/>
    <w:rsid w:val="00791D15"/>
    <w:rsid w:val="00792568"/>
    <w:rsid w:val="00792F03"/>
    <w:rsid w:val="0079346D"/>
    <w:rsid w:val="0079494A"/>
    <w:rsid w:val="00794974"/>
    <w:rsid w:val="00795098"/>
    <w:rsid w:val="00795AD5"/>
    <w:rsid w:val="0079631E"/>
    <w:rsid w:val="007A17CC"/>
    <w:rsid w:val="007A1893"/>
    <w:rsid w:val="007A2059"/>
    <w:rsid w:val="007A320D"/>
    <w:rsid w:val="007A32C7"/>
    <w:rsid w:val="007A38A9"/>
    <w:rsid w:val="007A4FCF"/>
    <w:rsid w:val="007A5ACD"/>
    <w:rsid w:val="007A6D3A"/>
    <w:rsid w:val="007B0718"/>
    <w:rsid w:val="007B0F51"/>
    <w:rsid w:val="007B1133"/>
    <w:rsid w:val="007B2266"/>
    <w:rsid w:val="007B4C57"/>
    <w:rsid w:val="007B4F33"/>
    <w:rsid w:val="007B4FF8"/>
    <w:rsid w:val="007B5804"/>
    <w:rsid w:val="007B6E92"/>
    <w:rsid w:val="007B7531"/>
    <w:rsid w:val="007B7626"/>
    <w:rsid w:val="007B7965"/>
    <w:rsid w:val="007C06BE"/>
    <w:rsid w:val="007C3344"/>
    <w:rsid w:val="007C3D7E"/>
    <w:rsid w:val="007C6EE5"/>
    <w:rsid w:val="007D0D43"/>
    <w:rsid w:val="007D28CA"/>
    <w:rsid w:val="007D38CD"/>
    <w:rsid w:val="007D6BA4"/>
    <w:rsid w:val="007D78E3"/>
    <w:rsid w:val="007E066C"/>
    <w:rsid w:val="007E0939"/>
    <w:rsid w:val="007E1087"/>
    <w:rsid w:val="007E397F"/>
    <w:rsid w:val="007E3BD8"/>
    <w:rsid w:val="007E69B5"/>
    <w:rsid w:val="007E72E5"/>
    <w:rsid w:val="007E73E8"/>
    <w:rsid w:val="007E7419"/>
    <w:rsid w:val="007E7C64"/>
    <w:rsid w:val="007F1171"/>
    <w:rsid w:val="007F2060"/>
    <w:rsid w:val="007F252B"/>
    <w:rsid w:val="007F4ED5"/>
    <w:rsid w:val="007F4FF2"/>
    <w:rsid w:val="007F6BE8"/>
    <w:rsid w:val="007F7B70"/>
    <w:rsid w:val="008008E2"/>
    <w:rsid w:val="008014E7"/>
    <w:rsid w:val="008020F4"/>
    <w:rsid w:val="008024A9"/>
    <w:rsid w:val="00802E0D"/>
    <w:rsid w:val="00803338"/>
    <w:rsid w:val="00803711"/>
    <w:rsid w:val="008039D3"/>
    <w:rsid w:val="00803B9F"/>
    <w:rsid w:val="00806172"/>
    <w:rsid w:val="00810847"/>
    <w:rsid w:val="00810ACD"/>
    <w:rsid w:val="00811340"/>
    <w:rsid w:val="008115CE"/>
    <w:rsid w:val="008127DA"/>
    <w:rsid w:val="00814FBA"/>
    <w:rsid w:val="00815ADB"/>
    <w:rsid w:val="00815F1A"/>
    <w:rsid w:val="0081687B"/>
    <w:rsid w:val="0081700B"/>
    <w:rsid w:val="008207DD"/>
    <w:rsid w:val="00822169"/>
    <w:rsid w:val="00822C2B"/>
    <w:rsid w:val="008234D9"/>
    <w:rsid w:val="008241D3"/>
    <w:rsid w:val="008249A3"/>
    <w:rsid w:val="00824B29"/>
    <w:rsid w:val="00824D6D"/>
    <w:rsid w:val="00825A20"/>
    <w:rsid w:val="008265E5"/>
    <w:rsid w:val="0083088E"/>
    <w:rsid w:val="008311D3"/>
    <w:rsid w:val="00831D01"/>
    <w:rsid w:val="00832EE7"/>
    <w:rsid w:val="0083300E"/>
    <w:rsid w:val="0083314A"/>
    <w:rsid w:val="008337AA"/>
    <w:rsid w:val="00834161"/>
    <w:rsid w:val="0083431D"/>
    <w:rsid w:val="0083634B"/>
    <w:rsid w:val="00836867"/>
    <w:rsid w:val="0083761C"/>
    <w:rsid w:val="00837866"/>
    <w:rsid w:val="008400DB"/>
    <w:rsid w:val="00840BE4"/>
    <w:rsid w:val="0084165A"/>
    <w:rsid w:val="0084183C"/>
    <w:rsid w:val="0084351F"/>
    <w:rsid w:val="008456C7"/>
    <w:rsid w:val="00845A59"/>
    <w:rsid w:val="00845AB4"/>
    <w:rsid w:val="0085112F"/>
    <w:rsid w:val="008518F1"/>
    <w:rsid w:val="0085294C"/>
    <w:rsid w:val="00852EF6"/>
    <w:rsid w:val="0085304D"/>
    <w:rsid w:val="00853908"/>
    <w:rsid w:val="008544A5"/>
    <w:rsid w:val="00855C02"/>
    <w:rsid w:val="00856E68"/>
    <w:rsid w:val="00857CE5"/>
    <w:rsid w:val="00857E5E"/>
    <w:rsid w:val="00861636"/>
    <w:rsid w:val="00863235"/>
    <w:rsid w:val="00870F44"/>
    <w:rsid w:val="0087119F"/>
    <w:rsid w:val="00871BFD"/>
    <w:rsid w:val="00872FCE"/>
    <w:rsid w:val="008738E8"/>
    <w:rsid w:val="00873FE8"/>
    <w:rsid w:val="008749B8"/>
    <w:rsid w:val="008762E1"/>
    <w:rsid w:val="00877168"/>
    <w:rsid w:val="00880CB8"/>
    <w:rsid w:val="008813FE"/>
    <w:rsid w:val="00882229"/>
    <w:rsid w:val="0088230E"/>
    <w:rsid w:val="00882FB1"/>
    <w:rsid w:val="00882FE6"/>
    <w:rsid w:val="00884A9E"/>
    <w:rsid w:val="00886FF3"/>
    <w:rsid w:val="00890005"/>
    <w:rsid w:val="00890559"/>
    <w:rsid w:val="00890DD9"/>
    <w:rsid w:val="00891539"/>
    <w:rsid w:val="008918F6"/>
    <w:rsid w:val="00892916"/>
    <w:rsid w:val="008929A9"/>
    <w:rsid w:val="00892C31"/>
    <w:rsid w:val="00892C55"/>
    <w:rsid w:val="00892F3B"/>
    <w:rsid w:val="008940D4"/>
    <w:rsid w:val="00894D0A"/>
    <w:rsid w:val="00896D06"/>
    <w:rsid w:val="0089781F"/>
    <w:rsid w:val="0089798D"/>
    <w:rsid w:val="008A042C"/>
    <w:rsid w:val="008A262B"/>
    <w:rsid w:val="008A264A"/>
    <w:rsid w:val="008A26F9"/>
    <w:rsid w:val="008A28B1"/>
    <w:rsid w:val="008A2990"/>
    <w:rsid w:val="008A2E9A"/>
    <w:rsid w:val="008A3A2F"/>
    <w:rsid w:val="008A50AF"/>
    <w:rsid w:val="008A516E"/>
    <w:rsid w:val="008A54D7"/>
    <w:rsid w:val="008A59C1"/>
    <w:rsid w:val="008A5B39"/>
    <w:rsid w:val="008A5C7A"/>
    <w:rsid w:val="008A5F4D"/>
    <w:rsid w:val="008A682F"/>
    <w:rsid w:val="008A6CE6"/>
    <w:rsid w:val="008B0150"/>
    <w:rsid w:val="008B0FD2"/>
    <w:rsid w:val="008B13A9"/>
    <w:rsid w:val="008B3171"/>
    <w:rsid w:val="008B3493"/>
    <w:rsid w:val="008B3EF1"/>
    <w:rsid w:val="008B4A48"/>
    <w:rsid w:val="008B4B40"/>
    <w:rsid w:val="008B5662"/>
    <w:rsid w:val="008B705D"/>
    <w:rsid w:val="008C0D47"/>
    <w:rsid w:val="008C13F6"/>
    <w:rsid w:val="008C36D1"/>
    <w:rsid w:val="008C4D2E"/>
    <w:rsid w:val="008C61C0"/>
    <w:rsid w:val="008C6874"/>
    <w:rsid w:val="008C7FB5"/>
    <w:rsid w:val="008D1A73"/>
    <w:rsid w:val="008D4940"/>
    <w:rsid w:val="008D6464"/>
    <w:rsid w:val="008D696A"/>
    <w:rsid w:val="008D7A19"/>
    <w:rsid w:val="008E1D99"/>
    <w:rsid w:val="008E21FE"/>
    <w:rsid w:val="008E2388"/>
    <w:rsid w:val="008E25C3"/>
    <w:rsid w:val="008E383F"/>
    <w:rsid w:val="008E3A87"/>
    <w:rsid w:val="008E4B45"/>
    <w:rsid w:val="008E4ED9"/>
    <w:rsid w:val="008E537E"/>
    <w:rsid w:val="008E5DFC"/>
    <w:rsid w:val="008E69B0"/>
    <w:rsid w:val="008E6A92"/>
    <w:rsid w:val="008E7AAF"/>
    <w:rsid w:val="008F1582"/>
    <w:rsid w:val="008F261E"/>
    <w:rsid w:val="008F2639"/>
    <w:rsid w:val="008F352F"/>
    <w:rsid w:val="008F37F4"/>
    <w:rsid w:val="008F7C4C"/>
    <w:rsid w:val="008F7ED9"/>
    <w:rsid w:val="00900429"/>
    <w:rsid w:val="009004E5"/>
    <w:rsid w:val="00900F02"/>
    <w:rsid w:val="009017B2"/>
    <w:rsid w:val="0090187C"/>
    <w:rsid w:val="00901AEB"/>
    <w:rsid w:val="00902A49"/>
    <w:rsid w:val="0090325C"/>
    <w:rsid w:val="0090395E"/>
    <w:rsid w:val="00907202"/>
    <w:rsid w:val="00907BE0"/>
    <w:rsid w:val="00910135"/>
    <w:rsid w:val="00913414"/>
    <w:rsid w:val="00913D4E"/>
    <w:rsid w:val="00914149"/>
    <w:rsid w:val="00916CFA"/>
    <w:rsid w:val="00917505"/>
    <w:rsid w:val="00917904"/>
    <w:rsid w:val="00917D9D"/>
    <w:rsid w:val="00917E80"/>
    <w:rsid w:val="0092072C"/>
    <w:rsid w:val="00925007"/>
    <w:rsid w:val="0092658F"/>
    <w:rsid w:val="0092698E"/>
    <w:rsid w:val="00932F22"/>
    <w:rsid w:val="0093332F"/>
    <w:rsid w:val="00934BCE"/>
    <w:rsid w:val="00934E26"/>
    <w:rsid w:val="00934E96"/>
    <w:rsid w:val="00935735"/>
    <w:rsid w:val="0093710B"/>
    <w:rsid w:val="00940320"/>
    <w:rsid w:val="00940DAC"/>
    <w:rsid w:val="009410E9"/>
    <w:rsid w:val="009415CC"/>
    <w:rsid w:val="00941C88"/>
    <w:rsid w:val="0094317E"/>
    <w:rsid w:val="00943187"/>
    <w:rsid w:val="00944BF1"/>
    <w:rsid w:val="00945AC5"/>
    <w:rsid w:val="00946373"/>
    <w:rsid w:val="00947442"/>
    <w:rsid w:val="009521CF"/>
    <w:rsid w:val="009526EC"/>
    <w:rsid w:val="00954B23"/>
    <w:rsid w:val="00956D63"/>
    <w:rsid w:val="009575E4"/>
    <w:rsid w:val="00961A82"/>
    <w:rsid w:val="00961CBD"/>
    <w:rsid w:val="00961F1D"/>
    <w:rsid w:val="00961F50"/>
    <w:rsid w:val="00964294"/>
    <w:rsid w:val="00964920"/>
    <w:rsid w:val="00964BA1"/>
    <w:rsid w:val="00964EF5"/>
    <w:rsid w:val="00965E99"/>
    <w:rsid w:val="00966EA4"/>
    <w:rsid w:val="0097148E"/>
    <w:rsid w:val="00971AE1"/>
    <w:rsid w:val="00971D7C"/>
    <w:rsid w:val="00973333"/>
    <w:rsid w:val="0097524E"/>
    <w:rsid w:val="00975734"/>
    <w:rsid w:val="0097601C"/>
    <w:rsid w:val="00976771"/>
    <w:rsid w:val="00976AD6"/>
    <w:rsid w:val="00976B88"/>
    <w:rsid w:val="00977248"/>
    <w:rsid w:val="00977B72"/>
    <w:rsid w:val="00982255"/>
    <w:rsid w:val="00982BB3"/>
    <w:rsid w:val="009844F1"/>
    <w:rsid w:val="00984DA0"/>
    <w:rsid w:val="009877FE"/>
    <w:rsid w:val="00992219"/>
    <w:rsid w:val="00992582"/>
    <w:rsid w:val="0099270C"/>
    <w:rsid w:val="00993C9D"/>
    <w:rsid w:val="00993FCA"/>
    <w:rsid w:val="0099476B"/>
    <w:rsid w:val="0099520D"/>
    <w:rsid w:val="0099530A"/>
    <w:rsid w:val="0099559E"/>
    <w:rsid w:val="0099691A"/>
    <w:rsid w:val="00996C0F"/>
    <w:rsid w:val="009A00B6"/>
    <w:rsid w:val="009A10B7"/>
    <w:rsid w:val="009A1D11"/>
    <w:rsid w:val="009A260D"/>
    <w:rsid w:val="009A55BF"/>
    <w:rsid w:val="009A5F68"/>
    <w:rsid w:val="009A6DF1"/>
    <w:rsid w:val="009A74F1"/>
    <w:rsid w:val="009B012E"/>
    <w:rsid w:val="009B0198"/>
    <w:rsid w:val="009B0F4A"/>
    <w:rsid w:val="009B0F60"/>
    <w:rsid w:val="009B3301"/>
    <w:rsid w:val="009B41F9"/>
    <w:rsid w:val="009C02AF"/>
    <w:rsid w:val="009C14B8"/>
    <w:rsid w:val="009C2458"/>
    <w:rsid w:val="009C3045"/>
    <w:rsid w:val="009C3513"/>
    <w:rsid w:val="009C3F54"/>
    <w:rsid w:val="009C43E3"/>
    <w:rsid w:val="009C545C"/>
    <w:rsid w:val="009C56A1"/>
    <w:rsid w:val="009C6D3D"/>
    <w:rsid w:val="009C78AB"/>
    <w:rsid w:val="009D08A7"/>
    <w:rsid w:val="009D0DF6"/>
    <w:rsid w:val="009D0E31"/>
    <w:rsid w:val="009D1C5A"/>
    <w:rsid w:val="009D2181"/>
    <w:rsid w:val="009D2602"/>
    <w:rsid w:val="009D2775"/>
    <w:rsid w:val="009D3406"/>
    <w:rsid w:val="009D44B8"/>
    <w:rsid w:val="009D54AC"/>
    <w:rsid w:val="009D6628"/>
    <w:rsid w:val="009D6F76"/>
    <w:rsid w:val="009D7874"/>
    <w:rsid w:val="009E17B4"/>
    <w:rsid w:val="009E352A"/>
    <w:rsid w:val="009E3D8A"/>
    <w:rsid w:val="009E451B"/>
    <w:rsid w:val="009E4611"/>
    <w:rsid w:val="009E5842"/>
    <w:rsid w:val="009E61F1"/>
    <w:rsid w:val="009E6FFA"/>
    <w:rsid w:val="009E7D06"/>
    <w:rsid w:val="009F4B73"/>
    <w:rsid w:val="009F4B9C"/>
    <w:rsid w:val="009F60DF"/>
    <w:rsid w:val="00A00D00"/>
    <w:rsid w:val="00A0205C"/>
    <w:rsid w:val="00A027DA"/>
    <w:rsid w:val="00A03722"/>
    <w:rsid w:val="00A04CC3"/>
    <w:rsid w:val="00A04FC2"/>
    <w:rsid w:val="00A05831"/>
    <w:rsid w:val="00A06FCE"/>
    <w:rsid w:val="00A1030B"/>
    <w:rsid w:val="00A10754"/>
    <w:rsid w:val="00A11683"/>
    <w:rsid w:val="00A12615"/>
    <w:rsid w:val="00A13425"/>
    <w:rsid w:val="00A139B7"/>
    <w:rsid w:val="00A14A68"/>
    <w:rsid w:val="00A15798"/>
    <w:rsid w:val="00A15BF3"/>
    <w:rsid w:val="00A1797B"/>
    <w:rsid w:val="00A20323"/>
    <w:rsid w:val="00A213DA"/>
    <w:rsid w:val="00A22A5E"/>
    <w:rsid w:val="00A23943"/>
    <w:rsid w:val="00A2471E"/>
    <w:rsid w:val="00A25D9E"/>
    <w:rsid w:val="00A27C9C"/>
    <w:rsid w:val="00A303A0"/>
    <w:rsid w:val="00A30469"/>
    <w:rsid w:val="00A30A5F"/>
    <w:rsid w:val="00A30B3B"/>
    <w:rsid w:val="00A326D4"/>
    <w:rsid w:val="00A3292F"/>
    <w:rsid w:val="00A33BDD"/>
    <w:rsid w:val="00A35D14"/>
    <w:rsid w:val="00A367DF"/>
    <w:rsid w:val="00A377B6"/>
    <w:rsid w:val="00A402D8"/>
    <w:rsid w:val="00A40D0D"/>
    <w:rsid w:val="00A41262"/>
    <w:rsid w:val="00A43150"/>
    <w:rsid w:val="00A47D20"/>
    <w:rsid w:val="00A47FE3"/>
    <w:rsid w:val="00A53F10"/>
    <w:rsid w:val="00A559B9"/>
    <w:rsid w:val="00A55D57"/>
    <w:rsid w:val="00A5675A"/>
    <w:rsid w:val="00A57242"/>
    <w:rsid w:val="00A57B27"/>
    <w:rsid w:val="00A61315"/>
    <w:rsid w:val="00A61991"/>
    <w:rsid w:val="00A61D43"/>
    <w:rsid w:val="00A61DD8"/>
    <w:rsid w:val="00A620C6"/>
    <w:rsid w:val="00A67CFF"/>
    <w:rsid w:val="00A703A8"/>
    <w:rsid w:val="00A711DF"/>
    <w:rsid w:val="00A72DC3"/>
    <w:rsid w:val="00A7345E"/>
    <w:rsid w:val="00A74767"/>
    <w:rsid w:val="00A74F29"/>
    <w:rsid w:val="00A766FE"/>
    <w:rsid w:val="00A769B9"/>
    <w:rsid w:val="00A80420"/>
    <w:rsid w:val="00A81001"/>
    <w:rsid w:val="00A824EA"/>
    <w:rsid w:val="00A835F3"/>
    <w:rsid w:val="00A84677"/>
    <w:rsid w:val="00A84DAD"/>
    <w:rsid w:val="00A85573"/>
    <w:rsid w:val="00A85E42"/>
    <w:rsid w:val="00A862B1"/>
    <w:rsid w:val="00A86E6E"/>
    <w:rsid w:val="00A87291"/>
    <w:rsid w:val="00A87373"/>
    <w:rsid w:val="00A9093C"/>
    <w:rsid w:val="00A90C63"/>
    <w:rsid w:val="00A91122"/>
    <w:rsid w:val="00A9112E"/>
    <w:rsid w:val="00A941DD"/>
    <w:rsid w:val="00A9487B"/>
    <w:rsid w:val="00A94D55"/>
    <w:rsid w:val="00A94D98"/>
    <w:rsid w:val="00A96803"/>
    <w:rsid w:val="00A97CB3"/>
    <w:rsid w:val="00AA1FFA"/>
    <w:rsid w:val="00AA2F51"/>
    <w:rsid w:val="00AA4723"/>
    <w:rsid w:val="00AA51F5"/>
    <w:rsid w:val="00AA533B"/>
    <w:rsid w:val="00AA564B"/>
    <w:rsid w:val="00AA5897"/>
    <w:rsid w:val="00AA5B2A"/>
    <w:rsid w:val="00AA63CC"/>
    <w:rsid w:val="00AB0C30"/>
    <w:rsid w:val="00AB1D2F"/>
    <w:rsid w:val="00AB1D6E"/>
    <w:rsid w:val="00AB245C"/>
    <w:rsid w:val="00AB272E"/>
    <w:rsid w:val="00AB2FB9"/>
    <w:rsid w:val="00AB5212"/>
    <w:rsid w:val="00AB6B4B"/>
    <w:rsid w:val="00AB71C4"/>
    <w:rsid w:val="00AC0261"/>
    <w:rsid w:val="00AC02A7"/>
    <w:rsid w:val="00AC1C4A"/>
    <w:rsid w:val="00AC3594"/>
    <w:rsid w:val="00AC462F"/>
    <w:rsid w:val="00AC4746"/>
    <w:rsid w:val="00AD09CB"/>
    <w:rsid w:val="00AD0DC0"/>
    <w:rsid w:val="00AD0F68"/>
    <w:rsid w:val="00AD3E13"/>
    <w:rsid w:val="00AD4443"/>
    <w:rsid w:val="00AD55FE"/>
    <w:rsid w:val="00AD5E4D"/>
    <w:rsid w:val="00AD5F9A"/>
    <w:rsid w:val="00AD73A2"/>
    <w:rsid w:val="00AD799A"/>
    <w:rsid w:val="00AD7A8E"/>
    <w:rsid w:val="00AE1701"/>
    <w:rsid w:val="00AE2503"/>
    <w:rsid w:val="00AE34A0"/>
    <w:rsid w:val="00AF1178"/>
    <w:rsid w:val="00AF2DE4"/>
    <w:rsid w:val="00AF46DD"/>
    <w:rsid w:val="00AF5338"/>
    <w:rsid w:val="00AF55B3"/>
    <w:rsid w:val="00AF580F"/>
    <w:rsid w:val="00AF5F10"/>
    <w:rsid w:val="00AF648E"/>
    <w:rsid w:val="00AF6BAD"/>
    <w:rsid w:val="00AF7862"/>
    <w:rsid w:val="00B00AA8"/>
    <w:rsid w:val="00B02D87"/>
    <w:rsid w:val="00B03DF3"/>
    <w:rsid w:val="00B05724"/>
    <w:rsid w:val="00B0717E"/>
    <w:rsid w:val="00B071AD"/>
    <w:rsid w:val="00B106EC"/>
    <w:rsid w:val="00B12034"/>
    <w:rsid w:val="00B12494"/>
    <w:rsid w:val="00B1283D"/>
    <w:rsid w:val="00B129B7"/>
    <w:rsid w:val="00B14811"/>
    <w:rsid w:val="00B14C6F"/>
    <w:rsid w:val="00B15C57"/>
    <w:rsid w:val="00B16232"/>
    <w:rsid w:val="00B17B97"/>
    <w:rsid w:val="00B2389A"/>
    <w:rsid w:val="00B25512"/>
    <w:rsid w:val="00B2595B"/>
    <w:rsid w:val="00B2611E"/>
    <w:rsid w:val="00B265CA"/>
    <w:rsid w:val="00B267D8"/>
    <w:rsid w:val="00B26A1A"/>
    <w:rsid w:val="00B3008D"/>
    <w:rsid w:val="00B31079"/>
    <w:rsid w:val="00B313CD"/>
    <w:rsid w:val="00B32485"/>
    <w:rsid w:val="00B33CC5"/>
    <w:rsid w:val="00B3431E"/>
    <w:rsid w:val="00B34EBD"/>
    <w:rsid w:val="00B34FAD"/>
    <w:rsid w:val="00B351AC"/>
    <w:rsid w:val="00B352CF"/>
    <w:rsid w:val="00B3535C"/>
    <w:rsid w:val="00B3594B"/>
    <w:rsid w:val="00B35AF2"/>
    <w:rsid w:val="00B37FC0"/>
    <w:rsid w:val="00B412E1"/>
    <w:rsid w:val="00B41C55"/>
    <w:rsid w:val="00B41E70"/>
    <w:rsid w:val="00B42E37"/>
    <w:rsid w:val="00B43FA5"/>
    <w:rsid w:val="00B45A3F"/>
    <w:rsid w:val="00B4602C"/>
    <w:rsid w:val="00B463F5"/>
    <w:rsid w:val="00B46CF3"/>
    <w:rsid w:val="00B46D02"/>
    <w:rsid w:val="00B473A4"/>
    <w:rsid w:val="00B47A0C"/>
    <w:rsid w:val="00B47FC6"/>
    <w:rsid w:val="00B50AB6"/>
    <w:rsid w:val="00B50E1C"/>
    <w:rsid w:val="00B51916"/>
    <w:rsid w:val="00B51BAC"/>
    <w:rsid w:val="00B54C5D"/>
    <w:rsid w:val="00B54F0D"/>
    <w:rsid w:val="00B55023"/>
    <w:rsid w:val="00B55185"/>
    <w:rsid w:val="00B55797"/>
    <w:rsid w:val="00B5700B"/>
    <w:rsid w:val="00B609DE"/>
    <w:rsid w:val="00B61843"/>
    <w:rsid w:val="00B621AE"/>
    <w:rsid w:val="00B6383A"/>
    <w:rsid w:val="00B64198"/>
    <w:rsid w:val="00B64AD0"/>
    <w:rsid w:val="00B64C0B"/>
    <w:rsid w:val="00B64DC9"/>
    <w:rsid w:val="00B653D4"/>
    <w:rsid w:val="00B65AD4"/>
    <w:rsid w:val="00B660A5"/>
    <w:rsid w:val="00B669F2"/>
    <w:rsid w:val="00B66FE7"/>
    <w:rsid w:val="00B67962"/>
    <w:rsid w:val="00B701E4"/>
    <w:rsid w:val="00B7062B"/>
    <w:rsid w:val="00B73C67"/>
    <w:rsid w:val="00B73FCA"/>
    <w:rsid w:val="00B74004"/>
    <w:rsid w:val="00B7466B"/>
    <w:rsid w:val="00B754D6"/>
    <w:rsid w:val="00B806F9"/>
    <w:rsid w:val="00B82171"/>
    <w:rsid w:val="00B82E11"/>
    <w:rsid w:val="00B8330D"/>
    <w:rsid w:val="00B846EA"/>
    <w:rsid w:val="00B8494F"/>
    <w:rsid w:val="00B85984"/>
    <w:rsid w:val="00B8616B"/>
    <w:rsid w:val="00B86C52"/>
    <w:rsid w:val="00B8736B"/>
    <w:rsid w:val="00B87B85"/>
    <w:rsid w:val="00B902C5"/>
    <w:rsid w:val="00B90E5E"/>
    <w:rsid w:val="00B91651"/>
    <w:rsid w:val="00B92967"/>
    <w:rsid w:val="00B94310"/>
    <w:rsid w:val="00B94D5B"/>
    <w:rsid w:val="00B95BF6"/>
    <w:rsid w:val="00B96923"/>
    <w:rsid w:val="00B96D81"/>
    <w:rsid w:val="00B97214"/>
    <w:rsid w:val="00B97ADB"/>
    <w:rsid w:val="00BA03C7"/>
    <w:rsid w:val="00BA1786"/>
    <w:rsid w:val="00BA1BF4"/>
    <w:rsid w:val="00BA26F3"/>
    <w:rsid w:val="00BA2A99"/>
    <w:rsid w:val="00BA37AF"/>
    <w:rsid w:val="00BA4A87"/>
    <w:rsid w:val="00BA4E86"/>
    <w:rsid w:val="00BA52FC"/>
    <w:rsid w:val="00BA6E93"/>
    <w:rsid w:val="00BA7B35"/>
    <w:rsid w:val="00BB3AAB"/>
    <w:rsid w:val="00BB3ABA"/>
    <w:rsid w:val="00BB457D"/>
    <w:rsid w:val="00BB4ED1"/>
    <w:rsid w:val="00BB5574"/>
    <w:rsid w:val="00BB5D28"/>
    <w:rsid w:val="00BB5FB2"/>
    <w:rsid w:val="00BB6649"/>
    <w:rsid w:val="00BB74FB"/>
    <w:rsid w:val="00BC02C7"/>
    <w:rsid w:val="00BC1615"/>
    <w:rsid w:val="00BC1E5A"/>
    <w:rsid w:val="00BC20E9"/>
    <w:rsid w:val="00BC2FDC"/>
    <w:rsid w:val="00BC3113"/>
    <w:rsid w:val="00BC7B1B"/>
    <w:rsid w:val="00BC7E46"/>
    <w:rsid w:val="00BC7E92"/>
    <w:rsid w:val="00BD0727"/>
    <w:rsid w:val="00BD09DC"/>
    <w:rsid w:val="00BD0AC0"/>
    <w:rsid w:val="00BD1140"/>
    <w:rsid w:val="00BD2201"/>
    <w:rsid w:val="00BD3F7F"/>
    <w:rsid w:val="00BD4E27"/>
    <w:rsid w:val="00BD61C0"/>
    <w:rsid w:val="00BD6532"/>
    <w:rsid w:val="00BD6CEE"/>
    <w:rsid w:val="00BD6DFA"/>
    <w:rsid w:val="00BD6E65"/>
    <w:rsid w:val="00BE008A"/>
    <w:rsid w:val="00BE0232"/>
    <w:rsid w:val="00BE042D"/>
    <w:rsid w:val="00BE1D1F"/>
    <w:rsid w:val="00BE277B"/>
    <w:rsid w:val="00BE2D31"/>
    <w:rsid w:val="00BE2E12"/>
    <w:rsid w:val="00BE3394"/>
    <w:rsid w:val="00BE3AE0"/>
    <w:rsid w:val="00BE5805"/>
    <w:rsid w:val="00BE771D"/>
    <w:rsid w:val="00BE7C76"/>
    <w:rsid w:val="00BF0AD4"/>
    <w:rsid w:val="00BF131C"/>
    <w:rsid w:val="00BF435E"/>
    <w:rsid w:val="00BF4F97"/>
    <w:rsid w:val="00BF5944"/>
    <w:rsid w:val="00BF655E"/>
    <w:rsid w:val="00BF6873"/>
    <w:rsid w:val="00BF76C9"/>
    <w:rsid w:val="00BF7B22"/>
    <w:rsid w:val="00BF7C81"/>
    <w:rsid w:val="00C01493"/>
    <w:rsid w:val="00C027CC"/>
    <w:rsid w:val="00C02DF5"/>
    <w:rsid w:val="00C06E5F"/>
    <w:rsid w:val="00C07FBF"/>
    <w:rsid w:val="00C1010E"/>
    <w:rsid w:val="00C1071F"/>
    <w:rsid w:val="00C10B04"/>
    <w:rsid w:val="00C112BF"/>
    <w:rsid w:val="00C11564"/>
    <w:rsid w:val="00C11893"/>
    <w:rsid w:val="00C1486B"/>
    <w:rsid w:val="00C1737E"/>
    <w:rsid w:val="00C20081"/>
    <w:rsid w:val="00C21807"/>
    <w:rsid w:val="00C23E87"/>
    <w:rsid w:val="00C25563"/>
    <w:rsid w:val="00C2689F"/>
    <w:rsid w:val="00C273C4"/>
    <w:rsid w:val="00C302DF"/>
    <w:rsid w:val="00C31CA7"/>
    <w:rsid w:val="00C321E3"/>
    <w:rsid w:val="00C32DBE"/>
    <w:rsid w:val="00C33238"/>
    <w:rsid w:val="00C3392B"/>
    <w:rsid w:val="00C33B2D"/>
    <w:rsid w:val="00C342A4"/>
    <w:rsid w:val="00C34732"/>
    <w:rsid w:val="00C35207"/>
    <w:rsid w:val="00C35CB6"/>
    <w:rsid w:val="00C35D26"/>
    <w:rsid w:val="00C36892"/>
    <w:rsid w:val="00C36DC3"/>
    <w:rsid w:val="00C37303"/>
    <w:rsid w:val="00C40D95"/>
    <w:rsid w:val="00C42D1A"/>
    <w:rsid w:val="00C43215"/>
    <w:rsid w:val="00C453D7"/>
    <w:rsid w:val="00C47DCD"/>
    <w:rsid w:val="00C50B13"/>
    <w:rsid w:val="00C510DC"/>
    <w:rsid w:val="00C51B0F"/>
    <w:rsid w:val="00C52B6A"/>
    <w:rsid w:val="00C52DB3"/>
    <w:rsid w:val="00C56176"/>
    <w:rsid w:val="00C57F49"/>
    <w:rsid w:val="00C611BE"/>
    <w:rsid w:val="00C62072"/>
    <w:rsid w:val="00C620A0"/>
    <w:rsid w:val="00C626A3"/>
    <w:rsid w:val="00C63A15"/>
    <w:rsid w:val="00C63E5B"/>
    <w:rsid w:val="00C64085"/>
    <w:rsid w:val="00C641A6"/>
    <w:rsid w:val="00C643F1"/>
    <w:rsid w:val="00C6441B"/>
    <w:rsid w:val="00C64E14"/>
    <w:rsid w:val="00C653D5"/>
    <w:rsid w:val="00C653E8"/>
    <w:rsid w:val="00C65731"/>
    <w:rsid w:val="00C67ACD"/>
    <w:rsid w:val="00C67CB7"/>
    <w:rsid w:val="00C71F49"/>
    <w:rsid w:val="00C7390C"/>
    <w:rsid w:val="00C73C6E"/>
    <w:rsid w:val="00C76A76"/>
    <w:rsid w:val="00C8247E"/>
    <w:rsid w:val="00C82550"/>
    <w:rsid w:val="00C8446A"/>
    <w:rsid w:val="00C845D2"/>
    <w:rsid w:val="00C846A1"/>
    <w:rsid w:val="00C85CAC"/>
    <w:rsid w:val="00C85DE4"/>
    <w:rsid w:val="00C863C0"/>
    <w:rsid w:val="00C875F1"/>
    <w:rsid w:val="00C876D5"/>
    <w:rsid w:val="00C90560"/>
    <w:rsid w:val="00C906C4"/>
    <w:rsid w:val="00C90E1D"/>
    <w:rsid w:val="00C913EA"/>
    <w:rsid w:val="00C91B20"/>
    <w:rsid w:val="00C91E4E"/>
    <w:rsid w:val="00C924BA"/>
    <w:rsid w:val="00C92C14"/>
    <w:rsid w:val="00C93137"/>
    <w:rsid w:val="00C93A04"/>
    <w:rsid w:val="00C940F8"/>
    <w:rsid w:val="00C94A17"/>
    <w:rsid w:val="00C95537"/>
    <w:rsid w:val="00C96417"/>
    <w:rsid w:val="00C9728E"/>
    <w:rsid w:val="00CA1992"/>
    <w:rsid w:val="00CA2572"/>
    <w:rsid w:val="00CA3B87"/>
    <w:rsid w:val="00CA3D79"/>
    <w:rsid w:val="00CA513F"/>
    <w:rsid w:val="00CA5DA3"/>
    <w:rsid w:val="00CA6441"/>
    <w:rsid w:val="00CB0BC3"/>
    <w:rsid w:val="00CB123A"/>
    <w:rsid w:val="00CB3090"/>
    <w:rsid w:val="00CB34BE"/>
    <w:rsid w:val="00CB3713"/>
    <w:rsid w:val="00CB39F2"/>
    <w:rsid w:val="00CB41F2"/>
    <w:rsid w:val="00CB67FA"/>
    <w:rsid w:val="00CB781F"/>
    <w:rsid w:val="00CC0734"/>
    <w:rsid w:val="00CC4289"/>
    <w:rsid w:val="00CC455D"/>
    <w:rsid w:val="00CC6159"/>
    <w:rsid w:val="00CC64CE"/>
    <w:rsid w:val="00CC7C36"/>
    <w:rsid w:val="00CD0EC7"/>
    <w:rsid w:val="00CD115B"/>
    <w:rsid w:val="00CD123E"/>
    <w:rsid w:val="00CD2DE2"/>
    <w:rsid w:val="00CD355E"/>
    <w:rsid w:val="00CD3814"/>
    <w:rsid w:val="00CD406A"/>
    <w:rsid w:val="00CD608F"/>
    <w:rsid w:val="00CD61B0"/>
    <w:rsid w:val="00CD6C63"/>
    <w:rsid w:val="00CD6E0A"/>
    <w:rsid w:val="00CD722D"/>
    <w:rsid w:val="00CE02CB"/>
    <w:rsid w:val="00CE1587"/>
    <w:rsid w:val="00CE17C7"/>
    <w:rsid w:val="00CE1CB4"/>
    <w:rsid w:val="00CE2452"/>
    <w:rsid w:val="00CE264C"/>
    <w:rsid w:val="00CE3836"/>
    <w:rsid w:val="00CE4670"/>
    <w:rsid w:val="00CE470B"/>
    <w:rsid w:val="00CE6EA3"/>
    <w:rsid w:val="00CE7DFE"/>
    <w:rsid w:val="00CF07CD"/>
    <w:rsid w:val="00CF0B05"/>
    <w:rsid w:val="00CF1264"/>
    <w:rsid w:val="00CF274E"/>
    <w:rsid w:val="00CF2C16"/>
    <w:rsid w:val="00CF3E35"/>
    <w:rsid w:val="00CF3FF0"/>
    <w:rsid w:val="00CF5087"/>
    <w:rsid w:val="00CF622A"/>
    <w:rsid w:val="00CF7512"/>
    <w:rsid w:val="00D0138F"/>
    <w:rsid w:val="00D01DFB"/>
    <w:rsid w:val="00D0244C"/>
    <w:rsid w:val="00D036A7"/>
    <w:rsid w:val="00D03ED8"/>
    <w:rsid w:val="00D046BA"/>
    <w:rsid w:val="00D04903"/>
    <w:rsid w:val="00D06172"/>
    <w:rsid w:val="00D068E3"/>
    <w:rsid w:val="00D07261"/>
    <w:rsid w:val="00D10225"/>
    <w:rsid w:val="00D1048C"/>
    <w:rsid w:val="00D1082E"/>
    <w:rsid w:val="00D12137"/>
    <w:rsid w:val="00D12C20"/>
    <w:rsid w:val="00D12FDB"/>
    <w:rsid w:val="00D14A63"/>
    <w:rsid w:val="00D151F5"/>
    <w:rsid w:val="00D157B5"/>
    <w:rsid w:val="00D16D1B"/>
    <w:rsid w:val="00D17431"/>
    <w:rsid w:val="00D174E0"/>
    <w:rsid w:val="00D21E31"/>
    <w:rsid w:val="00D2201B"/>
    <w:rsid w:val="00D22242"/>
    <w:rsid w:val="00D22BEF"/>
    <w:rsid w:val="00D2381F"/>
    <w:rsid w:val="00D23ACC"/>
    <w:rsid w:val="00D24CFA"/>
    <w:rsid w:val="00D269B7"/>
    <w:rsid w:val="00D27B58"/>
    <w:rsid w:val="00D3123F"/>
    <w:rsid w:val="00D324B7"/>
    <w:rsid w:val="00D33483"/>
    <w:rsid w:val="00D334DE"/>
    <w:rsid w:val="00D33D5E"/>
    <w:rsid w:val="00D34020"/>
    <w:rsid w:val="00D3541B"/>
    <w:rsid w:val="00D36123"/>
    <w:rsid w:val="00D36646"/>
    <w:rsid w:val="00D36DF0"/>
    <w:rsid w:val="00D3717A"/>
    <w:rsid w:val="00D377C8"/>
    <w:rsid w:val="00D37A4B"/>
    <w:rsid w:val="00D4073D"/>
    <w:rsid w:val="00D41437"/>
    <w:rsid w:val="00D41FF3"/>
    <w:rsid w:val="00D420DC"/>
    <w:rsid w:val="00D442CF"/>
    <w:rsid w:val="00D44348"/>
    <w:rsid w:val="00D44BAE"/>
    <w:rsid w:val="00D44D93"/>
    <w:rsid w:val="00D470AC"/>
    <w:rsid w:val="00D50C95"/>
    <w:rsid w:val="00D51C6B"/>
    <w:rsid w:val="00D52FAC"/>
    <w:rsid w:val="00D54041"/>
    <w:rsid w:val="00D54374"/>
    <w:rsid w:val="00D545B4"/>
    <w:rsid w:val="00D54B55"/>
    <w:rsid w:val="00D5620F"/>
    <w:rsid w:val="00D60525"/>
    <w:rsid w:val="00D605D2"/>
    <w:rsid w:val="00D606DA"/>
    <w:rsid w:val="00D60E96"/>
    <w:rsid w:val="00D61E2D"/>
    <w:rsid w:val="00D61ED9"/>
    <w:rsid w:val="00D634B2"/>
    <w:rsid w:val="00D6382A"/>
    <w:rsid w:val="00D642FE"/>
    <w:rsid w:val="00D6488A"/>
    <w:rsid w:val="00D652ED"/>
    <w:rsid w:val="00D654E0"/>
    <w:rsid w:val="00D657A6"/>
    <w:rsid w:val="00D65E71"/>
    <w:rsid w:val="00D676E3"/>
    <w:rsid w:val="00D67CEA"/>
    <w:rsid w:val="00D72136"/>
    <w:rsid w:val="00D72F7C"/>
    <w:rsid w:val="00D7528E"/>
    <w:rsid w:val="00D75683"/>
    <w:rsid w:val="00D757C4"/>
    <w:rsid w:val="00D76256"/>
    <w:rsid w:val="00D7686E"/>
    <w:rsid w:val="00D76F38"/>
    <w:rsid w:val="00D809EE"/>
    <w:rsid w:val="00D81617"/>
    <w:rsid w:val="00D82163"/>
    <w:rsid w:val="00D83485"/>
    <w:rsid w:val="00D8354E"/>
    <w:rsid w:val="00D835B6"/>
    <w:rsid w:val="00D84F3F"/>
    <w:rsid w:val="00D85AFB"/>
    <w:rsid w:val="00D871F6"/>
    <w:rsid w:val="00D901AA"/>
    <w:rsid w:val="00D90A4D"/>
    <w:rsid w:val="00D91B57"/>
    <w:rsid w:val="00D93580"/>
    <w:rsid w:val="00D95002"/>
    <w:rsid w:val="00D9542A"/>
    <w:rsid w:val="00D95489"/>
    <w:rsid w:val="00D95C3F"/>
    <w:rsid w:val="00D95FA5"/>
    <w:rsid w:val="00D96674"/>
    <w:rsid w:val="00D972CB"/>
    <w:rsid w:val="00D97E5C"/>
    <w:rsid w:val="00D97EDE"/>
    <w:rsid w:val="00DA0BBA"/>
    <w:rsid w:val="00DA16E5"/>
    <w:rsid w:val="00DA3996"/>
    <w:rsid w:val="00DA4CC1"/>
    <w:rsid w:val="00DA53ED"/>
    <w:rsid w:val="00DA6907"/>
    <w:rsid w:val="00DB1ECD"/>
    <w:rsid w:val="00DB207B"/>
    <w:rsid w:val="00DB25EC"/>
    <w:rsid w:val="00DB3101"/>
    <w:rsid w:val="00DB396D"/>
    <w:rsid w:val="00DB3981"/>
    <w:rsid w:val="00DB3A95"/>
    <w:rsid w:val="00DB40E5"/>
    <w:rsid w:val="00DB635A"/>
    <w:rsid w:val="00DB64C1"/>
    <w:rsid w:val="00DB6A55"/>
    <w:rsid w:val="00DB75A1"/>
    <w:rsid w:val="00DB7D9A"/>
    <w:rsid w:val="00DC1B0B"/>
    <w:rsid w:val="00DC522F"/>
    <w:rsid w:val="00DC524E"/>
    <w:rsid w:val="00DC5F61"/>
    <w:rsid w:val="00DC61A4"/>
    <w:rsid w:val="00DC6352"/>
    <w:rsid w:val="00DC6406"/>
    <w:rsid w:val="00DC74B0"/>
    <w:rsid w:val="00DC768F"/>
    <w:rsid w:val="00DC7877"/>
    <w:rsid w:val="00DD074D"/>
    <w:rsid w:val="00DD20B5"/>
    <w:rsid w:val="00DD2158"/>
    <w:rsid w:val="00DD29D9"/>
    <w:rsid w:val="00DD2B28"/>
    <w:rsid w:val="00DD3E3F"/>
    <w:rsid w:val="00DD59B5"/>
    <w:rsid w:val="00DD5C91"/>
    <w:rsid w:val="00DD5EA4"/>
    <w:rsid w:val="00DD7868"/>
    <w:rsid w:val="00DE1E20"/>
    <w:rsid w:val="00DE3CBE"/>
    <w:rsid w:val="00DE5062"/>
    <w:rsid w:val="00DE5339"/>
    <w:rsid w:val="00DE787F"/>
    <w:rsid w:val="00DF06DF"/>
    <w:rsid w:val="00DF0855"/>
    <w:rsid w:val="00DF0D23"/>
    <w:rsid w:val="00DF1080"/>
    <w:rsid w:val="00DF11B2"/>
    <w:rsid w:val="00DF124D"/>
    <w:rsid w:val="00DF3D96"/>
    <w:rsid w:val="00DF4163"/>
    <w:rsid w:val="00DF4E7A"/>
    <w:rsid w:val="00DF6BFB"/>
    <w:rsid w:val="00DF71F4"/>
    <w:rsid w:val="00E0142B"/>
    <w:rsid w:val="00E01822"/>
    <w:rsid w:val="00E022C1"/>
    <w:rsid w:val="00E04739"/>
    <w:rsid w:val="00E04D4B"/>
    <w:rsid w:val="00E06510"/>
    <w:rsid w:val="00E068C8"/>
    <w:rsid w:val="00E109CE"/>
    <w:rsid w:val="00E11B4B"/>
    <w:rsid w:val="00E1278D"/>
    <w:rsid w:val="00E13506"/>
    <w:rsid w:val="00E14C9F"/>
    <w:rsid w:val="00E15FBB"/>
    <w:rsid w:val="00E1694C"/>
    <w:rsid w:val="00E17373"/>
    <w:rsid w:val="00E200F7"/>
    <w:rsid w:val="00E2106B"/>
    <w:rsid w:val="00E23328"/>
    <w:rsid w:val="00E233A9"/>
    <w:rsid w:val="00E23457"/>
    <w:rsid w:val="00E24331"/>
    <w:rsid w:val="00E24AA4"/>
    <w:rsid w:val="00E25AA9"/>
    <w:rsid w:val="00E2661E"/>
    <w:rsid w:val="00E26B2F"/>
    <w:rsid w:val="00E2705B"/>
    <w:rsid w:val="00E27B83"/>
    <w:rsid w:val="00E32560"/>
    <w:rsid w:val="00E33326"/>
    <w:rsid w:val="00E36027"/>
    <w:rsid w:val="00E36901"/>
    <w:rsid w:val="00E3693F"/>
    <w:rsid w:val="00E36F06"/>
    <w:rsid w:val="00E37C59"/>
    <w:rsid w:val="00E40E42"/>
    <w:rsid w:val="00E432BA"/>
    <w:rsid w:val="00E4342B"/>
    <w:rsid w:val="00E43E06"/>
    <w:rsid w:val="00E4595F"/>
    <w:rsid w:val="00E46883"/>
    <w:rsid w:val="00E46EF4"/>
    <w:rsid w:val="00E473E6"/>
    <w:rsid w:val="00E47CD7"/>
    <w:rsid w:val="00E502D1"/>
    <w:rsid w:val="00E50F97"/>
    <w:rsid w:val="00E53883"/>
    <w:rsid w:val="00E53B1E"/>
    <w:rsid w:val="00E55BAC"/>
    <w:rsid w:val="00E56DEF"/>
    <w:rsid w:val="00E56F28"/>
    <w:rsid w:val="00E57D8F"/>
    <w:rsid w:val="00E60770"/>
    <w:rsid w:val="00E62BE7"/>
    <w:rsid w:val="00E6301A"/>
    <w:rsid w:val="00E64463"/>
    <w:rsid w:val="00E64FA9"/>
    <w:rsid w:val="00E65635"/>
    <w:rsid w:val="00E66EFB"/>
    <w:rsid w:val="00E6768D"/>
    <w:rsid w:val="00E70869"/>
    <w:rsid w:val="00E70D75"/>
    <w:rsid w:val="00E7501C"/>
    <w:rsid w:val="00E75799"/>
    <w:rsid w:val="00E76AA6"/>
    <w:rsid w:val="00E77790"/>
    <w:rsid w:val="00E820C8"/>
    <w:rsid w:val="00E839DB"/>
    <w:rsid w:val="00E84628"/>
    <w:rsid w:val="00E85CDF"/>
    <w:rsid w:val="00E861A1"/>
    <w:rsid w:val="00E868F5"/>
    <w:rsid w:val="00E87186"/>
    <w:rsid w:val="00E90167"/>
    <w:rsid w:val="00E90175"/>
    <w:rsid w:val="00E90195"/>
    <w:rsid w:val="00E915F8"/>
    <w:rsid w:val="00E924A1"/>
    <w:rsid w:val="00E92AC8"/>
    <w:rsid w:val="00E92B25"/>
    <w:rsid w:val="00E97E70"/>
    <w:rsid w:val="00EA0D7E"/>
    <w:rsid w:val="00EA24C1"/>
    <w:rsid w:val="00EA26EE"/>
    <w:rsid w:val="00EA3D94"/>
    <w:rsid w:val="00EA4F17"/>
    <w:rsid w:val="00EA63A3"/>
    <w:rsid w:val="00EA7235"/>
    <w:rsid w:val="00EB2ED3"/>
    <w:rsid w:val="00EB3762"/>
    <w:rsid w:val="00EB4BCB"/>
    <w:rsid w:val="00EB4CE6"/>
    <w:rsid w:val="00EB51F4"/>
    <w:rsid w:val="00EB7B3B"/>
    <w:rsid w:val="00EB7F7B"/>
    <w:rsid w:val="00EC09A4"/>
    <w:rsid w:val="00EC3550"/>
    <w:rsid w:val="00EC6627"/>
    <w:rsid w:val="00EC6B7E"/>
    <w:rsid w:val="00EC6FB3"/>
    <w:rsid w:val="00EC79B5"/>
    <w:rsid w:val="00ED1694"/>
    <w:rsid w:val="00ED1E44"/>
    <w:rsid w:val="00ED1FCB"/>
    <w:rsid w:val="00ED2049"/>
    <w:rsid w:val="00ED2773"/>
    <w:rsid w:val="00ED3D11"/>
    <w:rsid w:val="00ED4A05"/>
    <w:rsid w:val="00ED5CBA"/>
    <w:rsid w:val="00ED6519"/>
    <w:rsid w:val="00EE07C2"/>
    <w:rsid w:val="00EE1202"/>
    <w:rsid w:val="00EE4605"/>
    <w:rsid w:val="00EE54C4"/>
    <w:rsid w:val="00EE5C8B"/>
    <w:rsid w:val="00EE65D4"/>
    <w:rsid w:val="00EF0482"/>
    <w:rsid w:val="00EF07BD"/>
    <w:rsid w:val="00EF1002"/>
    <w:rsid w:val="00EF1E4A"/>
    <w:rsid w:val="00EF2AE2"/>
    <w:rsid w:val="00EF2D82"/>
    <w:rsid w:val="00EF3E9A"/>
    <w:rsid w:val="00EF476F"/>
    <w:rsid w:val="00EF766B"/>
    <w:rsid w:val="00EF78CF"/>
    <w:rsid w:val="00F00051"/>
    <w:rsid w:val="00F011F7"/>
    <w:rsid w:val="00F0139B"/>
    <w:rsid w:val="00F01C87"/>
    <w:rsid w:val="00F01D4C"/>
    <w:rsid w:val="00F024D0"/>
    <w:rsid w:val="00F02EB6"/>
    <w:rsid w:val="00F02F79"/>
    <w:rsid w:val="00F03305"/>
    <w:rsid w:val="00F0431C"/>
    <w:rsid w:val="00F044B1"/>
    <w:rsid w:val="00F04570"/>
    <w:rsid w:val="00F04DEC"/>
    <w:rsid w:val="00F04E95"/>
    <w:rsid w:val="00F05954"/>
    <w:rsid w:val="00F067B2"/>
    <w:rsid w:val="00F07528"/>
    <w:rsid w:val="00F07C3E"/>
    <w:rsid w:val="00F11744"/>
    <w:rsid w:val="00F11ADC"/>
    <w:rsid w:val="00F11B14"/>
    <w:rsid w:val="00F126A3"/>
    <w:rsid w:val="00F12A82"/>
    <w:rsid w:val="00F12F38"/>
    <w:rsid w:val="00F1350E"/>
    <w:rsid w:val="00F13BC1"/>
    <w:rsid w:val="00F13F14"/>
    <w:rsid w:val="00F14005"/>
    <w:rsid w:val="00F14355"/>
    <w:rsid w:val="00F15580"/>
    <w:rsid w:val="00F15906"/>
    <w:rsid w:val="00F1737C"/>
    <w:rsid w:val="00F21422"/>
    <w:rsid w:val="00F226FA"/>
    <w:rsid w:val="00F2349F"/>
    <w:rsid w:val="00F236CC"/>
    <w:rsid w:val="00F2701A"/>
    <w:rsid w:val="00F276C8"/>
    <w:rsid w:val="00F27F8F"/>
    <w:rsid w:val="00F31CEB"/>
    <w:rsid w:val="00F32C68"/>
    <w:rsid w:val="00F34D51"/>
    <w:rsid w:val="00F354D3"/>
    <w:rsid w:val="00F36885"/>
    <w:rsid w:val="00F3728B"/>
    <w:rsid w:val="00F37983"/>
    <w:rsid w:val="00F41AB4"/>
    <w:rsid w:val="00F41AC3"/>
    <w:rsid w:val="00F44013"/>
    <w:rsid w:val="00F45556"/>
    <w:rsid w:val="00F4606E"/>
    <w:rsid w:val="00F4627E"/>
    <w:rsid w:val="00F47BA8"/>
    <w:rsid w:val="00F50D3D"/>
    <w:rsid w:val="00F52140"/>
    <w:rsid w:val="00F52E2E"/>
    <w:rsid w:val="00F552AE"/>
    <w:rsid w:val="00F552E8"/>
    <w:rsid w:val="00F56581"/>
    <w:rsid w:val="00F574C3"/>
    <w:rsid w:val="00F60E2D"/>
    <w:rsid w:val="00F61ED7"/>
    <w:rsid w:val="00F621D7"/>
    <w:rsid w:val="00F62261"/>
    <w:rsid w:val="00F64FB4"/>
    <w:rsid w:val="00F65381"/>
    <w:rsid w:val="00F66EE3"/>
    <w:rsid w:val="00F677A9"/>
    <w:rsid w:val="00F706BA"/>
    <w:rsid w:val="00F717FA"/>
    <w:rsid w:val="00F7286A"/>
    <w:rsid w:val="00F72D4D"/>
    <w:rsid w:val="00F741A1"/>
    <w:rsid w:val="00F75712"/>
    <w:rsid w:val="00F76D9E"/>
    <w:rsid w:val="00F770F9"/>
    <w:rsid w:val="00F77D8B"/>
    <w:rsid w:val="00F80685"/>
    <w:rsid w:val="00F808B0"/>
    <w:rsid w:val="00F80FC6"/>
    <w:rsid w:val="00F8202B"/>
    <w:rsid w:val="00F8252D"/>
    <w:rsid w:val="00F82C62"/>
    <w:rsid w:val="00F82DFE"/>
    <w:rsid w:val="00F83A91"/>
    <w:rsid w:val="00F83E55"/>
    <w:rsid w:val="00F85984"/>
    <w:rsid w:val="00F86801"/>
    <w:rsid w:val="00F86877"/>
    <w:rsid w:val="00F900BF"/>
    <w:rsid w:val="00F9023A"/>
    <w:rsid w:val="00F90DE1"/>
    <w:rsid w:val="00F90E27"/>
    <w:rsid w:val="00F9118D"/>
    <w:rsid w:val="00F91C68"/>
    <w:rsid w:val="00F91F58"/>
    <w:rsid w:val="00F925CF"/>
    <w:rsid w:val="00F92818"/>
    <w:rsid w:val="00F95C1A"/>
    <w:rsid w:val="00F969A8"/>
    <w:rsid w:val="00F96AFC"/>
    <w:rsid w:val="00FA00BD"/>
    <w:rsid w:val="00FA0692"/>
    <w:rsid w:val="00FA1248"/>
    <w:rsid w:val="00FA6DA2"/>
    <w:rsid w:val="00FA7E6E"/>
    <w:rsid w:val="00FB0403"/>
    <w:rsid w:val="00FB0707"/>
    <w:rsid w:val="00FB0CF6"/>
    <w:rsid w:val="00FB11C0"/>
    <w:rsid w:val="00FB17CB"/>
    <w:rsid w:val="00FB21D4"/>
    <w:rsid w:val="00FB30D4"/>
    <w:rsid w:val="00FB3AC9"/>
    <w:rsid w:val="00FB45F8"/>
    <w:rsid w:val="00FB4816"/>
    <w:rsid w:val="00FB4DC2"/>
    <w:rsid w:val="00FB5DE6"/>
    <w:rsid w:val="00FB6475"/>
    <w:rsid w:val="00FB716C"/>
    <w:rsid w:val="00FB79A0"/>
    <w:rsid w:val="00FB7EEA"/>
    <w:rsid w:val="00FC05E7"/>
    <w:rsid w:val="00FC1128"/>
    <w:rsid w:val="00FC6B38"/>
    <w:rsid w:val="00FC722D"/>
    <w:rsid w:val="00FD07E2"/>
    <w:rsid w:val="00FD1DC4"/>
    <w:rsid w:val="00FD3D19"/>
    <w:rsid w:val="00FD486B"/>
    <w:rsid w:val="00FD605D"/>
    <w:rsid w:val="00FD6480"/>
    <w:rsid w:val="00FD73E0"/>
    <w:rsid w:val="00FD7B3A"/>
    <w:rsid w:val="00FE3675"/>
    <w:rsid w:val="00FE7FA1"/>
    <w:rsid w:val="00FF01D9"/>
    <w:rsid w:val="00FF07E6"/>
    <w:rsid w:val="00FF365A"/>
    <w:rsid w:val="00FF4169"/>
    <w:rsid w:val="00FF4224"/>
    <w:rsid w:val="00FF5695"/>
    <w:rsid w:val="00FF76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E0717"/>
  <w15:docId w15:val="{4CF61CCB-936D-41C8-A7DC-59C90E563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4C79E2"/>
    <w:pPr>
      <w:spacing w:after="0" w:line="240" w:lineRule="auto"/>
    </w:pPr>
    <w:rPr>
      <w:sz w:val="20"/>
      <w:szCs w:val="20"/>
    </w:rPr>
  </w:style>
  <w:style w:type="character" w:customStyle="1" w:styleId="a4">
    <w:name w:val="註腳文字 字元"/>
    <w:basedOn w:val="a0"/>
    <w:link w:val="a3"/>
    <w:uiPriority w:val="99"/>
    <w:rsid w:val="004C79E2"/>
    <w:rPr>
      <w:sz w:val="20"/>
      <w:szCs w:val="20"/>
    </w:rPr>
  </w:style>
  <w:style w:type="character" w:styleId="a5">
    <w:name w:val="footnote reference"/>
    <w:basedOn w:val="a0"/>
    <w:uiPriority w:val="99"/>
    <w:semiHidden/>
    <w:unhideWhenUsed/>
    <w:rsid w:val="004C79E2"/>
    <w:rPr>
      <w:vertAlign w:val="superscript"/>
    </w:rPr>
  </w:style>
  <w:style w:type="paragraph" w:styleId="a6">
    <w:name w:val="List Paragraph"/>
    <w:basedOn w:val="a"/>
    <w:uiPriority w:val="34"/>
    <w:qFormat/>
    <w:rsid w:val="0022244B"/>
    <w:pPr>
      <w:ind w:left="720"/>
      <w:contextualSpacing/>
    </w:pPr>
  </w:style>
  <w:style w:type="character" w:styleId="a7">
    <w:name w:val="annotation reference"/>
    <w:basedOn w:val="a0"/>
    <w:uiPriority w:val="99"/>
    <w:semiHidden/>
    <w:unhideWhenUsed/>
    <w:rsid w:val="00D95002"/>
    <w:rPr>
      <w:sz w:val="16"/>
      <w:szCs w:val="16"/>
    </w:rPr>
  </w:style>
  <w:style w:type="paragraph" w:styleId="a8">
    <w:name w:val="annotation text"/>
    <w:basedOn w:val="a"/>
    <w:link w:val="a9"/>
    <w:uiPriority w:val="99"/>
    <w:semiHidden/>
    <w:unhideWhenUsed/>
    <w:rsid w:val="00D95002"/>
    <w:pPr>
      <w:spacing w:line="240" w:lineRule="auto"/>
    </w:pPr>
    <w:rPr>
      <w:sz w:val="20"/>
      <w:szCs w:val="20"/>
    </w:rPr>
  </w:style>
  <w:style w:type="character" w:customStyle="1" w:styleId="a9">
    <w:name w:val="註解文字 字元"/>
    <w:basedOn w:val="a0"/>
    <w:link w:val="a8"/>
    <w:uiPriority w:val="99"/>
    <w:semiHidden/>
    <w:rsid w:val="00D95002"/>
    <w:rPr>
      <w:sz w:val="20"/>
      <w:szCs w:val="20"/>
    </w:rPr>
  </w:style>
  <w:style w:type="paragraph" w:styleId="aa">
    <w:name w:val="annotation subject"/>
    <w:basedOn w:val="a8"/>
    <w:next w:val="a8"/>
    <w:link w:val="ab"/>
    <w:uiPriority w:val="99"/>
    <w:semiHidden/>
    <w:unhideWhenUsed/>
    <w:rsid w:val="00D95002"/>
    <w:rPr>
      <w:b/>
      <w:bCs/>
    </w:rPr>
  </w:style>
  <w:style w:type="character" w:customStyle="1" w:styleId="ab">
    <w:name w:val="註解主旨 字元"/>
    <w:basedOn w:val="a9"/>
    <w:link w:val="aa"/>
    <w:uiPriority w:val="99"/>
    <w:semiHidden/>
    <w:rsid w:val="00D95002"/>
    <w:rPr>
      <w:b/>
      <w:bCs/>
      <w:sz w:val="20"/>
      <w:szCs w:val="20"/>
    </w:rPr>
  </w:style>
  <w:style w:type="paragraph" w:styleId="ac">
    <w:name w:val="Balloon Text"/>
    <w:basedOn w:val="a"/>
    <w:link w:val="ad"/>
    <w:uiPriority w:val="99"/>
    <w:semiHidden/>
    <w:unhideWhenUsed/>
    <w:rsid w:val="00D95002"/>
    <w:pPr>
      <w:spacing w:after="0" w:line="240" w:lineRule="auto"/>
    </w:pPr>
    <w:rPr>
      <w:rFonts w:ascii="Tahoma" w:hAnsi="Tahoma" w:cs="Tahoma"/>
      <w:sz w:val="16"/>
      <w:szCs w:val="16"/>
    </w:rPr>
  </w:style>
  <w:style w:type="character" w:customStyle="1" w:styleId="ad">
    <w:name w:val="註解方塊文字 字元"/>
    <w:basedOn w:val="a0"/>
    <w:link w:val="ac"/>
    <w:uiPriority w:val="99"/>
    <w:semiHidden/>
    <w:rsid w:val="00D95002"/>
    <w:rPr>
      <w:rFonts w:ascii="Tahoma" w:hAnsi="Tahoma" w:cs="Tahoma"/>
      <w:sz w:val="16"/>
      <w:szCs w:val="16"/>
    </w:rPr>
  </w:style>
  <w:style w:type="paragraph" w:styleId="ae">
    <w:name w:val="header"/>
    <w:basedOn w:val="a"/>
    <w:link w:val="af"/>
    <w:uiPriority w:val="99"/>
    <w:unhideWhenUsed/>
    <w:rsid w:val="00D44348"/>
    <w:pPr>
      <w:tabs>
        <w:tab w:val="center" w:pos="4680"/>
        <w:tab w:val="right" w:pos="9360"/>
      </w:tabs>
      <w:spacing w:after="0" w:line="240" w:lineRule="auto"/>
    </w:pPr>
  </w:style>
  <w:style w:type="character" w:customStyle="1" w:styleId="af">
    <w:name w:val="頁首 字元"/>
    <w:basedOn w:val="a0"/>
    <w:link w:val="ae"/>
    <w:uiPriority w:val="99"/>
    <w:rsid w:val="00D44348"/>
  </w:style>
  <w:style w:type="paragraph" w:styleId="af0">
    <w:name w:val="footer"/>
    <w:basedOn w:val="a"/>
    <w:link w:val="af1"/>
    <w:uiPriority w:val="99"/>
    <w:unhideWhenUsed/>
    <w:rsid w:val="00D44348"/>
    <w:pPr>
      <w:tabs>
        <w:tab w:val="center" w:pos="4680"/>
        <w:tab w:val="right" w:pos="9360"/>
      </w:tabs>
      <w:spacing w:after="0" w:line="240" w:lineRule="auto"/>
    </w:pPr>
  </w:style>
  <w:style w:type="character" w:customStyle="1" w:styleId="af1">
    <w:name w:val="頁尾 字元"/>
    <w:basedOn w:val="a0"/>
    <w:link w:val="af0"/>
    <w:uiPriority w:val="99"/>
    <w:rsid w:val="00D44348"/>
  </w:style>
  <w:style w:type="character" w:styleId="af2">
    <w:name w:val="Placeholder Text"/>
    <w:basedOn w:val="a0"/>
    <w:uiPriority w:val="99"/>
    <w:semiHidden/>
    <w:rsid w:val="005F2FD2"/>
    <w:rPr>
      <w:color w:val="808080"/>
    </w:rPr>
  </w:style>
  <w:style w:type="character" w:styleId="af3">
    <w:name w:val="Hyperlink"/>
    <w:basedOn w:val="a0"/>
    <w:uiPriority w:val="99"/>
    <w:unhideWhenUsed/>
    <w:rsid w:val="005B3F64"/>
    <w:rPr>
      <w:strike w:val="0"/>
      <w:dstrike w:val="0"/>
      <w:color w:val="005B9D"/>
      <w:u w:val="none"/>
      <w:effect w:val="none"/>
    </w:rPr>
  </w:style>
  <w:style w:type="character" w:customStyle="1" w:styleId="xbe">
    <w:name w:val="_xbe"/>
    <w:basedOn w:val="a0"/>
    <w:rsid w:val="0019425B"/>
  </w:style>
  <w:style w:type="table" w:styleId="af4">
    <w:name w:val="Table Grid"/>
    <w:basedOn w:val="a1"/>
    <w:uiPriority w:val="39"/>
    <w:rsid w:val="00215E9A"/>
    <w:pPr>
      <w:spacing w:after="0" w:line="240" w:lineRule="auto"/>
    </w:pPr>
    <w:rPr>
      <w:rFonts w:eastAsiaTheme="minorEastAsia"/>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f4"/>
    <w:uiPriority w:val="39"/>
    <w:rsid w:val="00215E9A"/>
    <w:pPr>
      <w:spacing w:after="0" w:line="240" w:lineRule="auto"/>
    </w:pPr>
    <w:rPr>
      <w:rFonts w:eastAsiaTheme="minorEastAsia"/>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endnote text"/>
    <w:basedOn w:val="a"/>
    <w:link w:val="af6"/>
    <w:uiPriority w:val="99"/>
    <w:semiHidden/>
    <w:unhideWhenUsed/>
    <w:rsid w:val="009877FE"/>
    <w:pPr>
      <w:snapToGrid w:val="0"/>
    </w:pPr>
  </w:style>
  <w:style w:type="character" w:customStyle="1" w:styleId="af6">
    <w:name w:val="章節附註文字 字元"/>
    <w:basedOn w:val="a0"/>
    <w:link w:val="af5"/>
    <w:uiPriority w:val="99"/>
    <w:semiHidden/>
    <w:rsid w:val="009877FE"/>
  </w:style>
  <w:style w:type="character" w:styleId="af7">
    <w:name w:val="endnote reference"/>
    <w:basedOn w:val="a0"/>
    <w:uiPriority w:val="99"/>
    <w:semiHidden/>
    <w:unhideWhenUsed/>
    <w:rsid w:val="009877FE"/>
    <w:rPr>
      <w:vertAlign w:val="superscript"/>
    </w:rPr>
  </w:style>
  <w:style w:type="paragraph" w:styleId="af8">
    <w:name w:val="Revision"/>
    <w:hidden/>
    <w:uiPriority w:val="99"/>
    <w:semiHidden/>
    <w:rsid w:val="007C33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666861">
      <w:bodyDiv w:val="1"/>
      <w:marLeft w:val="0"/>
      <w:marRight w:val="0"/>
      <w:marTop w:val="0"/>
      <w:marBottom w:val="0"/>
      <w:divBdr>
        <w:top w:val="none" w:sz="0" w:space="0" w:color="auto"/>
        <w:left w:val="none" w:sz="0" w:space="0" w:color="auto"/>
        <w:bottom w:val="none" w:sz="0" w:space="0" w:color="auto"/>
        <w:right w:val="none" w:sz="0" w:space="0" w:color="auto"/>
      </w:divBdr>
      <w:divsChild>
        <w:div w:id="588080793">
          <w:marLeft w:val="1166"/>
          <w:marRight w:val="0"/>
          <w:marTop w:val="72"/>
          <w:marBottom w:val="0"/>
          <w:divBdr>
            <w:top w:val="none" w:sz="0" w:space="0" w:color="auto"/>
            <w:left w:val="none" w:sz="0" w:space="0" w:color="auto"/>
            <w:bottom w:val="none" w:sz="0" w:space="0" w:color="auto"/>
            <w:right w:val="none" w:sz="0" w:space="0" w:color="auto"/>
          </w:divBdr>
        </w:div>
        <w:div w:id="1573003531">
          <w:marLeft w:val="1166"/>
          <w:marRight w:val="0"/>
          <w:marTop w:val="72"/>
          <w:marBottom w:val="0"/>
          <w:divBdr>
            <w:top w:val="none" w:sz="0" w:space="0" w:color="auto"/>
            <w:left w:val="none" w:sz="0" w:space="0" w:color="auto"/>
            <w:bottom w:val="none" w:sz="0" w:space="0" w:color="auto"/>
            <w:right w:val="none" w:sz="0" w:space="0" w:color="auto"/>
          </w:divBdr>
        </w:div>
        <w:div w:id="1764567458">
          <w:marLeft w:val="1166"/>
          <w:marRight w:val="0"/>
          <w:marTop w:val="72"/>
          <w:marBottom w:val="0"/>
          <w:divBdr>
            <w:top w:val="none" w:sz="0" w:space="0" w:color="auto"/>
            <w:left w:val="none" w:sz="0" w:space="0" w:color="auto"/>
            <w:bottom w:val="none" w:sz="0" w:space="0" w:color="auto"/>
            <w:right w:val="none" w:sz="0" w:space="0" w:color="auto"/>
          </w:divBdr>
        </w:div>
      </w:divsChild>
    </w:div>
    <w:div w:id="1034311584">
      <w:bodyDiv w:val="1"/>
      <w:marLeft w:val="0"/>
      <w:marRight w:val="0"/>
      <w:marTop w:val="0"/>
      <w:marBottom w:val="0"/>
      <w:divBdr>
        <w:top w:val="none" w:sz="0" w:space="0" w:color="auto"/>
        <w:left w:val="none" w:sz="0" w:space="0" w:color="auto"/>
        <w:bottom w:val="none" w:sz="0" w:space="0" w:color="auto"/>
        <w:right w:val="none" w:sz="0" w:space="0" w:color="auto"/>
      </w:divBdr>
      <w:divsChild>
        <w:div w:id="1400446059">
          <w:marLeft w:val="720"/>
          <w:marRight w:val="0"/>
          <w:marTop w:val="67"/>
          <w:marBottom w:val="0"/>
          <w:divBdr>
            <w:top w:val="none" w:sz="0" w:space="0" w:color="auto"/>
            <w:left w:val="none" w:sz="0" w:space="0" w:color="auto"/>
            <w:bottom w:val="none" w:sz="0" w:space="0" w:color="auto"/>
            <w:right w:val="none" w:sz="0" w:space="0" w:color="auto"/>
          </w:divBdr>
        </w:div>
      </w:divsChild>
    </w:div>
    <w:div w:id="1252738635">
      <w:bodyDiv w:val="1"/>
      <w:marLeft w:val="0"/>
      <w:marRight w:val="0"/>
      <w:marTop w:val="0"/>
      <w:marBottom w:val="0"/>
      <w:divBdr>
        <w:top w:val="none" w:sz="0" w:space="0" w:color="auto"/>
        <w:left w:val="none" w:sz="0" w:space="0" w:color="auto"/>
        <w:bottom w:val="none" w:sz="0" w:space="0" w:color="auto"/>
        <w:right w:val="none" w:sz="0" w:space="0" w:color="auto"/>
      </w:divBdr>
      <w:divsChild>
        <w:div w:id="691612153">
          <w:marLeft w:val="116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chart" Target="charts/chart7.xml"/><Relationship Id="rId39" Type="http://schemas.openxmlformats.org/officeDocument/2006/relationships/chart" Target="charts/chart20.xml"/><Relationship Id="rId21" Type="http://schemas.openxmlformats.org/officeDocument/2006/relationships/chart" Target="charts/chart2.xml"/><Relationship Id="rId34" Type="http://schemas.openxmlformats.org/officeDocument/2006/relationships/chart" Target="charts/chart15.xml"/><Relationship Id="rId42" Type="http://schemas.openxmlformats.org/officeDocument/2006/relationships/chart" Target="charts/chart23.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chart" Target="charts/chart5.xml"/><Relationship Id="rId32" Type="http://schemas.openxmlformats.org/officeDocument/2006/relationships/chart" Target="charts/chart13.xml"/><Relationship Id="rId37" Type="http://schemas.openxmlformats.org/officeDocument/2006/relationships/chart" Target="charts/chart18.xml"/><Relationship Id="rId40" Type="http://schemas.openxmlformats.org/officeDocument/2006/relationships/chart" Target="charts/chart21.xml"/><Relationship Id="rId45" Type="http://schemas.openxmlformats.org/officeDocument/2006/relationships/chart" Target="charts/chart26.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chart" Target="charts/chart4.xml"/><Relationship Id="rId28" Type="http://schemas.openxmlformats.org/officeDocument/2006/relationships/chart" Target="charts/chart9.xml"/><Relationship Id="rId36" Type="http://schemas.openxmlformats.org/officeDocument/2006/relationships/chart" Target="charts/chart17.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chart" Target="charts/chart12.xml"/><Relationship Id="rId44" Type="http://schemas.openxmlformats.org/officeDocument/2006/relationships/chart" Target="charts/chart25.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chart" Target="charts/chart11.xml"/><Relationship Id="rId35" Type="http://schemas.openxmlformats.org/officeDocument/2006/relationships/chart" Target="charts/chart16.xml"/><Relationship Id="rId43" Type="http://schemas.openxmlformats.org/officeDocument/2006/relationships/chart" Target="charts/chart24.xml"/><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footer" Target="footer2.xml"/><Relationship Id="rId25" Type="http://schemas.openxmlformats.org/officeDocument/2006/relationships/chart" Target="charts/chart6.xml"/><Relationship Id="rId33" Type="http://schemas.openxmlformats.org/officeDocument/2006/relationships/chart" Target="charts/chart14.xml"/><Relationship Id="rId38" Type="http://schemas.openxmlformats.org/officeDocument/2006/relationships/chart" Target="charts/chart19.xml"/><Relationship Id="rId46" Type="http://schemas.openxmlformats.org/officeDocument/2006/relationships/chart" Target="charts/chart27.xml"/><Relationship Id="rId20" Type="http://schemas.openxmlformats.org/officeDocument/2006/relationships/chart" Target="charts/chart1.xml"/><Relationship Id="rId41" Type="http://schemas.openxmlformats.org/officeDocument/2006/relationships/chart" Target="charts/chart22.xml"/></Relationships>
</file>

<file path=word/_rels/footnotes.xml.rels><?xml version="1.0" encoding="UTF-8" standalone="yes"?>
<Relationships xmlns="http://schemas.openxmlformats.org/package/2006/relationships"><Relationship Id="rId3" Type="http://schemas.openxmlformats.org/officeDocument/2006/relationships/hyperlink" Target="mailto:ssuardi@uow.edu.au" TargetMode="External"/><Relationship Id="rId2" Type="http://schemas.openxmlformats.org/officeDocument/2006/relationships/hyperlink" Target="mailto:ssuardi@uow.edu.au" TargetMode="External"/><Relationship Id="rId1" Type="http://schemas.openxmlformats.org/officeDocument/2006/relationships/hyperlink" Target="mailto:devin4098@gmail.com" TargetMode="External"/><Relationship Id="rId4" Type="http://schemas.openxmlformats.org/officeDocument/2006/relationships/hyperlink" Target="mailto:ssuardi@uow.edu.au"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L:\2016_Variance%20Risk%20Premium\results\figures.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L:\2016_Variance%20Risk%20Premium\results\figures.xlsx"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CI_Loan_500%20draws.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L:\2016_Variance%20Risk%20Premium\results\figures.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2016_Variance%20Risk%20Premium\a3_Eviews\a_results_impulse%20response\Syndicated_Loan_500%20draw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14352064867305"/>
          <c:y val="4.3290043290043288E-2"/>
          <c:w val="0.7846682397882635"/>
          <c:h val="0.69591964024190622"/>
        </c:manualLayout>
      </c:layout>
      <c:barChart>
        <c:barDir val="col"/>
        <c:grouping val="clustered"/>
        <c:varyColors val="0"/>
        <c:ser>
          <c:idx val="3"/>
          <c:order val="1"/>
          <c:spPr>
            <a:solidFill>
              <a:schemeClr val="bg1">
                <a:lumMod val="85000"/>
              </a:schemeClr>
            </a:solidFill>
            <a:ln>
              <a:solidFill>
                <a:schemeClr val="bg1">
                  <a:lumMod val="85000"/>
                </a:schemeClr>
              </a:solidFill>
            </a:ln>
            <a:effectLst/>
          </c:spPr>
          <c:invertIfNegative val="0"/>
          <c:cat>
            <c:strRef>
              <c:f>VIX!$A$2:$A$105</c:f>
              <c:strCache>
                <c:ptCount val="104"/>
                <c:pt idx="0">
                  <c:v>1990Q1</c:v>
                </c:pt>
                <c:pt idx="1">
                  <c:v>1990Q2</c:v>
                </c:pt>
                <c:pt idx="2">
                  <c:v>1990Q3</c:v>
                </c:pt>
                <c:pt idx="3">
                  <c:v>1990Q4</c:v>
                </c:pt>
                <c:pt idx="4">
                  <c:v>1991Q1</c:v>
                </c:pt>
                <c:pt idx="5">
                  <c:v>1991Q2</c:v>
                </c:pt>
                <c:pt idx="6">
                  <c:v>1991Q3</c:v>
                </c:pt>
                <c:pt idx="7">
                  <c:v>1991Q4</c:v>
                </c:pt>
                <c:pt idx="8">
                  <c:v>1992Q1</c:v>
                </c:pt>
                <c:pt idx="9">
                  <c:v>1992Q2</c:v>
                </c:pt>
                <c:pt idx="10">
                  <c:v>1992Q3</c:v>
                </c:pt>
                <c:pt idx="11">
                  <c:v>1992Q4</c:v>
                </c:pt>
                <c:pt idx="12">
                  <c:v>1993Q1</c:v>
                </c:pt>
                <c:pt idx="13">
                  <c:v>1993Q2</c:v>
                </c:pt>
                <c:pt idx="14">
                  <c:v>1993Q3</c:v>
                </c:pt>
                <c:pt idx="15">
                  <c:v>1993Q4</c:v>
                </c:pt>
                <c:pt idx="16">
                  <c:v>1994Q1</c:v>
                </c:pt>
                <c:pt idx="17">
                  <c:v>1994Q2</c:v>
                </c:pt>
                <c:pt idx="18">
                  <c:v>1994Q3</c:v>
                </c:pt>
                <c:pt idx="19">
                  <c:v>1994Q4</c:v>
                </c:pt>
                <c:pt idx="20">
                  <c:v>1995Q1</c:v>
                </c:pt>
                <c:pt idx="21">
                  <c:v>1995Q2</c:v>
                </c:pt>
                <c:pt idx="22">
                  <c:v>1995Q3</c:v>
                </c:pt>
                <c:pt idx="23">
                  <c:v>1995Q4</c:v>
                </c:pt>
                <c:pt idx="24">
                  <c:v>1996Q1</c:v>
                </c:pt>
                <c:pt idx="25">
                  <c:v>1996Q2</c:v>
                </c:pt>
                <c:pt idx="26">
                  <c:v>1996Q3</c:v>
                </c:pt>
                <c:pt idx="27">
                  <c:v>1996Q4</c:v>
                </c:pt>
                <c:pt idx="28">
                  <c:v>1997Q1</c:v>
                </c:pt>
                <c:pt idx="29">
                  <c:v>1997Q2</c:v>
                </c:pt>
                <c:pt idx="30">
                  <c:v>1997Q3</c:v>
                </c:pt>
                <c:pt idx="31">
                  <c:v>1997Q4</c:v>
                </c:pt>
                <c:pt idx="32">
                  <c:v>1998Q1</c:v>
                </c:pt>
                <c:pt idx="33">
                  <c:v>1998Q2</c:v>
                </c:pt>
                <c:pt idx="34">
                  <c:v>1998Q3</c:v>
                </c:pt>
                <c:pt idx="35">
                  <c:v>1998Q4</c:v>
                </c:pt>
                <c:pt idx="36">
                  <c:v>1999Q1</c:v>
                </c:pt>
                <c:pt idx="37">
                  <c:v>1999Q2</c:v>
                </c:pt>
                <c:pt idx="38">
                  <c:v>1999Q3</c:v>
                </c:pt>
                <c:pt idx="39">
                  <c:v>1999Q4</c:v>
                </c:pt>
                <c:pt idx="40">
                  <c:v>2000Q1</c:v>
                </c:pt>
                <c:pt idx="41">
                  <c:v>2000Q2</c:v>
                </c:pt>
                <c:pt idx="42">
                  <c:v>2000Q3</c:v>
                </c:pt>
                <c:pt idx="43">
                  <c:v>2000Q4</c:v>
                </c:pt>
                <c:pt idx="44">
                  <c:v>2001Q1</c:v>
                </c:pt>
                <c:pt idx="45">
                  <c:v>2001Q2</c:v>
                </c:pt>
                <c:pt idx="46">
                  <c:v>2001Q3</c:v>
                </c:pt>
                <c:pt idx="47">
                  <c:v>2001Q4</c:v>
                </c:pt>
                <c:pt idx="48">
                  <c:v>2002Q1</c:v>
                </c:pt>
                <c:pt idx="49">
                  <c:v>2002Q2</c:v>
                </c:pt>
                <c:pt idx="50">
                  <c:v>2002Q3</c:v>
                </c:pt>
                <c:pt idx="51">
                  <c:v>2002Q4</c:v>
                </c:pt>
                <c:pt idx="52">
                  <c:v>2003Q1</c:v>
                </c:pt>
                <c:pt idx="53">
                  <c:v>2003Q2</c:v>
                </c:pt>
                <c:pt idx="54">
                  <c:v>2003Q3</c:v>
                </c:pt>
                <c:pt idx="55">
                  <c:v>2003Q4</c:v>
                </c:pt>
                <c:pt idx="56">
                  <c:v>2004Q1</c:v>
                </c:pt>
                <c:pt idx="57">
                  <c:v>2004Q2</c:v>
                </c:pt>
                <c:pt idx="58">
                  <c:v>2004Q3</c:v>
                </c:pt>
                <c:pt idx="59">
                  <c:v>2004Q4</c:v>
                </c:pt>
                <c:pt idx="60">
                  <c:v>2005Q1</c:v>
                </c:pt>
                <c:pt idx="61">
                  <c:v>2005Q2</c:v>
                </c:pt>
                <c:pt idx="62">
                  <c:v>2005Q3</c:v>
                </c:pt>
                <c:pt idx="63">
                  <c:v>2005Q4</c:v>
                </c:pt>
                <c:pt idx="64">
                  <c:v>2006Q1</c:v>
                </c:pt>
                <c:pt idx="65">
                  <c:v>2006Q2</c:v>
                </c:pt>
                <c:pt idx="66">
                  <c:v>2006Q3</c:v>
                </c:pt>
                <c:pt idx="67">
                  <c:v>2006Q4</c:v>
                </c:pt>
                <c:pt idx="68">
                  <c:v>2007Q1</c:v>
                </c:pt>
                <c:pt idx="69">
                  <c:v>2007Q2</c:v>
                </c:pt>
                <c:pt idx="70">
                  <c:v>2007Q3</c:v>
                </c:pt>
                <c:pt idx="71">
                  <c:v>2007Q4</c:v>
                </c:pt>
                <c:pt idx="72">
                  <c:v>2008Q1</c:v>
                </c:pt>
                <c:pt idx="73">
                  <c:v>2008Q2</c:v>
                </c:pt>
                <c:pt idx="74">
                  <c:v>2008Q3</c:v>
                </c:pt>
                <c:pt idx="75">
                  <c:v>2008Q4</c:v>
                </c:pt>
                <c:pt idx="76">
                  <c:v>2009Q1</c:v>
                </c:pt>
                <c:pt idx="77">
                  <c:v>2009Q2</c:v>
                </c:pt>
                <c:pt idx="78">
                  <c:v>2009Q3</c:v>
                </c:pt>
                <c:pt idx="79">
                  <c:v>2009Q4</c:v>
                </c:pt>
                <c:pt idx="80">
                  <c:v>2010Q1</c:v>
                </c:pt>
                <c:pt idx="81">
                  <c:v>2010Q2</c:v>
                </c:pt>
                <c:pt idx="82">
                  <c:v>2010Q3</c:v>
                </c:pt>
                <c:pt idx="83">
                  <c:v>2010Q4</c:v>
                </c:pt>
                <c:pt idx="84">
                  <c:v>2011Q1</c:v>
                </c:pt>
                <c:pt idx="85">
                  <c:v>2011Q2</c:v>
                </c:pt>
                <c:pt idx="86">
                  <c:v>2011Q3</c:v>
                </c:pt>
                <c:pt idx="87">
                  <c:v>2011Q4</c:v>
                </c:pt>
                <c:pt idx="88">
                  <c:v>2012Q1</c:v>
                </c:pt>
                <c:pt idx="89">
                  <c:v>2012Q2</c:v>
                </c:pt>
                <c:pt idx="90">
                  <c:v>2012Q3</c:v>
                </c:pt>
                <c:pt idx="91">
                  <c:v>2012Q4</c:v>
                </c:pt>
                <c:pt idx="92">
                  <c:v>2013Q1</c:v>
                </c:pt>
                <c:pt idx="93">
                  <c:v>2013Q2</c:v>
                </c:pt>
                <c:pt idx="94">
                  <c:v>2013Q3</c:v>
                </c:pt>
                <c:pt idx="95">
                  <c:v>2013Q4</c:v>
                </c:pt>
                <c:pt idx="96">
                  <c:v>2014Q1</c:v>
                </c:pt>
                <c:pt idx="97">
                  <c:v>2014Q2</c:v>
                </c:pt>
                <c:pt idx="98">
                  <c:v>2014Q3</c:v>
                </c:pt>
                <c:pt idx="99">
                  <c:v>2014Q4</c:v>
                </c:pt>
                <c:pt idx="100">
                  <c:v>2015Q1</c:v>
                </c:pt>
                <c:pt idx="101">
                  <c:v>2015Q2</c:v>
                </c:pt>
                <c:pt idx="102">
                  <c:v>2015Q3</c:v>
                </c:pt>
                <c:pt idx="103">
                  <c:v>2015Q4</c:v>
                </c:pt>
              </c:strCache>
            </c:strRef>
          </c:cat>
          <c:val>
            <c:numRef>
              <c:f>VIX!$E$2:$E$105</c:f>
              <c:numCache>
                <c:formatCode>General</c:formatCode>
                <c:ptCount val="104"/>
                <c:pt idx="2">
                  <c:v>250</c:v>
                </c:pt>
                <c:pt idx="3">
                  <c:v>250</c:v>
                </c:pt>
                <c:pt idx="4">
                  <c:v>250</c:v>
                </c:pt>
                <c:pt idx="44">
                  <c:v>250</c:v>
                </c:pt>
                <c:pt idx="45">
                  <c:v>250</c:v>
                </c:pt>
                <c:pt idx="46">
                  <c:v>250</c:v>
                </c:pt>
                <c:pt idx="47">
                  <c:v>250</c:v>
                </c:pt>
                <c:pt idx="71">
                  <c:v>250</c:v>
                </c:pt>
                <c:pt idx="72">
                  <c:v>250</c:v>
                </c:pt>
                <c:pt idx="73">
                  <c:v>250</c:v>
                </c:pt>
                <c:pt idx="74">
                  <c:v>250</c:v>
                </c:pt>
                <c:pt idx="75">
                  <c:v>250</c:v>
                </c:pt>
                <c:pt idx="76">
                  <c:v>250</c:v>
                </c:pt>
                <c:pt idx="77">
                  <c:v>250</c:v>
                </c:pt>
              </c:numCache>
            </c:numRef>
          </c:val>
          <c:extLst>
            <c:ext xmlns:c16="http://schemas.microsoft.com/office/drawing/2014/chart" uri="{C3380CC4-5D6E-409C-BE32-E72D297353CC}">
              <c16:uniqueId val="{00000000-C76A-4F1D-A6C7-659785FBDD99}"/>
            </c:ext>
          </c:extLst>
        </c:ser>
        <c:dLbls>
          <c:showLegendKey val="0"/>
          <c:showVal val="0"/>
          <c:showCatName val="0"/>
          <c:showSerName val="0"/>
          <c:showPercent val="0"/>
          <c:showBubbleSize val="0"/>
        </c:dLbls>
        <c:gapWidth val="0"/>
        <c:axId val="39008512"/>
        <c:axId val="39026688"/>
      </c:barChart>
      <c:lineChart>
        <c:grouping val="standard"/>
        <c:varyColors val="0"/>
        <c:ser>
          <c:idx val="2"/>
          <c:order val="0"/>
          <c:tx>
            <c:strRef>
              <c:f>VIX!$D$1</c:f>
              <c:strCache>
                <c:ptCount val="1"/>
                <c:pt idx="0">
                  <c:v>logVRP</c:v>
                </c:pt>
              </c:strCache>
            </c:strRef>
          </c:tx>
          <c:spPr>
            <a:ln w="12700" cap="rnd">
              <a:solidFill>
                <a:sysClr val="windowText" lastClr="000000"/>
              </a:solidFill>
              <a:round/>
            </a:ln>
            <a:effectLst/>
          </c:spPr>
          <c:marker>
            <c:symbol val="none"/>
          </c:marker>
          <c:val>
            <c:numRef>
              <c:f>VIX!$D$2:$D$105</c:f>
              <c:numCache>
                <c:formatCode>General</c:formatCode>
                <c:ptCount val="104"/>
                <c:pt idx="0">
                  <c:v>3.1972533589999999</c:v>
                </c:pt>
                <c:pt idx="1">
                  <c:v>2.6940436521</c:v>
                </c:pt>
                <c:pt idx="2">
                  <c:v>3.5228651180999999</c:v>
                </c:pt>
                <c:pt idx="3">
                  <c:v>3.5028539756999999</c:v>
                </c:pt>
                <c:pt idx="4">
                  <c:v>2.8455643057</c:v>
                </c:pt>
                <c:pt idx="5">
                  <c:v>2.7291268790999998</c:v>
                </c:pt>
                <c:pt idx="6">
                  <c:v>2.3692447858999999</c:v>
                </c:pt>
                <c:pt idx="7">
                  <c:v>2.7851186817000002</c:v>
                </c:pt>
                <c:pt idx="8">
                  <c:v>2.6208898465999999</c:v>
                </c:pt>
                <c:pt idx="9">
                  <c:v>2.2737812485000002</c:v>
                </c:pt>
                <c:pt idx="10">
                  <c:v>2.2199745690000001</c:v>
                </c:pt>
                <c:pt idx="11">
                  <c:v>2.2405897611999999</c:v>
                </c:pt>
                <c:pt idx="12">
                  <c:v>2.0191797060000001</c:v>
                </c:pt>
                <c:pt idx="13">
                  <c:v>1.9730379349</c:v>
                </c:pt>
                <c:pt idx="14">
                  <c:v>2.0054310056000002</c:v>
                </c:pt>
                <c:pt idx="15">
                  <c:v>2.0312241665999999</c:v>
                </c:pt>
                <c:pt idx="16">
                  <c:v>2.3938339917000002</c:v>
                </c:pt>
                <c:pt idx="17">
                  <c:v>2.1921372179</c:v>
                </c:pt>
                <c:pt idx="18">
                  <c:v>2.0357680479</c:v>
                </c:pt>
                <c:pt idx="19">
                  <c:v>2.3111010193000001</c:v>
                </c:pt>
                <c:pt idx="20">
                  <c:v>2.0319523877000001</c:v>
                </c:pt>
                <c:pt idx="21">
                  <c:v>1.8919212179</c:v>
                </c:pt>
                <c:pt idx="22">
                  <c:v>2.0239404262999998</c:v>
                </c:pt>
                <c:pt idx="23">
                  <c:v>2.0460814601999999</c:v>
                </c:pt>
                <c:pt idx="24">
                  <c:v>2.4064449496</c:v>
                </c:pt>
                <c:pt idx="25">
                  <c:v>2.3696754452</c:v>
                </c:pt>
                <c:pt idx="26">
                  <c:v>2.6709790579999999</c:v>
                </c:pt>
                <c:pt idx="27">
                  <c:v>2.8428109803999999</c:v>
                </c:pt>
                <c:pt idx="28">
                  <c:v>2.9512030292999998</c:v>
                </c:pt>
                <c:pt idx="29">
                  <c:v>2.9391101784</c:v>
                </c:pt>
                <c:pt idx="30">
                  <c:v>3.1700560488999998</c:v>
                </c:pt>
                <c:pt idx="31">
                  <c:v>3.5228869837999999</c:v>
                </c:pt>
                <c:pt idx="32">
                  <c:v>2.9927372977000002</c:v>
                </c:pt>
                <c:pt idx="33">
                  <c:v>2.8568367247999999</c:v>
                </c:pt>
                <c:pt idx="34">
                  <c:v>4.0609350229999999</c:v>
                </c:pt>
                <c:pt idx="35">
                  <c:v>3.3224901425</c:v>
                </c:pt>
                <c:pt idx="36">
                  <c:v>3.4129786153000001</c:v>
                </c:pt>
                <c:pt idx="37">
                  <c:v>3.1183797706999998</c:v>
                </c:pt>
                <c:pt idx="38">
                  <c:v>3.3550922702000001</c:v>
                </c:pt>
                <c:pt idx="39">
                  <c:v>3.2271938843000001</c:v>
                </c:pt>
                <c:pt idx="40">
                  <c:v>2.9859674159999998</c:v>
                </c:pt>
                <c:pt idx="41">
                  <c:v>2.8144986370999998</c:v>
                </c:pt>
                <c:pt idx="42">
                  <c:v>2.9098184654999999</c:v>
                </c:pt>
                <c:pt idx="43">
                  <c:v>3.1388876218999999</c:v>
                </c:pt>
                <c:pt idx="44">
                  <c:v>3.3393896716000002</c:v>
                </c:pt>
                <c:pt idx="45">
                  <c:v>2.8193599917999999</c:v>
                </c:pt>
                <c:pt idx="46">
                  <c:v>3.2947375825999998</c:v>
                </c:pt>
                <c:pt idx="47">
                  <c:v>3.3106204355000002</c:v>
                </c:pt>
                <c:pt idx="48">
                  <c:v>2.9706889447</c:v>
                </c:pt>
                <c:pt idx="49">
                  <c:v>3.1759095182000001</c:v>
                </c:pt>
                <c:pt idx="50">
                  <c:v>4.0344035241</c:v>
                </c:pt>
                <c:pt idx="51">
                  <c:v>3.3080220884</c:v>
                </c:pt>
                <c:pt idx="52">
                  <c:v>3.7359818967999998</c:v>
                </c:pt>
                <c:pt idx="53">
                  <c:v>2.7566662423000001</c:v>
                </c:pt>
                <c:pt idx="54">
                  <c:v>2.8999070506</c:v>
                </c:pt>
                <c:pt idx="55">
                  <c:v>2.5787750191000001</c:v>
                </c:pt>
                <c:pt idx="56">
                  <c:v>2.3854465874000002</c:v>
                </c:pt>
                <c:pt idx="57">
                  <c:v>2.3127110384999998</c:v>
                </c:pt>
                <c:pt idx="58">
                  <c:v>2.2358182820999999</c:v>
                </c:pt>
                <c:pt idx="59">
                  <c:v>2.1905350062000002</c:v>
                </c:pt>
                <c:pt idx="60">
                  <c:v>1.9762332907</c:v>
                </c:pt>
                <c:pt idx="61">
                  <c:v>1.9985846281999999</c:v>
                </c:pt>
                <c:pt idx="62">
                  <c:v>1.7879133410000001</c:v>
                </c:pt>
                <c:pt idx="63">
                  <c:v>1.9689249873000001</c:v>
                </c:pt>
                <c:pt idx="64">
                  <c:v>1.8542482011999999</c:v>
                </c:pt>
                <c:pt idx="65">
                  <c:v>1.8574358558999999</c:v>
                </c:pt>
                <c:pt idx="66">
                  <c:v>1.9477414489</c:v>
                </c:pt>
                <c:pt idx="67">
                  <c:v>1.6858657559000001</c:v>
                </c:pt>
                <c:pt idx="68">
                  <c:v>1.8976974088</c:v>
                </c:pt>
                <c:pt idx="69">
                  <c:v>2.2236849435999999</c:v>
                </c:pt>
                <c:pt idx="70">
                  <c:v>2.8017619164999998</c:v>
                </c:pt>
                <c:pt idx="71">
                  <c:v>2.7964828219000002</c:v>
                </c:pt>
                <c:pt idx="72">
                  <c:v>2.8907514006000001</c:v>
                </c:pt>
                <c:pt idx="73">
                  <c:v>2.8670012961000002</c:v>
                </c:pt>
                <c:pt idx="74">
                  <c:v>3.0770735202999999</c:v>
                </c:pt>
                <c:pt idx="75">
                  <c:v>3.7474517903</c:v>
                </c:pt>
                <c:pt idx="76">
                  <c:v>4.3406761263</c:v>
                </c:pt>
                <c:pt idx="77">
                  <c:v>3.5685382031000001</c:v>
                </c:pt>
                <c:pt idx="78">
                  <c:v>3.3925244689</c:v>
                </c:pt>
                <c:pt idx="79">
                  <c:v>3.3841863699000001</c:v>
                </c:pt>
                <c:pt idx="80">
                  <c:v>2.8896106296999999</c:v>
                </c:pt>
                <c:pt idx="81">
                  <c:v>3.4984506063</c:v>
                </c:pt>
                <c:pt idx="82">
                  <c:v>3.2282128901</c:v>
                </c:pt>
                <c:pt idx="83">
                  <c:v>3.0077267795</c:v>
                </c:pt>
                <c:pt idx="84">
                  <c:v>2.6547707705999999</c:v>
                </c:pt>
                <c:pt idx="85">
                  <c:v>2.1952007483</c:v>
                </c:pt>
                <c:pt idx="86">
                  <c:v>3.3502028528999999</c:v>
                </c:pt>
                <c:pt idx="87">
                  <c:v>3.1800559866999998</c:v>
                </c:pt>
                <c:pt idx="88">
                  <c:v>2.6335920070999999</c:v>
                </c:pt>
                <c:pt idx="89">
                  <c:v>2.6383251964999999</c:v>
                </c:pt>
                <c:pt idx="90">
                  <c:v>2.5692852124000001</c:v>
                </c:pt>
                <c:pt idx="91">
                  <c:v>2.5252545998000002</c:v>
                </c:pt>
                <c:pt idx="92">
                  <c:v>2.1264725658999999</c:v>
                </c:pt>
                <c:pt idx="93">
                  <c:v>2.1739004051999999</c:v>
                </c:pt>
                <c:pt idx="94">
                  <c:v>2.4176300701</c:v>
                </c:pt>
                <c:pt idx="95">
                  <c:v>2.1294458363</c:v>
                </c:pt>
                <c:pt idx="96">
                  <c:v>2.3059442997000001</c:v>
                </c:pt>
                <c:pt idx="97">
                  <c:v>1.8434920524</c:v>
                </c:pt>
                <c:pt idx="98">
                  <c:v>2.3419309254999998</c:v>
                </c:pt>
                <c:pt idx="99">
                  <c:v>1.8925605005999999</c:v>
                </c:pt>
                <c:pt idx="100">
                  <c:v>2.4094831189999999</c:v>
                </c:pt>
                <c:pt idx="101">
                  <c:v>2.3943106635000002</c:v>
                </c:pt>
                <c:pt idx="102">
                  <c:v>2.5222944256000002</c:v>
                </c:pt>
                <c:pt idx="103">
                  <c:v>2.3674963154999999</c:v>
                </c:pt>
              </c:numCache>
            </c:numRef>
          </c:val>
          <c:smooth val="0"/>
          <c:extLst>
            <c:ext xmlns:c16="http://schemas.microsoft.com/office/drawing/2014/chart" uri="{C3380CC4-5D6E-409C-BE32-E72D297353CC}">
              <c16:uniqueId val="{00000003-C76A-4F1D-A6C7-659785FBDD99}"/>
            </c:ext>
          </c:extLst>
        </c:ser>
        <c:dLbls>
          <c:showLegendKey val="0"/>
          <c:showVal val="0"/>
          <c:showCatName val="0"/>
          <c:showSerName val="0"/>
          <c:showPercent val="0"/>
          <c:showBubbleSize val="0"/>
        </c:dLbls>
        <c:marker val="1"/>
        <c:smooth val="0"/>
        <c:axId val="39008512"/>
        <c:axId val="39026688"/>
      </c:lineChart>
      <c:catAx>
        <c:axId val="39008512"/>
        <c:scaling>
          <c:orientation val="minMax"/>
        </c:scaling>
        <c:delete val="0"/>
        <c:axPos val="b"/>
        <c:numFmt formatCode="General" sourceLinked="1"/>
        <c:majorTickMark val="out"/>
        <c:minorTickMark val="none"/>
        <c:tickLblPos val="nextTo"/>
        <c:spPr>
          <a:noFill/>
          <a:ln w="9525" cap="flat" cmpd="sng" algn="ctr">
            <a:solidFill>
              <a:sysClr val="windowText" lastClr="000000">
                <a:lumMod val="50000"/>
                <a:lumOff val="50000"/>
              </a:sysClr>
            </a:solidFill>
            <a:round/>
          </a:ln>
          <a:effectLst/>
        </c:spPr>
        <c:txPr>
          <a:bodyPr rot="-270000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39026688"/>
        <c:crosses val="autoZero"/>
        <c:auto val="1"/>
        <c:lblAlgn val="ctr"/>
        <c:lblOffset val="100"/>
        <c:noMultiLvlLbl val="0"/>
      </c:catAx>
      <c:valAx>
        <c:axId val="39026688"/>
        <c:scaling>
          <c:orientation val="minMax"/>
          <c:max val="5"/>
          <c:min val="1"/>
        </c:scaling>
        <c:delete val="0"/>
        <c:axPos val="l"/>
        <c:majorGridlines>
          <c:spPr>
            <a:ln w="9525" cap="flat" cmpd="sng" algn="ctr">
              <a:no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TW" sz="900" b="0" i="1" baseline="0">
                    <a:effectLst/>
                  </a:rPr>
                  <a:t>logVRP</a:t>
                </a:r>
                <a:endParaRPr lang="zh-TW" altLang="zh-TW" sz="900">
                  <a:effectLst/>
                </a:endParaRPr>
              </a:p>
            </c:rich>
          </c:tx>
          <c:overlay val="0"/>
          <c:spPr>
            <a:noFill/>
            <a:ln>
              <a:noFill/>
            </a:ln>
            <a:effectLst/>
          </c:spPr>
        </c:title>
        <c:numFmt formatCode="#,##0.00_);[Red]\(#,##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39008512"/>
        <c:crosses val="autoZero"/>
        <c:crossBetween val="between"/>
      </c:val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legend>
    <c:plotVisOnly val="1"/>
    <c:dispBlanksAs val="gap"/>
    <c:showDLblsOverMax val="0"/>
  </c:chart>
  <c:spPr>
    <a:solidFill>
      <a:schemeClr val="bg1"/>
    </a:solidFill>
    <a:ln w="9525" cap="flat" cmpd="sng" algn="ctr">
      <a:solidFill>
        <a:schemeClr val="tx1"/>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TW"/>
    </a:p>
  </c:txPr>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logVRP</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503702836401956"/>
          <c:y val="0.22621657167908807"/>
          <c:w val="0.6486567338933934"/>
          <c:h val="0.5676015837783539"/>
        </c:manualLayout>
      </c:layout>
      <c:lineChart>
        <c:grouping val="standard"/>
        <c:varyColors val="0"/>
        <c:ser>
          <c:idx val="3"/>
          <c:order val="0"/>
          <c:tx>
            <c:strRef>
              <c:f>Shock2_M!$B$2</c:f>
              <c:strCache>
                <c:ptCount val="1"/>
                <c:pt idx="0">
                  <c:v>Median</c:v>
                </c:pt>
              </c:strCache>
            </c:strRef>
          </c:tx>
          <c:spPr>
            <a:ln w="19050" cap="rnd">
              <a:solidFill>
                <a:schemeClr val="tx1"/>
              </a:solidFill>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Shock2_M!$B$3:$B$22</c:f>
              <c:numCache>
                <c:formatCode>General</c:formatCode>
                <c:ptCount val="20"/>
                <c:pt idx="0">
                  <c:v>0.1939276114900875</c:v>
                </c:pt>
                <c:pt idx="1">
                  <c:v>0.13193146243885651</c:v>
                </c:pt>
                <c:pt idx="2">
                  <c:v>0.10872035232853849</c:v>
                </c:pt>
                <c:pt idx="3">
                  <c:v>9.78173259736973E-2</c:v>
                </c:pt>
                <c:pt idx="4">
                  <c:v>8.8206926314502693E-2</c:v>
                </c:pt>
                <c:pt idx="5">
                  <c:v>9.2301362430636705E-2</c:v>
                </c:pt>
                <c:pt idx="6">
                  <c:v>8.4859037222331901E-2</c:v>
                </c:pt>
                <c:pt idx="7">
                  <c:v>8.2299432773791398E-2</c:v>
                </c:pt>
                <c:pt idx="8">
                  <c:v>7.1871286674250107E-2</c:v>
                </c:pt>
                <c:pt idx="9">
                  <c:v>6.5890146205058606E-2</c:v>
                </c:pt>
                <c:pt idx="10">
                  <c:v>5.5087455811639596E-2</c:v>
                </c:pt>
                <c:pt idx="11">
                  <c:v>4.8436956274373402E-2</c:v>
                </c:pt>
                <c:pt idx="12">
                  <c:v>3.8679049961985998E-2</c:v>
                </c:pt>
                <c:pt idx="13">
                  <c:v>3.206470386785875E-2</c:v>
                </c:pt>
                <c:pt idx="14">
                  <c:v>2.47285402936239E-2</c:v>
                </c:pt>
                <c:pt idx="15">
                  <c:v>1.9444229013476602E-2</c:v>
                </c:pt>
                <c:pt idx="16">
                  <c:v>1.3488729057170499E-2</c:v>
                </c:pt>
                <c:pt idx="17">
                  <c:v>9.582622896669106E-3</c:v>
                </c:pt>
                <c:pt idx="18">
                  <c:v>6.0991692777639557E-3</c:v>
                </c:pt>
                <c:pt idx="19">
                  <c:v>3.9278491927766199E-3</c:v>
                </c:pt>
              </c:numCache>
            </c:numRef>
          </c:val>
          <c:smooth val="0"/>
          <c:extLst>
            <c:ext xmlns:c16="http://schemas.microsoft.com/office/drawing/2014/chart" uri="{C3380CC4-5D6E-409C-BE32-E72D297353CC}">
              <c16:uniqueId val="{00000000-F827-4EB5-B36C-2F29DEB26CA5}"/>
            </c:ext>
          </c:extLst>
        </c:ser>
        <c:ser>
          <c:idx val="4"/>
          <c:order val="1"/>
          <c:tx>
            <c:strRef>
              <c:f>Shock2_M!$C$2</c:f>
              <c:strCache>
                <c:ptCount val="1"/>
                <c:pt idx="0">
                  <c:v>p0.16</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Shock2_M!$C$3:$C$22</c:f>
              <c:numCache>
                <c:formatCode>General</c:formatCode>
                <c:ptCount val="20"/>
                <c:pt idx="0">
                  <c:v>0.10029346749175357</c:v>
                </c:pt>
                <c:pt idx="1">
                  <c:v>6.2333234117534164E-2</c:v>
                </c:pt>
                <c:pt idx="2">
                  <c:v>4.5693639650190902E-2</c:v>
                </c:pt>
                <c:pt idx="3">
                  <c:v>4.6971622636447601E-2</c:v>
                </c:pt>
                <c:pt idx="4">
                  <c:v>4.148291550001848E-2</c:v>
                </c:pt>
                <c:pt idx="5">
                  <c:v>4.4821789277844172E-2</c:v>
                </c:pt>
                <c:pt idx="6">
                  <c:v>4.0363963569117957E-2</c:v>
                </c:pt>
                <c:pt idx="7">
                  <c:v>3.7825021279280363E-2</c:v>
                </c:pt>
                <c:pt idx="8">
                  <c:v>3.2499151544571662E-2</c:v>
                </c:pt>
                <c:pt idx="9">
                  <c:v>2.7521930908813524E-2</c:v>
                </c:pt>
                <c:pt idx="10">
                  <c:v>2.2100873437192983E-2</c:v>
                </c:pt>
                <c:pt idx="11">
                  <c:v>1.5071827266541542E-2</c:v>
                </c:pt>
                <c:pt idx="12">
                  <c:v>8.5273892693440503E-3</c:v>
                </c:pt>
                <c:pt idx="13">
                  <c:v>4.3745179849024396E-3</c:v>
                </c:pt>
                <c:pt idx="14">
                  <c:v>-1.0724652456477459E-3</c:v>
                </c:pt>
                <c:pt idx="15">
                  <c:v>-5.568770724648538E-3</c:v>
                </c:pt>
                <c:pt idx="16">
                  <c:v>-1.1588813268619925E-2</c:v>
                </c:pt>
                <c:pt idx="17">
                  <c:v>-1.3704979754292837E-2</c:v>
                </c:pt>
                <c:pt idx="18">
                  <c:v>-1.6885352599207482E-2</c:v>
                </c:pt>
                <c:pt idx="19">
                  <c:v>-1.9587790166160048E-2</c:v>
                </c:pt>
              </c:numCache>
            </c:numRef>
          </c:val>
          <c:smooth val="0"/>
          <c:extLst>
            <c:ext xmlns:c16="http://schemas.microsoft.com/office/drawing/2014/chart" uri="{C3380CC4-5D6E-409C-BE32-E72D297353CC}">
              <c16:uniqueId val="{00000001-F827-4EB5-B36C-2F29DEB26CA5}"/>
            </c:ext>
          </c:extLst>
        </c:ser>
        <c:ser>
          <c:idx val="5"/>
          <c:order val="2"/>
          <c:tx>
            <c:strRef>
              <c:f>Shock2_M!$D$2</c:f>
              <c:strCache>
                <c:ptCount val="1"/>
                <c:pt idx="0">
                  <c:v>p0.84</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Shock2_M!$D$3:$D$22</c:f>
              <c:numCache>
                <c:formatCode>General</c:formatCode>
                <c:ptCount val="20"/>
                <c:pt idx="0">
                  <c:v>0.27721622524891026</c:v>
                </c:pt>
                <c:pt idx="1">
                  <c:v>0.19536143689799645</c:v>
                </c:pt>
                <c:pt idx="2">
                  <c:v>0.17385680447587787</c:v>
                </c:pt>
                <c:pt idx="3">
                  <c:v>0.16427579617921204</c:v>
                </c:pt>
                <c:pt idx="4">
                  <c:v>0.1465052263253471</c:v>
                </c:pt>
                <c:pt idx="5">
                  <c:v>0.14943553065120327</c:v>
                </c:pt>
                <c:pt idx="6">
                  <c:v>0.13646218857586179</c:v>
                </c:pt>
                <c:pt idx="7">
                  <c:v>0.13775289221956863</c:v>
                </c:pt>
                <c:pt idx="8">
                  <c:v>0.12542005297997066</c:v>
                </c:pt>
                <c:pt idx="9">
                  <c:v>0.12261451187850031</c:v>
                </c:pt>
                <c:pt idx="10">
                  <c:v>0.11315241545813255</c:v>
                </c:pt>
                <c:pt idx="11">
                  <c:v>0.10421779834258368</c:v>
                </c:pt>
                <c:pt idx="12">
                  <c:v>9.5002704399033661E-2</c:v>
                </c:pt>
                <c:pt idx="13">
                  <c:v>8.3566107188802863E-2</c:v>
                </c:pt>
                <c:pt idx="14">
                  <c:v>7.2690716920828916E-2</c:v>
                </c:pt>
                <c:pt idx="15">
                  <c:v>6.4675096060136522E-2</c:v>
                </c:pt>
                <c:pt idx="16">
                  <c:v>5.514021807295881E-2</c:v>
                </c:pt>
                <c:pt idx="17">
                  <c:v>4.9502765831814378E-2</c:v>
                </c:pt>
                <c:pt idx="18">
                  <c:v>4.5146081722140248E-2</c:v>
                </c:pt>
                <c:pt idx="19">
                  <c:v>4.2336983790212238E-2</c:v>
                </c:pt>
              </c:numCache>
            </c:numRef>
          </c:val>
          <c:smooth val="0"/>
          <c:extLst>
            <c:ext xmlns:c16="http://schemas.microsoft.com/office/drawing/2014/chart" uri="{C3380CC4-5D6E-409C-BE32-E72D297353CC}">
              <c16:uniqueId val="{00000002-F827-4EB5-B36C-2F29DEB26CA5}"/>
            </c:ext>
          </c:extLst>
        </c:ser>
        <c:dLbls>
          <c:showLegendKey val="0"/>
          <c:showVal val="0"/>
          <c:showCatName val="0"/>
          <c:showSerName val="0"/>
          <c:showPercent val="0"/>
          <c:showBubbleSize val="0"/>
        </c:dLbls>
        <c:smooth val="0"/>
        <c:axId val="41116032"/>
        <c:axId val="41117568"/>
      </c:lineChart>
      <c:catAx>
        <c:axId val="41116032"/>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117568"/>
        <c:crosses val="autoZero"/>
        <c:auto val="1"/>
        <c:lblAlgn val="ctr"/>
        <c:lblOffset val="100"/>
        <c:tickLblSkip val="2"/>
        <c:noMultiLvlLbl val="0"/>
      </c:catAx>
      <c:valAx>
        <c:axId val="41117568"/>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116032"/>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GDP</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398133566637501"/>
          <c:y val="0.21744848750548001"/>
          <c:w val="0.65005307669874601"/>
          <c:h val="0.57636966795196198"/>
        </c:manualLayout>
      </c:layout>
      <c:lineChart>
        <c:grouping val="standard"/>
        <c:varyColors val="0"/>
        <c:ser>
          <c:idx val="3"/>
          <c:order val="0"/>
          <c:tx>
            <c:strRef>
              <c:f>Shock2_M!$E$2</c:f>
              <c:strCache>
                <c:ptCount val="1"/>
                <c:pt idx="0">
                  <c:v>Median</c:v>
                </c:pt>
              </c:strCache>
            </c:strRef>
          </c:tx>
          <c:spPr>
            <a:ln w="19050" cap="rnd">
              <a:solidFill>
                <a:schemeClr val="tx1"/>
              </a:solidFill>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Shock2_M!$E$3:$E$22</c:f>
              <c:numCache>
                <c:formatCode>General</c:formatCode>
                <c:ptCount val="20"/>
                <c:pt idx="0">
                  <c:v>-5.8860578619294751E-2</c:v>
                </c:pt>
                <c:pt idx="1">
                  <c:v>-1.7369133201630249E-2</c:v>
                </c:pt>
                <c:pt idx="2">
                  <c:v>6.0217797176847707E-4</c:v>
                </c:pt>
                <c:pt idx="3">
                  <c:v>-1.74605091442285E-2</c:v>
                </c:pt>
                <c:pt idx="4">
                  <c:v>-1.873971720187095E-2</c:v>
                </c:pt>
                <c:pt idx="5">
                  <c:v>-2.1329390197720999E-2</c:v>
                </c:pt>
                <c:pt idx="6">
                  <c:v>-1.86033423187182E-2</c:v>
                </c:pt>
                <c:pt idx="7">
                  <c:v>-1.9297765482727151E-2</c:v>
                </c:pt>
                <c:pt idx="8">
                  <c:v>-1.466276129886695E-2</c:v>
                </c:pt>
                <c:pt idx="9">
                  <c:v>-1.405725830076565E-2</c:v>
                </c:pt>
                <c:pt idx="10">
                  <c:v>-9.1529100198840148E-3</c:v>
                </c:pt>
                <c:pt idx="11">
                  <c:v>-7.5269909131352054E-3</c:v>
                </c:pt>
                <c:pt idx="12">
                  <c:v>-3.6822190397820401E-3</c:v>
                </c:pt>
                <c:pt idx="13">
                  <c:v>-2.4520115845266298E-3</c:v>
                </c:pt>
                <c:pt idx="14">
                  <c:v>-1.100592776689095E-3</c:v>
                </c:pt>
                <c:pt idx="15">
                  <c:v>1.0782096901723075E-4</c:v>
                </c:pt>
                <c:pt idx="16">
                  <c:v>1.5674102209462201E-3</c:v>
                </c:pt>
                <c:pt idx="17">
                  <c:v>1.8186305745505399E-3</c:v>
                </c:pt>
                <c:pt idx="18">
                  <c:v>2.27057094838202E-3</c:v>
                </c:pt>
                <c:pt idx="19">
                  <c:v>2.6064436034251249E-3</c:v>
                </c:pt>
              </c:numCache>
            </c:numRef>
          </c:val>
          <c:smooth val="0"/>
          <c:extLst>
            <c:ext xmlns:c16="http://schemas.microsoft.com/office/drawing/2014/chart" uri="{C3380CC4-5D6E-409C-BE32-E72D297353CC}">
              <c16:uniqueId val="{00000000-6BB8-4778-B328-9DF3083907D7}"/>
            </c:ext>
          </c:extLst>
        </c:ser>
        <c:ser>
          <c:idx val="4"/>
          <c:order val="1"/>
          <c:tx>
            <c:strRef>
              <c:f>Shock2_M!$F$2</c:f>
              <c:strCache>
                <c:ptCount val="1"/>
                <c:pt idx="0">
                  <c:v>p0.16</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Shock2_M!$F$3:$F$22</c:f>
              <c:numCache>
                <c:formatCode>General</c:formatCode>
                <c:ptCount val="20"/>
                <c:pt idx="0">
                  <c:v>-0.13233176329310606</c:v>
                </c:pt>
                <c:pt idx="1">
                  <c:v>-8.504025199299807E-2</c:v>
                </c:pt>
                <c:pt idx="2">
                  <c:v>-5.9038672783103471E-2</c:v>
                </c:pt>
                <c:pt idx="3">
                  <c:v>-6.6260899618760666E-2</c:v>
                </c:pt>
                <c:pt idx="4">
                  <c:v>-6.7239911869401578E-2</c:v>
                </c:pt>
                <c:pt idx="5">
                  <c:v>-6.8051259971614861E-2</c:v>
                </c:pt>
                <c:pt idx="6">
                  <c:v>-6.806582519668905E-2</c:v>
                </c:pt>
                <c:pt idx="7">
                  <c:v>-6.3789477579432319E-2</c:v>
                </c:pt>
                <c:pt idx="8">
                  <c:v>-6.0488756579324288E-2</c:v>
                </c:pt>
                <c:pt idx="9">
                  <c:v>-5.3243765493436179E-2</c:v>
                </c:pt>
                <c:pt idx="10">
                  <c:v>-4.4576150232167988E-2</c:v>
                </c:pt>
                <c:pt idx="11">
                  <c:v>-3.9482008590579216E-2</c:v>
                </c:pt>
                <c:pt idx="12">
                  <c:v>-3.4016911516766148E-2</c:v>
                </c:pt>
                <c:pt idx="13">
                  <c:v>-3.0834377664860288E-2</c:v>
                </c:pt>
                <c:pt idx="14">
                  <c:v>-2.6754308197126674E-2</c:v>
                </c:pt>
                <c:pt idx="15">
                  <c:v>-2.3660747121249923E-2</c:v>
                </c:pt>
                <c:pt idx="16">
                  <c:v>-2.0124868337321258E-2</c:v>
                </c:pt>
                <c:pt idx="17">
                  <c:v>-1.8176191933651411E-2</c:v>
                </c:pt>
                <c:pt idx="18">
                  <c:v>-1.6459249284347638E-2</c:v>
                </c:pt>
                <c:pt idx="19">
                  <c:v>-1.5795728181897943E-2</c:v>
                </c:pt>
              </c:numCache>
            </c:numRef>
          </c:val>
          <c:smooth val="0"/>
          <c:extLst>
            <c:ext xmlns:c16="http://schemas.microsoft.com/office/drawing/2014/chart" uri="{C3380CC4-5D6E-409C-BE32-E72D297353CC}">
              <c16:uniqueId val="{00000001-6BB8-4778-B328-9DF3083907D7}"/>
            </c:ext>
          </c:extLst>
        </c:ser>
        <c:ser>
          <c:idx val="5"/>
          <c:order val="2"/>
          <c:tx>
            <c:strRef>
              <c:f>Shock2_M!$G$2</c:f>
              <c:strCache>
                <c:ptCount val="1"/>
                <c:pt idx="0">
                  <c:v>p0.84</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Shock2_M!$G$3:$G$22</c:f>
              <c:numCache>
                <c:formatCode>General</c:formatCode>
                <c:ptCount val="20"/>
                <c:pt idx="0">
                  <c:v>-1.7143978564360601E-2</c:v>
                </c:pt>
                <c:pt idx="1">
                  <c:v>4.6096890937328425E-2</c:v>
                </c:pt>
                <c:pt idx="2">
                  <c:v>6.7643217040102038E-2</c:v>
                </c:pt>
                <c:pt idx="3">
                  <c:v>3.9175743724722302E-2</c:v>
                </c:pt>
                <c:pt idx="4">
                  <c:v>3.0067449538671711E-2</c:v>
                </c:pt>
                <c:pt idx="5">
                  <c:v>2.529949279293869E-2</c:v>
                </c:pt>
                <c:pt idx="6">
                  <c:v>2.3349770316869595E-2</c:v>
                </c:pt>
                <c:pt idx="7">
                  <c:v>1.8976745726238725E-2</c:v>
                </c:pt>
                <c:pt idx="8">
                  <c:v>2.0971874848991927E-2</c:v>
                </c:pt>
                <c:pt idx="9">
                  <c:v>2.0458904603397086E-2</c:v>
                </c:pt>
                <c:pt idx="10">
                  <c:v>2.1259019217254326E-2</c:v>
                </c:pt>
                <c:pt idx="11">
                  <c:v>2.0489064782284443E-2</c:v>
                </c:pt>
                <c:pt idx="12">
                  <c:v>2.2514370918850352E-2</c:v>
                </c:pt>
                <c:pt idx="13">
                  <c:v>2.2980635475672553E-2</c:v>
                </c:pt>
                <c:pt idx="14">
                  <c:v>2.2300410126707082E-2</c:v>
                </c:pt>
                <c:pt idx="15">
                  <c:v>2.1586771493420663E-2</c:v>
                </c:pt>
                <c:pt idx="16">
                  <c:v>2.1551051653659257E-2</c:v>
                </c:pt>
                <c:pt idx="17">
                  <c:v>2.1681092304593835E-2</c:v>
                </c:pt>
                <c:pt idx="18">
                  <c:v>2.0948059291816642E-2</c:v>
                </c:pt>
                <c:pt idx="19">
                  <c:v>2.0750264017940407E-2</c:v>
                </c:pt>
              </c:numCache>
            </c:numRef>
          </c:val>
          <c:smooth val="0"/>
          <c:extLst>
            <c:ext xmlns:c16="http://schemas.microsoft.com/office/drawing/2014/chart" uri="{C3380CC4-5D6E-409C-BE32-E72D297353CC}">
              <c16:uniqueId val="{00000002-6BB8-4778-B328-9DF3083907D7}"/>
            </c:ext>
          </c:extLst>
        </c:ser>
        <c:dLbls>
          <c:showLegendKey val="0"/>
          <c:showVal val="0"/>
          <c:showCatName val="0"/>
          <c:showSerName val="0"/>
          <c:showPercent val="0"/>
          <c:showBubbleSize val="0"/>
        </c:dLbls>
        <c:smooth val="0"/>
        <c:axId val="41161088"/>
        <c:axId val="41162624"/>
      </c:lineChart>
      <c:catAx>
        <c:axId val="41161088"/>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162624"/>
        <c:crosses val="autoZero"/>
        <c:auto val="1"/>
        <c:lblAlgn val="ctr"/>
        <c:lblOffset val="100"/>
        <c:tickLblSkip val="2"/>
        <c:noMultiLvlLbl val="0"/>
      </c:catAx>
      <c:valAx>
        <c:axId val="41162624"/>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161088"/>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CPI</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7780782836927992"/>
          <c:y val="0.20868040333187193"/>
          <c:w val="0.6509711286089237"/>
          <c:h val="0.58513775212557007"/>
        </c:manualLayout>
      </c:layout>
      <c:lineChart>
        <c:grouping val="standard"/>
        <c:varyColors val="0"/>
        <c:ser>
          <c:idx val="3"/>
          <c:order val="0"/>
          <c:tx>
            <c:strRef>
              <c:f>Shock2_M!$H$2</c:f>
              <c:strCache>
                <c:ptCount val="1"/>
                <c:pt idx="0">
                  <c:v>Median</c:v>
                </c:pt>
              </c:strCache>
            </c:strRef>
          </c:tx>
          <c:spPr>
            <a:ln w="19050" cap="rnd">
              <a:solidFill>
                <a:schemeClr val="tx1"/>
              </a:solidFill>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Shock2_M!$H$3:$H$22</c:f>
              <c:numCache>
                <c:formatCode>General</c:formatCode>
                <c:ptCount val="20"/>
                <c:pt idx="0">
                  <c:v>-0.192373281810822</c:v>
                </c:pt>
                <c:pt idx="1">
                  <c:v>-1.335405202125655E-2</c:v>
                </c:pt>
                <c:pt idx="2">
                  <c:v>2.3136831048484401E-2</c:v>
                </c:pt>
                <c:pt idx="3">
                  <c:v>1.2313794376218299E-2</c:v>
                </c:pt>
                <c:pt idx="4">
                  <c:v>-4.3200530151722254E-3</c:v>
                </c:pt>
                <c:pt idx="5">
                  <c:v>8.228698872665325E-3</c:v>
                </c:pt>
                <c:pt idx="6">
                  <c:v>2.6578911689350751E-4</c:v>
                </c:pt>
                <c:pt idx="7">
                  <c:v>1.94920737031344E-3</c:v>
                </c:pt>
                <c:pt idx="8">
                  <c:v>-3.2106154103860854E-3</c:v>
                </c:pt>
                <c:pt idx="9">
                  <c:v>-4.4615205886818599E-4</c:v>
                </c:pt>
                <c:pt idx="10">
                  <c:v>-5.6252885295418852E-3</c:v>
                </c:pt>
                <c:pt idx="11">
                  <c:v>-2.6248640944974751E-3</c:v>
                </c:pt>
                <c:pt idx="12">
                  <c:v>-5.7309747266605501E-3</c:v>
                </c:pt>
                <c:pt idx="13">
                  <c:v>-3.8404544984933799E-3</c:v>
                </c:pt>
                <c:pt idx="14">
                  <c:v>-5.9282985726785298E-3</c:v>
                </c:pt>
                <c:pt idx="15">
                  <c:v>-4.3185003601063652E-3</c:v>
                </c:pt>
                <c:pt idx="16">
                  <c:v>-4.8282172086814602E-3</c:v>
                </c:pt>
                <c:pt idx="17">
                  <c:v>-3.585721742602055E-3</c:v>
                </c:pt>
                <c:pt idx="18">
                  <c:v>-3.8104357284172601E-3</c:v>
                </c:pt>
                <c:pt idx="19">
                  <c:v>-2.5846147333148249E-3</c:v>
                </c:pt>
              </c:numCache>
            </c:numRef>
          </c:val>
          <c:smooth val="0"/>
          <c:extLst>
            <c:ext xmlns:c16="http://schemas.microsoft.com/office/drawing/2014/chart" uri="{C3380CC4-5D6E-409C-BE32-E72D297353CC}">
              <c16:uniqueId val="{00000000-93E4-455D-9088-85BEEB895EEE}"/>
            </c:ext>
          </c:extLst>
        </c:ser>
        <c:ser>
          <c:idx val="4"/>
          <c:order val="1"/>
          <c:tx>
            <c:strRef>
              <c:f>Shock2_M!$I$2</c:f>
              <c:strCache>
                <c:ptCount val="1"/>
                <c:pt idx="0">
                  <c:v>p0.16</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Shock2_M!$I$3:$I$22</c:f>
              <c:numCache>
                <c:formatCode>General</c:formatCode>
                <c:ptCount val="20"/>
                <c:pt idx="0">
                  <c:v>-0.378641240133616</c:v>
                </c:pt>
                <c:pt idx="1">
                  <c:v>-8.9721468042715469E-2</c:v>
                </c:pt>
                <c:pt idx="2">
                  <c:v>-4.1412892695302114E-2</c:v>
                </c:pt>
                <c:pt idx="3">
                  <c:v>-2.2048380797979526E-2</c:v>
                </c:pt>
                <c:pt idx="4">
                  <c:v>-3.2803227468216921E-2</c:v>
                </c:pt>
                <c:pt idx="5">
                  <c:v>-1.4883013391009317E-2</c:v>
                </c:pt>
                <c:pt idx="6">
                  <c:v>-2.5326395175319011E-2</c:v>
                </c:pt>
                <c:pt idx="7">
                  <c:v>-1.9789615841513623E-2</c:v>
                </c:pt>
                <c:pt idx="8">
                  <c:v>-2.6513668963794184E-2</c:v>
                </c:pt>
                <c:pt idx="9">
                  <c:v>-2.2547927682920979E-2</c:v>
                </c:pt>
                <c:pt idx="10">
                  <c:v>-2.6327671676563597E-2</c:v>
                </c:pt>
                <c:pt idx="11">
                  <c:v>-2.3253535434786355E-2</c:v>
                </c:pt>
                <c:pt idx="12">
                  <c:v>-2.6361354652860956E-2</c:v>
                </c:pt>
                <c:pt idx="13">
                  <c:v>-2.2962283447473794E-2</c:v>
                </c:pt>
                <c:pt idx="14">
                  <c:v>-2.5059086408490378E-2</c:v>
                </c:pt>
                <c:pt idx="15">
                  <c:v>-2.1853466482275787E-2</c:v>
                </c:pt>
                <c:pt idx="16">
                  <c:v>-2.2532673328856542E-2</c:v>
                </c:pt>
                <c:pt idx="17">
                  <c:v>-2.0293867613755585E-2</c:v>
                </c:pt>
                <c:pt idx="18">
                  <c:v>-2.067665297438117E-2</c:v>
                </c:pt>
                <c:pt idx="19">
                  <c:v>-1.8215189679559835E-2</c:v>
                </c:pt>
              </c:numCache>
            </c:numRef>
          </c:val>
          <c:smooth val="0"/>
          <c:extLst>
            <c:ext xmlns:c16="http://schemas.microsoft.com/office/drawing/2014/chart" uri="{C3380CC4-5D6E-409C-BE32-E72D297353CC}">
              <c16:uniqueId val="{00000001-93E4-455D-9088-85BEEB895EEE}"/>
            </c:ext>
          </c:extLst>
        </c:ser>
        <c:ser>
          <c:idx val="5"/>
          <c:order val="2"/>
          <c:tx>
            <c:strRef>
              <c:f>Shock2_M!$J$2</c:f>
              <c:strCache>
                <c:ptCount val="1"/>
                <c:pt idx="0">
                  <c:v>p0.84</c:v>
                </c:pt>
              </c:strCache>
            </c:strRef>
          </c:tx>
          <c:spPr>
            <a:ln w="19050" cap="rnd">
              <a:solidFill>
                <a:schemeClr val="tx1">
                  <a:alpha val="99000"/>
                </a:schemeClr>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Shock2_M!$J$3:$J$22</c:f>
              <c:numCache>
                <c:formatCode>General</c:formatCode>
                <c:ptCount val="20"/>
                <c:pt idx="0">
                  <c:v>-5.8303435139128834E-2</c:v>
                </c:pt>
                <c:pt idx="1">
                  <c:v>5.9677533319161029E-2</c:v>
                </c:pt>
                <c:pt idx="2">
                  <c:v>8.3158812026403836E-2</c:v>
                </c:pt>
                <c:pt idx="3">
                  <c:v>4.5732618047189776E-2</c:v>
                </c:pt>
                <c:pt idx="4">
                  <c:v>2.7414654372649314E-2</c:v>
                </c:pt>
                <c:pt idx="5">
                  <c:v>3.2236731772812499E-2</c:v>
                </c:pt>
                <c:pt idx="6">
                  <c:v>2.6052215646945664E-2</c:v>
                </c:pt>
                <c:pt idx="7">
                  <c:v>2.2607830478634638E-2</c:v>
                </c:pt>
                <c:pt idx="8">
                  <c:v>1.640730769269268E-2</c:v>
                </c:pt>
                <c:pt idx="9">
                  <c:v>1.4685191799110016E-2</c:v>
                </c:pt>
                <c:pt idx="10">
                  <c:v>1.3314262781352091E-2</c:v>
                </c:pt>
                <c:pt idx="11">
                  <c:v>1.2036163048071624E-2</c:v>
                </c:pt>
                <c:pt idx="12">
                  <c:v>1.1019430089448629E-2</c:v>
                </c:pt>
                <c:pt idx="13">
                  <c:v>1.047943576266107E-2</c:v>
                </c:pt>
                <c:pt idx="14">
                  <c:v>9.3205384525337793E-3</c:v>
                </c:pt>
                <c:pt idx="15">
                  <c:v>9.983483531924485E-3</c:v>
                </c:pt>
                <c:pt idx="16">
                  <c:v>9.7020739450716931E-3</c:v>
                </c:pt>
                <c:pt idx="17">
                  <c:v>9.6838053955781676E-3</c:v>
                </c:pt>
                <c:pt idx="18">
                  <c:v>9.2110224975285662E-3</c:v>
                </c:pt>
                <c:pt idx="19">
                  <c:v>9.6494749316110504E-3</c:v>
                </c:pt>
              </c:numCache>
            </c:numRef>
          </c:val>
          <c:smooth val="0"/>
          <c:extLst>
            <c:ext xmlns:c16="http://schemas.microsoft.com/office/drawing/2014/chart" uri="{C3380CC4-5D6E-409C-BE32-E72D297353CC}">
              <c16:uniqueId val="{00000002-93E4-455D-9088-85BEEB895EEE}"/>
            </c:ext>
          </c:extLst>
        </c:ser>
        <c:dLbls>
          <c:showLegendKey val="0"/>
          <c:showVal val="0"/>
          <c:showCatName val="0"/>
          <c:showSerName val="0"/>
          <c:showPercent val="0"/>
          <c:showBubbleSize val="0"/>
        </c:dLbls>
        <c:smooth val="0"/>
        <c:axId val="41202048"/>
        <c:axId val="41203584"/>
      </c:lineChart>
      <c:catAx>
        <c:axId val="41202048"/>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203584"/>
        <c:crosses val="autoZero"/>
        <c:auto val="1"/>
        <c:lblAlgn val="ctr"/>
        <c:lblOffset val="100"/>
        <c:tickLblSkip val="2"/>
        <c:noMultiLvlLbl val="0"/>
      </c:catAx>
      <c:valAx>
        <c:axId val="41203584"/>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202048"/>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FF_Rate</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503702836401956"/>
          <c:y val="0.21565217391304345"/>
          <c:w val="0.6486567338933934"/>
          <c:h val="0.57986922286888043"/>
        </c:manualLayout>
      </c:layout>
      <c:lineChart>
        <c:grouping val="standard"/>
        <c:varyColors val="0"/>
        <c:ser>
          <c:idx val="3"/>
          <c:order val="0"/>
          <c:tx>
            <c:strRef>
              <c:f>Shock2_M!$K$2</c:f>
              <c:strCache>
                <c:ptCount val="1"/>
                <c:pt idx="0">
                  <c:v>Median</c:v>
                </c:pt>
              </c:strCache>
            </c:strRef>
          </c:tx>
          <c:spPr>
            <a:ln w="19050" cap="rnd">
              <a:solidFill>
                <a:schemeClr val="tx1"/>
              </a:solidFill>
              <a:prstDash val="solid"/>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Shock2_M!$K$3:$K$22</c:f>
              <c:numCache>
                <c:formatCode>General</c:formatCode>
                <c:ptCount val="20"/>
                <c:pt idx="0">
                  <c:v>7.7491004907435795E-2</c:v>
                </c:pt>
                <c:pt idx="1">
                  <c:v>0.10645022307892049</c:v>
                </c:pt>
                <c:pt idx="2">
                  <c:v>0.14297689501007399</c:v>
                </c:pt>
                <c:pt idx="3">
                  <c:v>0.15041125449929799</c:v>
                </c:pt>
                <c:pt idx="4">
                  <c:v>0.124514548083131</c:v>
                </c:pt>
                <c:pt idx="5">
                  <c:v>9.3270896708696954E-2</c:v>
                </c:pt>
                <c:pt idx="6">
                  <c:v>6.2198207310960749E-2</c:v>
                </c:pt>
                <c:pt idx="7">
                  <c:v>1.4824048840594101E-2</c:v>
                </c:pt>
                <c:pt idx="8">
                  <c:v>-2.1169565069423951E-2</c:v>
                </c:pt>
                <c:pt idx="9">
                  <c:v>-4.9531507547136602E-2</c:v>
                </c:pt>
                <c:pt idx="10">
                  <c:v>-7.2287573610723549E-2</c:v>
                </c:pt>
                <c:pt idx="11">
                  <c:v>-9.4058034678812241E-2</c:v>
                </c:pt>
                <c:pt idx="12">
                  <c:v>-0.110634676622623</c:v>
                </c:pt>
                <c:pt idx="13">
                  <c:v>-0.108706672000106</c:v>
                </c:pt>
                <c:pt idx="14">
                  <c:v>-0.104343598763948</c:v>
                </c:pt>
                <c:pt idx="15">
                  <c:v>-9.8248023596971545E-2</c:v>
                </c:pt>
                <c:pt idx="16">
                  <c:v>-9.2631996417810697E-2</c:v>
                </c:pt>
                <c:pt idx="17">
                  <c:v>-8.2268489271210943E-2</c:v>
                </c:pt>
                <c:pt idx="18">
                  <c:v>-7.4919365294732393E-2</c:v>
                </c:pt>
                <c:pt idx="19">
                  <c:v>-6.7431185236568852E-2</c:v>
                </c:pt>
              </c:numCache>
            </c:numRef>
          </c:val>
          <c:smooth val="0"/>
          <c:extLst>
            <c:ext xmlns:c16="http://schemas.microsoft.com/office/drawing/2014/chart" uri="{C3380CC4-5D6E-409C-BE32-E72D297353CC}">
              <c16:uniqueId val="{00000000-3038-496F-BD95-01005C225BCD}"/>
            </c:ext>
          </c:extLst>
        </c:ser>
        <c:ser>
          <c:idx val="4"/>
          <c:order val="1"/>
          <c:tx>
            <c:strRef>
              <c:f>Shock2_M!$L$2</c:f>
              <c:strCache>
                <c:ptCount val="1"/>
                <c:pt idx="0">
                  <c:v>p0.16</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Shock2_M!$L$3:$L$22</c:f>
              <c:numCache>
                <c:formatCode>General</c:formatCode>
                <c:ptCount val="20"/>
                <c:pt idx="0">
                  <c:v>2.3287665420766119E-2</c:v>
                </c:pt>
                <c:pt idx="1">
                  <c:v>9.9448131331129046E-3</c:v>
                </c:pt>
                <c:pt idx="2">
                  <c:v>5.09076267969805E-3</c:v>
                </c:pt>
                <c:pt idx="3">
                  <c:v>-7.9437178413841077E-3</c:v>
                </c:pt>
                <c:pt idx="4">
                  <c:v>-4.6740515838441798E-2</c:v>
                </c:pt>
                <c:pt idx="5">
                  <c:v>-9.1475841410345607E-2</c:v>
                </c:pt>
                <c:pt idx="6">
                  <c:v>-0.13579077480079413</c:v>
                </c:pt>
                <c:pt idx="7">
                  <c:v>-0.17915348049816016</c:v>
                </c:pt>
                <c:pt idx="8">
                  <c:v>-0.23408072381714914</c:v>
                </c:pt>
                <c:pt idx="9">
                  <c:v>-0.26653301224475084</c:v>
                </c:pt>
                <c:pt idx="10">
                  <c:v>-0.29157882080307312</c:v>
                </c:pt>
                <c:pt idx="11">
                  <c:v>-0.31504128190069847</c:v>
                </c:pt>
                <c:pt idx="12">
                  <c:v>-0.32345517817837788</c:v>
                </c:pt>
                <c:pt idx="13">
                  <c:v>-0.32975833777025571</c:v>
                </c:pt>
                <c:pt idx="14">
                  <c:v>-0.33192638627163329</c:v>
                </c:pt>
                <c:pt idx="15">
                  <c:v>-0.33386185617150738</c:v>
                </c:pt>
                <c:pt idx="16">
                  <c:v>-0.32062473217299192</c:v>
                </c:pt>
                <c:pt idx="17">
                  <c:v>-0.30762846924249537</c:v>
                </c:pt>
                <c:pt idx="18">
                  <c:v>-0.29433358619812894</c:v>
                </c:pt>
                <c:pt idx="19">
                  <c:v>-0.28521404040006665</c:v>
                </c:pt>
              </c:numCache>
            </c:numRef>
          </c:val>
          <c:smooth val="0"/>
          <c:extLst>
            <c:ext xmlns:c16="http://schemas.microsoft.com/office/drawing/2014/chart" uri="{C3380CC4-5D6E-409C-BE32-E72D297353CC}">
              <c16:uniqueId val="{00000001-3038-496F-BD95-01005C225BCD}"/>
            </c:ext>
          </c:extLst>
        </c:ser>
        <c:ser>
          <c:idx val="5"/>
          <c:order val="2"/>
          <c:tx>
            <c:strRef>
              <c:f>Shock2_M!$D$2</c:f>
              <c:strCache>
                <c:ptCount val="1"/>
                <c:pt idx="0">
                  <c:v>p0.84</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Shock2_M!$M$3:$M$22</c:f>
              <c:numCache>
                <c:formatCode>General</c:formatCode>
                <c:ptCount val="20"/>
                <c:pt idx="0">
                  <c:v>0.14679643554536947</c:v>
                </c:pt>
                <c:pt idx="1">
                  <c:v>0.2167008637824305</c:v>
                </c:pt>
                <c:pt idx="2">
                  <c:v>0.27576318886397883</c:v>
                </c:pt>
                <c:pt idx="3">
                  <c:v>0.29820332685417084</c:v>
                </c:pt>
                <c:pt idx="4">
                  <c:v>0.28535524075520241</c:v>
                </c:pt>
                <c:pt idx="5">
                  <c:v>0.26125188506309494</c:v>
                </c:pt>
                <c:pt idx="6">
                  <c:v>0.23069991295754705</c:v>
                </c:pt>
                <c:pt idx="7">
                  <c:v>0.19820323260748229</c:v>
                </c:pt>
                <c:pt idx="8">
                  <c:v>0.16715339522177658</c:v>
                </c:pt>
                <c:pt idx="9">
                  <c:v>0.14073173770020136</c:v>
                </c:pt>
                <c:pt idx="10">
                  <c:v>0.11889229293113932</c:v>
                </c:pt>
                <c:pt idx="11">
                  <c:v>0.10298017967316392</c:v>
                </c:pt>
                <c:pt idx="12">
                  <c:v>8.9047771397111633E-2</c:v>
                </c:pt>
                <c:pt idx="13">
                  <c:v>7.7163382105486136E-2</c:v>
                </c:pt>
                <c:pt idx="14">
                  <c:v>7.3884054314963962E-2</c:v>
                </c:pt>
                <c:pt idx="15">
                  <c:v>7.5864073868036785E-2</c:v>
                </c:pt>
                <c:pt idx="16">
                  <c:v>7.9771149083779705E-2</c:v>
                </c:pt>
                <c:pt idx="17">
                  <c:v>8.3792936563395967E-2</c:v>
                </c:pt>
                <c:pt idx="18">
                  <c:v>8.6304321742794024E-2</c:v>
                </c:pt>
                <c:pt idx="19">
                  <c:v>8.958696231136494E-2</c:v>
                </c:pt>
              </c:numCache>
            </c:numRef>
          </c:val>
          <c:smooth val="0"/>
          <c:extLst>
            <c:ext xmlns:c16="http://schemas.microsoft.com/office/drawing/2014/chart" uri="{C3380CC4-5D6E-409C-BE32-E72D297353CC}">
              <c16:uniqueId val="{00000002-3038-496F-BD95-01005C225BCD}"/>
            </c:ext>
          </c:extLst>
        </c:ser>
        <c:dLbls>
          <c:showLegendKey val="0"/>
          <c:showVal val="0"/>
          <c:showCatName val="0"/>
          <c:showSerName val="0"/>
          <c:showPercent val="0"/>
          <c:showBubbleSize val="0"/>
        </c:dLbls>
        <c:smooth val="0"/>
        <c:axId val="41230720"/>
        <c:axId val="41232256"/>
      </c:lineChart>
      <c:catAx>
        <c:axId val="41230720"/>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232256"/>
        <c:crosses val="autoZero"/>
        <c:auto val="1"/>
        <c:lblAlgn val="ctr"/>
        <c:lblOffset val="100"/>
        <c:tickLblSkip val="2"/>
        <c:noMultiLvlLbl val="0"/>
      </c:catAx>
      <c:valAx>
        <c:axId val="4123225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23072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Spr_Synd</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398133566637501"/>
          <c:y val="0.22434782608695647"/>
          <c:w val="0.65005307669874601"/>
          <c:h val="0.57117357069496744"/>
        </c:manualLayout>
      </c:layout>
      <c:lineChart>
        <c:grouping val="standard"/>
        <c:varyColors val="0"/>
        <c:ser>
          <c:idx val="3"/>
          <c:order val="0"/>
          <c:tx>
            <c:strRef>
              <c:f>Shock2_M!$N$2</c:f>
              <c:strCache>
                <c:ptCount val="1"/>
                <c:pt idx="0">
                  <c:v>Median</c:v>
                </c:pt>
              </c:strCache>
            </c:strRef>
          </c:tx>
          <c:spPr>
            <a:ln w="19050" cap="rnd">
              <a:solidFill>
                <a:schemeClr val="tx1"/>
              </a:solidFill>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Shock2_M!$N$3:$N$22</c:f>
              <c:numCache>
                <c:formatCode>General</c:formatCode>
                <c:ptCount val="20"/>
                <c:pt idx="0">
                  <c:v>2.2189138141217847E-2</c:v>
                </c:pt>
                <c:pt idx="1">
                  <c:v>7.5543309677929701E-2</c:v>
                </c:pt>
                <c:pt idx="2">
                  <c:v>8.4975672648803749E-2</c:v>
                </c:pt>
                <c:pt idx="3">
                  <c:v>7.1204247645456298E-2</c:v>
                </c:pt>
                <c:pt idx="4">
                  <c:v>6.6674410618260405E-2</c:v>
                </c:pt>
                <c:pt idx="5">
                  <c:v>6.0526167680975546E-2</c:v>
                </c:pt>
                <c:pt idx="6">
                  <c:v>5.9204720656444949E-2</c:v>
                </c:pt>
                <c:pt idx="7">
                  <c:v>5.7060425968029446E-2</c:v>
                </c:pt>
                <c:pt idx="8">
                  <c:v>5.804126923842675E-2</c:v>
                </c:pt>
                <c:pt idx="9">
                  <c:v>5.6118075051752252E-2</c:v>
                </c:pt>
                <c:pt idx="10">
                  <c:v>5.4989409137868601E-2</c:v>
                </c:pt>
                <c:pt idx="11">
                  <c:v>5.2677099399192198E-2</c:v>
                </c:pt>
                <c:pt idx="12">
                  <c:v>4.9442772795343502E-2</c:v>
                </c:pt>
                <c:pt idx="13">
                  <c:v>4.6584780942945901E-2</c:v>
                </c:pt>
                <c:pt idx="14">
                  <c:v>4.3829098976666148E-2</c:v>
                </c:pt>
                <c:pt idx="15">
                  <c:v>3.942248550456675E-2</c:v>
                </c:pt>
                <c:pt idx="16">
                  <c:v>3.469164933687785E-2</c:v>
                </c:pt>
                <c:pt idx="17">
                  <c:v>2.9688905369324101E-2</c:v>
                </c:pt>
                <c:pt idx="18">
                  <c:v>2.48771102385002E-2</c:v>
                </c:pt>
                <c:pt idx="19">
                  <c:v>2.135534153035425E-2</c:v>
                </c:pt>
              </c:numCache>
            </c:numRef>
          </c:val>
          <c:smooth val="0"/>
          <c:extLst>
            <c:ext xmlns:c16="http://schemas.microsoft.com/office/drawing/2014/chart" uri="{C3380CC4-5D6E-409C-BE32-E72D297353CC}">
              <c16:uniqueId val="{00000000-6E80-48E8-8DCD-2C72EF99230D}"/>
            </c:ext>
          </c:extLst>
        </c:ser>
        <c:ser>
          <c:idx val="4"/>
          <c:order val="1"/>
          <c:tx>
            <c:strRef>
              <c:f>Shock2_M!$O$2</c:f>
              <c:strCache>
                <c:ptCount val="1"/>
                <c:pt idx="0">
                  <c:v>p0.16</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Shock2_M!$O$3:$O$22</c:f>
              <c:numCache>
                <c:formatCode>General</c:formatCode>
                <c:ptCount val="20"/>
                <c:pt idx="0">
                  <c:v>-6.8424063745130631E-2</c:v>
                </c:pt>
                <c:pt idx="1">
                  <c:v>2.0277784397444199E-2</c:v>
                </c:pt>
                <c:pt idx="2">
                  <c:v>1.9870779463434997E-2</c:v>
                </c:pt>
                <c:pt idx="3">
                  <c:v>1.3697177988831487E-2</c:v>
                </c:pt>
                <c:pt idx="4">
                  <c:v>1.2807171488438259E-2</c:v>
                </c:pt>
                <c:pt idx="5">
                  <c:v>1.027394445785056E-2</c:v>
                </c:pt>
                <c:pt idx="6">
                  <c:v>5.4031035688100132E-3</c:v>
                </c:pt>
                <c:pt idx="7">
                  <c:v>5.3758300388284429E-3</c:v>
                </c:pt>
                <c:pt idx="8">
                  <c:v>5.0840155303279204E-3</c:v>
                </c:pt>
                <c:pt idx="9">
                  <c:v>5.3921048409602884E-3</c:v>
                </c:pt>
                <c:pt idx="10">
                  <c:v>2.77164928982178E-3</c:v>
                </c:pt>
                <c:pt idx="11">
                  <c:v>-2.8846690030116481E-4</c:v>
                </c:pt>
                <c:pt idx="12">
                  <c:v>-2.8519273814186482E-3</c:v>
                </c:pt>
                <c:pt idx="13">
                  <c:v>-6.9404964491376541E-3</c:v>
                </c:pt>
                <c:pt idx="14">
                  <c:v>-8.8168373587569279E-3</c:v>
                </c:pt>
                <c:pt idx="15">
                  <c:v>-1.1324341156351902E-2</c:v>
                </c:pt>
                <c:pt idx="16">
                  <c:v>-1.3362764148324593E-2</c:v>
                </c:pt>
                <c:pt idx="17">
                  <c:v>-1.4805772771418675E-2</c:v>
                </c:pt>
                <c:pt idx="18">
                  <c:v>-1.633161135862464E-2</c:v>
                </c:pt>
                <c:pt idx="19">
                  <c:v>-1.7162689308059181E-2</c:v>
                </c:pt>
              </c:numCache>
            </c:numRef>
          </c:val>
          <c:smooth val="0"/>
          <c:extLst>
            <c:ext xmlns:c16="http://schemas.microsoft.com/office/drawing/2014/chart" uri="{C3380CC4-5D6E-409C-BE32-E72D297353CC}">
              <c16:uniqueId val="{00000001-6E80-48E8-8DCD-2C72EF99230D}"/>
            </c:ext>
          </c:extLst>
        </c:ser>
        <c:ser>
          <c:idx val="5"/>
          <c:order val="2"/>
          <c:tx>
            <c:strRef>
              <c:f>Shock2_M!$P$2</c:f>
              <c:strCache>
                <c:ptCount val="1"/>
                <c:pt idx="0">
                  <c:v>p0.84</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Shock2_M!$P$3:$P$22</c:f>
              <c:numCache>
                <c:formatCode>General</c:formatCode>
                <c:ptCount val="20"/>
                <c:pt idx="0">
                  <c:v>0.11419358544911704</c:v>
                </c:pt>
                <c:pt idx="1">
                  <c:v>0.12224319542650981</c:v>
                </c:pt>
                <c:pt idx="2">
                  <c:v>0.1359198045187221</c:v>
                </c:pt>
                <c:pt idx="3">
                  <c:v>0.12527961387135475</c:v>
                </c:pt>
                <c:pt idx="4">
                  <c:v>0.12853211763232919</c:v>
                </c:pt>
                <c:pt idx="5">
                  <c:v>0.12487772260318585</c:v>
                </c:pt>
                <c:pt idx="6">
                  <c:v>0.12525306159458122</c:v>
                </c:pt>
                <c:pt idx="7">
                  <c:v>0.12646977674590354</c:v>
                </c:pt>
                <c:pt idx="8">
                  <c:v>0.12690775728557543</c:v>
                </c:pt>
                <c:pt idx="9">
                  <c:v>0.12583625868222462</c:v>
                </c:pt>
                <c:pt idx="10">
                  <c:v>0.1267587893799284</c:v>
                </c:pt>
                <c:pt idx="11">
                  <c:v>0.12284498913419935</c:v>
                </c:pt>
                <c:pt idx="12">
                  <c:v>0.11967801489144804</c:v>
                </c:pt>
                <c:pt idx="13">
                  <c:v>0.11493803897306291</c:v>
                </c:pt>
                <c:pt idx="14">
                  <c:v>0.10896762083875197</c:v>
                </c:pt>
                <c:pt idx="15">
                  <c:v>0.10019608341459858</c:v>
                </c:pt>
                <c:pt idx="16">
                  <c:v>9.3690182787184328E-2</c:v>
                </c:pt>
                <c:pt idx="17">
                  <c:v>8.9041272561407592E-2</c:v>
                </c:pt>
                <c:pt idx="18">
                  <c:v>8.2954288869319021E-2</c:v>
                </c:pt>
                <c:pt idx="19">
                  <c:v>7.7214375265117569E-2</c:v>
                </c:pt>
              </c:numCache>
            </c:numRef>
          </c:val>
          <c:smooth val="0"/>
          <c:extLst>
            <c:ext xmlns:c16="http://schemas.microsoft.com/office/drawing/2014/chart" uri="{C3380CC4-5D6E-409C-BE32-E72D297353CC}">
              <c16:uniqueId val="{00000002-6E80-48E8-8DCD-2C72EF99230D}"/>
            </c:ext>
          </c:extLst>
        </c:ser>
        <c:dLbls>
          <c:showLegendKey val="0"/>
          <c:showVal val="0"/>
          <c:showCatName val="0"/>
          <c:showSerName val="0"/>
          <c:showPercent val="0"/>
          <c:showBubbleSize val="0"/>
        </c:dLbls>
        <c:smooth val="0"/>
        <c:axId val="41292160"/>
        <c:axId val="41293696"/>
      </c:lineChart>
      <c:catAx>
        <c:axId val="41292160"/>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293696"/>
        <c:crosses val="autoZero"/>
        <c:auto val="1"/>
        <c:lblAlgn val="ctr"/>
        <c:lblOffset val="100"/>
        <c:tickLblSkip val="2"/>
        <c:noMultiLvlLbl val="0"/>
      </c:catAx>
      <c:valAx>
        <c:axId val="4129369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29216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Synd_Loan</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2855414812278899"/>
          <c:y val="0.2253333333333333"/>
          <c:w val="0.68626383658564416"/>
          <c:h val="0.61789973753280836"/>
        </c:manualLayout>
      </c:layout>
      <c:lineChart>
        <c:grouping val="standard"/>
        <c:varyColors val="0"/>
        <c:ser>
          <c:idx val="3"/>
          <c:order val="0"/>
          <c:tx>
            <c:strRef>
              <c:f>Shock2_M!$Q$2</c:f>
              <c:strCache>
                <c:ptCount val="1"/>
                <c:pt idx="0">
                  <c:v>Median</c:v>
                </c:pt>
              </c:strCache>
            </c:strRef>
          </c:tx>
          <c:spPr>
            <a:ln w="19050" cap="rnd">
              <a:solidFill>
                <a:schemeClr val="tx1"/>
              </a:solidFill>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Shock2_M!$Q$3:$Q$22</c:f>
              <c:numCache>
                <c:formatCode>General</c:formatCode>
                <c:ptCount val="20"/>
                <c:pt idx="0">
                  <c:v>3.9590867099473499</c:v>
                </c:pt>
                <c:pt idx="1">
                  <c:v>-7.9092306238467449</c:v>
                </c:pt>
                <c:pt idx="2">
                  <c:v>-2.8983110103331997</c:v>
                </c:pt>
                <c:pt idx="3">
                  <c:v>-7.54819007718827</c:v>
                </c:pt>
                <c:pt idx="4">
                  <c:v>-5.25402797084997</c:v>
                </c:pt>
                <c:pt idx="5">
                  <c:v>-7.911964624455825</c:v>
                </c:pt>
                <c:pt idx="6">
                  <c:v>-7.045112655321585</c:v>
                </c:pt>
                <c:pt idx="7">
                  <c:v>-8.3931683908823356</c:v>
                </c:pt>
                <c:pt idx="8">
                  <c:v>-7.8025789740048701</c:v>
                </c:pt>
                <c:pt idx="9">
                  <c:v>-8.3931278588434797</c:v>
                </c:pt>
                <c:pt idx="10">
                  <c:v>-7.5997105336346653</c:v>
                </c:pt>
                <c:pt idx="11">
                  <c:v>-7.7459702576861957</c:v>
                </c:pt>
                <c:pt idx="12">
                  <c:v>-6.490067669088635</c:v>
                </c:pt>
                <c:pt idx="13">
                  <c:v>-6.3351902595608802</c:v>
                </c:pt>
                <c:pt idx="14">
                  <c:v>-5.0709709336559552</c:v>
                </c:pt>
                <c:pt idx="15">
                  <c:v>-4.3854313280110198</c:v>
                </c:pt>
                <c:pt idx="16">
                  <c:v>-3.2838185389949501</c:v>
                </c:pt>
                <c:pt idx="17">
                  <c:v>-3.0366174008833102</c:v>
                </c:pt>
                <c:pt idx="18">
                  <c:v>-2.1461391499327203</c:v>
                </c:pt>
                <c:pt idx="19">
                  <c:v>-1.4723847151885598</c:v>
                </c:pt>
              </c:numCache>
            </c:numRef>
          </c:val>
          <c:smooth val="0"/>
          <c:extLst>
            <c:ext xmlns:c16="http://schemas.microsoft.com/office/drawing/2014/chart" uri="{C3380CC4-5D6E-409C-BE32-E72D297353CC}">
              <c16:uniqueId val="{00000000-6E68-4E65-A7A6-CC9E9289F7AA}"/>
            </c:ext>
          </c:extLst>
        </c:ser>
        <c:ser>
          <c:idx val="4"/>
          <c:order val="1"/>
          <c:tx>
            <c:strRef>
              <c:f>Shock2_M!$R$2</c:f>
              <c:strCache>
                <c:ptCount val="1"/>
                <c:pt idx="0">
                  <c:v>p0.16</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Shock2_M!$R$3:$R$22</c:f>
              <c:numCache>
                <c:formatCode>General</c:formatCode>
                <c:ptCount val="20"/>
                <c:pt idx="0">
                  <c:v>-16.358239618881107</c:v>
                </c:pt>
                <c:pt idx="1">
                  <c:v>-15.18906490162164</c:v>
                </c:pt>
                <c:pt idx="2">
                  <c:v>-16.846238783567699</c:v>
                </c:pt>
                <c:pt idx="3">
                  <c:v>-14.929251036911268</c:v>
                </c:pt>
                <c:pt idx="4">
                  <c:v>-16.651124298529592</c:v>
                </c:pt>
                <c:pt idx="5">
                  <c:v>-15.270048231112392</c:v>
                </c:pt>
                <c:pt idx="6">
                  <c:v>-16.037017381562652</c:v>
                </c:pt>
                <c:pt idx="7">
                  <c:v>-15.178064127095151</c:v>
                </c:pt>
                <c:pt idx="8">
                  <c:v>-15.488045438115417</c:v>
                </c:pt>
                <c:pt idx="9">
                  <c:v>-15.311084075834781</c:v>
                </c:pt>
                <c:pt idx="10">
                  <c:v>-15.593160417478076</c:v>
                </c:pt>
                <c:pt idx="11">
                  <c:v>-14.604231835083381</c:v>
                </c:pt>
                <c:pt idx="12">
                  <c:v>-14.516013194419752</c:v>
                </c:pt>
                <c:pt idx="13">
                  <c:v>-13.587915209753564</c:v>
                </c:pt>
                <c:pt idx="14">
                  <c:v>-13.268990382328457</c:v>
                </c:pt>
                <c:pt idx="15">
                  <c:v>-12.274860632640447</c:v>
                </c:pt>
                <c:pt idx="16">
                  <c:v>-11.936717162009829</c:v>
                </c:pt>
                <c:pt idx="17">
                  <c:v>-11.077601346127263</c:v>
                </c:pt>
                <c:pt idx="18">
                  <c:v>-10.698826914438703</c:v>
                </c:pt>
                <c:pt idx="19">
                  <c:v>-10.010303314187599</c:v>
                </c:pt>
              </c:numCache>
            </c:numRef>
          </c:val>
          <c:smooth val="0"/>
          <c:extLst>
            <c:ext xmlns:c16="http://schemas.microsoft.com/office/drawing/2014/chart" uri="{C3380CC4-5D6E-409C-BE32-E72D297353CC}">
              <c16:uniqueId val="{00000001-6E68-4E65-A7A6-CC9E9289F7AA}"/>
            </c:ext>
          </c:extLst>
        </c:ser>
        <c:ser>
          <c:idx val="5"/>
          <c:order val="2"/>
          <c:tx>
            <c:strRef>
              <c:f>Shock2_M!$S$2</c:f>
              <c:strCache>
                <c:ptCount val="1"/>
                <c:pt idx="0">
                  <c:v>p0.84</c:v>
                </c:pt>
              </c:strCache>
            </c:strRef>
          </c:tx>
          <c:spPr>
            <a:ln w="19050" cap="rnd">
              <a:solidFill>
                <a:schemeClr val="tx1"/>
              </a:solidFill>
              <a:prstDash val="sysDash"/>
              <a:round/>
            </a:ln>
            <a:effectLst/>
          </c:spPr>
          <c:marker>
            <c:symbol val="none"/>
          </c:marker>
          <c:cat>
            <c:numRef>
              <c:f>Shock2_M!$A$3:$A$22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Shock2_M!$S$3:$S$22</c:f>
              <c:numCache>
                <c:formatCode>General</c:formatCode>
                <c:ptCount val="20"/>
                <c:pt idx="0">
                  <c:v>22.203358642823638</c:v>
                </c:pt>
                <c:pt idx="1">
                  <c:v>-7.7837033689757945E-2</c:v>
                </c:pt>
                <c:pt idx="2">
                  <c:v>11.353334065334346</c:v>
                </c:pt>
                <c:pt idx="3">
                  <c:v>0.55795706050570282</c:v>
                </c:pt>
                <c:pt idx="4">
                  <c:v>5.5759593255905067</c:v>
                </c:pt>
                <c:pt idx="5">
                  <c:v>0.33396509369260879</c:v>
                </c:pt>
                <c:pt idx="6">
                  <c:v>3.1534764055730733</c:v>
                </c:pt>
                <c:pt idx="7">
                  <c:v>-1.0166679488113763</c:v>
                </c:pt>
                <c:pt idx="8">
                  <c:v>0.68287009797352427</c:v>
                </c:pt>
                <c:pt idx="9">
                  <c:v>-1.4717896046361858</c:v>
                </c:pt>
                <c:pt idx="10">
                  <c:v>0.13790089584311144</c:v>
                </c:pt>
                <c:pt idx="11">
                  <c:v>-0.74404007961322738</c:v>
                </c:pt>
                <c:pt idx="12">
                  <c:v>0.86117061166388797</c:v>
                </c:pt>
                <c:pt idx="13">
                  <c:v>1.1187607437840927</c:v>
                </c:pt>
                <c:pt idx="14">
                  <c:v>2.8672962914351672</c:v>
                </c:pt>
                <c:pt idx="15">
                  <c:v>3.0328438124270929</c:v>
                </c:pt>
                <c:pt idx="16">
                  <c:v>4.6821036106395617</c:v>
                </c:pt>
                <c:pt idx="17">
                  <c:v>5.357007049026099</c:v>
                </c:pt>
                <c:pt idx="18">
                  <c:v>6.6570257534400312</c:v>
                </c:pt>
                <c:pt idx="19">
                  <c:v>7.2438403820019284</c:v>
                </c:pt>
              </c:numCache>
            </c:numRef>
          </c:val>
          <c:smooth val="0"/>
          <c:extLst>
            <c:ext xmlns:c16="http://schemas.microsoft.com/office/drawing/2014/chart" uri="{C3380CC4-5D6E-409C-BE32-E72D297353CC}">
              <c16:uniqueId val="{00000002-6E68-4E65-A7A6-CC9E9289F7AA}"/>
            </c:ext>
          </c:extLst>
        </c:ser>
        <c:dLbls>
          <c:showLegendKey val="0"/>
          <c:showVal val="0"/>
          <c:showCatName val="0"/>
          <c:showSerName val="0"/>
          <c:showPercent val="0"/>
          <c:showBubbleSize val="0"/>
        </c:dLbls>
        <c:smooth val="0"/>
        <c:axId val="41329024"/>
        <c:axId val="41330560"/>
      </c:lineChart>
      <c:catAx>
        <c:axId val="41329024"/>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330560"/>
        <c:crosses val="autoZero"/>
        <c:auto val="1"/>
        <c:lblAlgn val="ctr"/>
        <c:lblOffset val="100"/>
        <c:tickLblSkip val="2"/>
        <c:noMultiLvlLbl val="0"/>
      </c:catAx>
      <c:valAx>
        <c:axId val="41330560"/>
        <c:scaling>
          <c:orientation val="minMax"/>
        </c:scaling>
        <c:delete val="0"/>
        <c:axPos val="l"/>
        <c:majorGridlines>
          <c:spPr>
            <a:ln w="9525" cap="flat" cmpd="sng" algn="ctr">
              <a:no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329024"/>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logVRP</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6716014156766987"/>
          <c:y val="0.20166229221347332"/>
          <c:w val="0.67038301462317207"/>
          <c:h val="0.58763998250218719"/>
        </c:manualLayout>
      </c:layout>
      <c:lineChart>
        <c:grouping val="standard"/>
        <c:varyColors val="0"/>
        <c:ser>
          <c:idx val="3"/>
          <c:order val="0"/>
          <c:tx>
            <c:strRef>
              <c:f>Shock1_U!$B$2</c:f>
              <c:strCache>
                <c:ptCount val="1"/>
                <c:pt idx="0">
                  <c:v>Median</c:v>
                </c:pt>
              </c:strCache>
            </c:strRef>
          </c:tx>
          <c:spPr>
            <a:ln w="19050" cap="rnd">
              <a:solidFill>
                <a:schemeClr val="tx1"/>
              </a:solidFill>
              <a:round/>
            </a:ln>
            <a:effectLst/>
          </c:spPr>
          <c:marker>
            <c:symbol val="none"/>
          </c:marker>
          <c:val>
            <c:numRef>
              <c:f>Shock1_U!$B$3:$B$22</c:f>
              <c:numCache>
                <c:formatCode>General</c:formatCode>
                <c:ptCount val="20"/>
                <c:pt idx="0">
                  <c:v>0.1017675073707625</c:v>
                </c:pt>
                <c:pt idx="1">
                  <c:v>8.4236677463725346E-2</c:v>
                </c:pt>
                <c:pt idx="2">
                  <c:v>6.5298049194607299E-2</c:v>
                </c:pt>
                <c:pt idx="3">
                  <c:v>4.7125419309795205E-2</c:v>
                </c:pt>
                <c:pt idx="4">
                  <c:v>3.3626136632001501E-2</c:v>
                </c:pt>
                <c:pt idx="5">
                  <c:v>2.3430077303250051E-2</c:v>
                </c:pt>
                <c:pt idx="6">
                  <c:v>1.75388475314074E-2</c:v>
                </c:pt>
                <c:pt idx="7">
                  <c:v>1.1300788822909549E-2</c:v>
                </c:pt>
                <c:pt idx="8">
                  <c:v>5.21326242340878E-3</c:v>
                </c:pt>
                <c:pt idx="9">
                  <c:v>2.0955418706012103E-3</c:v>
                </c:pt>
                <c:pt idx="10">
                  <c:v>1.8898511128527155E-4</c:v>
                </c:pt>
                <c:pt idx="11">
                  <c:v>-1.045112613849515E-3</c:v>
                </c:pt>
                <c:pt idx="12">
                  <c:v>-2.4298835715842147E-3</c:v>
                </c:pt>
                <c:pt idx="13">
                  <c:v>-2.2175168444440651E-3</c:v>
                </c:pt>
                <c:pt idx="14">
                  <c:v>-2.9144656628214399E-3</c:v>
                </c:pt>
                <c:pt idx="15">
                  <c:v>-3.79145455143249E-3</c:v>
                </c:pt>
                <c:pt idx="16">
                  <c:v>-3.7940581468711952E-3</c:v>
                </c:pt>
                <c:pt idx="17">
                  <c:v>-3.8805358223977749E-3</c:v>
                </c:pt>
                <c:pt idx="18">
                  <c:v>-3.6475074845077199E-3</c:v>
                </c:pt>
                <c:pt idx="19">
                  <c:v>-3.3784878520416702E-3</c:v>
                </c:pt>
              </c:numCache>
            </c:numRef>
          </c:val>
          <c:smooth val="0"/>
          <c:extLst>
            <c:ext xmlns:c16="http://schemas.microsoft.com/office/drawing/2014/chart" uri="{C3380CC4-5D6E-409C-BE32-E72D297353CC}">
              <c16:uniqueId val="{00000000-BD36-415F-ACF0-95DC2E8141FE}"/>
            </c:ext>
          </c:extLst>
        </c:ser>
        <c:ser>
          <c:idx val="4"/>
          <c:order val="1"/>
          <c:tx>
            <c:strRef>
              <c:f>Shock1_U!$C$2</c:f>
              <c:strCache>
                <c:ptCount val="1"/>
                <c:pt idx="0">
                  <c:v>p0.16</c:v>
                </c:pt>
              </c:strCache>
            </c:strRef>
          </c:tx>
          <c:spPr>
            <a:ln w="19050" cap="rnd">
              <a:solidFill>
                <a:schemeClr val="tx1"/>
              </a:solidFill>
              <a:prstDash val="sysDash"/>
              <a:round/>
            </a:ln>
            <a:effectLst/>
          </c:spPr>
          <c:marker>
            <c:symbol val="none"/>
          </c:marker>
          <c:val>
            <c:numRef>
              <c:f>Shock1_U!$C$3:$C$22</c:f>
              <c:numCache>
                <c:formatCode>General</c:formatCode>
                <c:ptCount val="20"/>
                <c:pt idx="0">
                  <c:v>3.3585530955823902E-2</c:v>
                </c:pt>
                <c:pt idx="1">
                  <c:v>1.5587664910750492E-2</c:v>
                </c:pt>
                <c:pt idx="2">
                  <c:v>5.8580712053148574E-3</c:v>
                </c:pt>
                <c:pt idx="3">
                  <c:v>-4.4881631806669847E-3</c:v>
                </c:pt>
                <c:pt idx="4">
                  <c:v>-1.1137011183531187E-2</c:v>
                </c:pt>
                <c:pt idx="5">
                  <c:v>-2.1716448512961631E-2</c:v>
                </c:pt>
                <c:pt idx="6">
                  <c:v>-2.5642178193913449E-2</c:v>
                </c:pt>
                <c:pt idx="7">
                  <c:v>-2.7105329304065257E-2</c:v>
                </c:pt>
                <c:pt idx="8">
                  <c:v>-2.8023690130098557E-2</c:v>
                </c:pt>
                <c:pt idx="9">
                  <c:v>-2.7905250291421605E-2</c:v>
                </c:pt>
                <c:pt idx="10">
                  <c:v>-2.7364996609869255E-2</c:v>
                </c:pt>
                <c:pt idx="11">
                  <c:v>-2.6924770706525235E-2</c:v>
                </c:pt>
                <c:pt idx="12">
                  <c:v>-2.5649168707108875E-2</c:v>
                </c:pt>
                <c:pt idx="13">
                  <c:v>-2.4952433309630193E-2</c:v>
                </c:pt>
                <c:pt idx="14">
                  <c:v>-2.4866297045981152E-2</c:v>
                </c:pt>
                <c:pt idx="15">
                  <c:v>-2.3853469046800305E-2</c:v>
                </c:pt>
                <c:pt idx="16">
                  <c:v>-2.2429671545293812E-2</c:v>
                </c:pt>
                <c:pt idx="17">
                  <c:v>-2.1312087072962976E-2</c:v>
                </c:pt>
                <c:pt idx="18">
                  <c:v>-2.0018395895107968E-2</c:v>
                </c:pt>
                <c:pt idx="19">
                  <c:v>-1.9522616266854E-2</c:v>
                </c:pt>
              </c:numCache>
            </c:numRef>
          </c:val>
          <c:smooth val="0"/>
          <c:extLst>
            <c:ext xmlns:c16="http://schemas.microsoft.com/office/drawing/2014/chart" uri="{C3380CC4-5D6E-409C-BE32-E72D297353CC}">
              <c16:uniqueId val="{00000001-BD36-415F-ACF0-95DC2E8141FE}"/>
            </c:ext>
          </c:extLst>
        </c:ser>
        <c:ser>
          <c:idx val="5"/>
          <c:order val="2"/>
          <c:tx>
            <c:strRef>
              <c:f>Shock1_U!$D$2</c:f>
              <c:strCache>
                <c:ptCount val="1"/>
                <c:pt idx="0">
                  <c:v>p0.84</c:v>
                </c:pt>
              </c:strCache>
            </c:strRef>
          </c:tx>
          <c:spPr>
            <a:ln w="19050" cap="rnd">
              <a:solidFill>
                <a:schemeClr val="tx1"/>
              </a:solidFill>
              <a:prstDash val="sysDash"/>
              <a:round/>
            </a:ln>
            <a:effectLst/>
          </c:spPr>
          <c:marker>
            <c:symbol val="none"/>
          </c:marker>
          <c:val>
            <c:numRef>
              <c:f>Shock1_U!$D$3:$D$22</c:f>
              <c:numCache>
                <c:formatCode>General</c:formatCode>
                <c:ptCount val="20"/>
                <c:pt idx="0">
                  <c:v>0.1951987785759505</c:v>
                </c:pt>
                <c:pt idx="1">
                  <c:v>0.15007517853422647</c:v>
                </c:pt>
                <c:pt idx="2">
                  <c:v>0.12211875976298864</c:v>
                </c:pt>
                <c:pt idx="3">
                  <c:v>0.10424362283331359</c:v>
                </c:pt>
                <c:pt idx="4">
                  <c:v>8.7639066446597871E-2</c:v>
                </c:pt>
                <c:pt idx="5">
                  <c:v>7.6720967426984782E-2</c:v>
                </c:pt>
                <c:pt idx="6">
                  <c:v>6.4919124856109886E-2</c:v>
                </c:pt>
                <c:pt idx="7">
                  <c:v>5.6398626118165034E-2</c:v>
                </c:pt>
                <c:pt idx="8">
                  <c:v>4.6597256321657544E-2</c:v>
                </c:pt>
                <c:pt idx="9">
                  <c:v>3.8622701716662468E-2</c:v>
                </c:pt>
                <c:pt idx="10">
                  <c:v>3.4298998533001335E-2</c:v>
                </c:pt>
                <c:pt idx="11">
                  <c:v>3.0326629593846528E-2</c:v>
                </c:pt>
                <c:pt idx="12">
                  <c:v>2.5531007323584921E-2</c:v>
                </c:pt>
                <c:pt idx="13">
                  <c:v>2.3096390763205403E-2</c:v>
                </c:pt>
                <c:pt idx="14">
                  <c:v>2.0826714028004702E-2</c:v>
                </c:pt>
                <c:pt idx="15">
                  <c:v>1.7627044048041274E-2</c:v>
                </c:pt>
                <c:pt idx="16">
                  <c:v>1.5635547344823291E-2</c:v>
                </c:pt>
                <c:pt idx="17">
                  <c:v>1.350516550025942E-2</c:v>
                </c:pt>
                <c:pt idx="18">
                  <c:v>1.1669206820390077E-2</c:v>
                </c:pt>
                <c:pt idx="19">
                  <c:v>1.0828260829828988E-2</c:v>
                </c:pt>
              </c:numCache>
            </c:numRef>
          </c:val>
          <c:smooth val="0"/>
          <c:extLst>
            <c:ext xmlns:c16="http://schemas.microsoft.com/office/drawing/2014/chart" uri="{C3380CC4-5D6E-409C-BE32-E72D297353CC}">
              <c16:uniqueId val="{00000002-BD36-415F-ACF0-95DC2E8141FE}"/>
            </c:ext>
          </c:extLst>
        </c:ser>
        <c:dLbls>
          <c:showLegendKey val="0"/>
          <c:showVal val="0"/>
          <c:showCatName val="0"/>
          <c:showSerName val="0"/>
          <c:showPercent val="0"/>
          <c:showBubbleSize val="0"/>
        </c:dLbls>
        <c:smooth val="0"/>
        <c:axId val="137638272"/>
        <c:axId val="137639808"/>
      </c:lineChart>
      <c:catAx>
        <c:axId val="137638272"/>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639808"/>
        <c:crosses val="autoZero"/>
        <c:auto val="1"/>
        <c:lblAlgn val="ctr"/>
        <c:lblOffset val="100"/>
        <c:tickLblSkip val="2"/>
        <c:noMultiLvlLbl val="0"/>
      </c:catAx>
      <c:valAx>
        <c:axId val="137639808"/>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638272"/>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GDP</a:t>
            </a:r>
            <a:endParaRPr lang="zh-TW" i="1">
              <a:solidFill>
                <a:schemeClr val="tx1"/>
              </a:solidFill>
            </a:endParaRPr>
          </a:p>
        </c:rich>
      </c:tx>
      <c:overlay val="0"/>
      <c:spPr>
        <a:noFill/>
        <a:ln>
          <a:noFill/>
        </a:ln>
        <a:effectLst/>
      </c:spPr>
    </c:title>
    <c:autoTitleDeleted val="0"/>
    <c:plotArea>
      <c:layout>
        <c:manualLayout>
          <c:layoutTarget val="inner"/>
          <c:xMode val="edge"/>
          <c:yMode val="edge"/>
          <c:x val="0.28524910948631421"/>
          <c:y val="0.22037037037037038"/>
          <c:w val="0.64824995559765552"/>
          <c:h val="0.56189778361038201"/>
        </c:manualLayout>
      </c:layout>
      <c:lineChart>
        <c:grouping val="standard"/>
        <c:varyColors val="0"/>
        <c:ser>
          <c:idx val="3"/>
          <c:order val="0"/>
          <c:tx>
            <c:strRef>
              <c:f>Shock1_U!$E$2</c:f>
              <c:strCache>
                <c:ptCount val="1"/>
                <c:pt idx="0">
                  <c:v>Median</c:v>
                </c:pt>
              </c:strCache>
            </c:strRef>
          </c:tx>
          <c:spPr>
            <a:ln w="19050" cap="rnd">
              <a:solidFill>
                <a:schemeClr val="tx1"/>
              </a:solidFill>
              <a:round/>
            </a:ln>
            <a:effectLst/>
          </c:spPr>
          <c:marker>
            <c:symbol val="none"/>
          </c:marker>
          <c:val>
            <c:numRef>
              <c:f>Shock1_U!$E$3:$E$22</c:f>
              <c:numCache>
                <c:formatCode>General</c:formatCode>
                <c:ptCount val="20"/>
                <c:pt idx="0">
                  <c:v>-0.29037223412525548</c:v>
                </c:pt>
                <c:pt idx="1">
                  <c:v>-7.827996520035696E-2</c:v>
                </c:pt>
                <c:pt idx="2">
                  <c:v>-1.0004767959176014E-2</c:v>
                </c:pt>
                <c:pt idx="3">
                  <c:v>1.4362109470604099E-2</c:v>
                </c:pt>
                <c:pt idx="4">
                  <c:v>1.74423579360251E-2</c:v>
                </c:pt>
                <c:pt idx="5">
                  <c:v>1.7461857274110697E-2</c:v>
                </c:pt>
                <c:pt idx="6">
                  <c:v>1.4367936503574898E-2</c:v>
                </c:pt>
                <c:pt idx="7">
                  <c:v>1.0954271751438201E-2</c:v>
                </c:pt>
                <c:pt idx="8">
                  <c:v>8.65522364266017E-3</c:v>
                </c:pt>
                <c:pt idx="9">
                  <c:v>6.8343132820292748E-3</c:v>
                </c:pt>
                <c:pt idx="10">
                  <c:v>4.4407469119153147E-3</c:v>
                </c:pt>
                <c:pt idx="11">
                  <c:v>3.1615638356954703E-3</c:v>
                </c:pt>
                <c:pt idx="12">
                  <c:v>2.3842323940881449E-3</c:v>
                </c:pt>
                <c:pt idx="13">
                  <c:v>1.7692767481338749E-3</c:v>
                </c:pt>
                <c:pt idx="14">
                  <c:v>1.48394766491348E-3</c:v>
                </c:pt>
                <c:pt idx="15">
                  <c:v>9.4274167263853144E-4</c:v>
                </c:pt>
                <c:pt idx="16">
                  <c:v>5.5471257580097695E-4</c:v>
                </c:pt>
                <c:pt idx="17">
                  <c:v>2.56309553122235E-4</c:v>
                </c:pt>
                <c:pt idx="18">
                  <c:v>8.0017565637857153E-5</c:v>
                </c:pt>
                <c:pt idx="19">
                  <c:v>-3.5220281861003136E-5</c:v>
                </c:pt>
              </c:numCache>
            </c:numRef>
          </c:val>
          <c:smooth val="0"/>
          <c:extLst>
            <c:ext xmlns:c16="http://schemas.microsoft.com/office/drawing/2014/chart" uri="{C3380CC4-5D6E-409C-BE32-E72D297353CC}">
              <c16:uniqueId val="{00000000-9B21-4636-B61C-A32CA7AF28D6}"/>
            </c:ext>
          </c:extLst>
        </c:ser>
        <c:ser>
          <c:idx val="4"/>
          <c:order val="1"/>
          <c:tx>
            <c:strRef>
              <c:f>Shock1_U!$F$2</c:f>
              <c:strCache>
                <c:ptCount val="1"/>
                <c:pt idx="0">
                  <c:v>p0.16</c:v>
                </c:pt>
              </c:strCache>
            </c:strRef>
          </c:tx>
          <c:spPr>
            <a:ln w="19050" cap="rnd">
              <a:solidFill>
                <a:schemeClr val="tx1"/>
              </a:solidFill>
              <a:prstDash val="sysDash"/>
              <a:round/>
            </a:ln>
            <a:effectLst/>
          </c:spPr>
          <c:marker>
            <c:symbol val="none"/>
          </c:marker>
          <c:val>
            <c:numRef>
              <c:f>Shock1_U!$F$3:$F$22</c:f>
              <c:numCache>
                <c:formatCode>General</c:formatCode>
                <c:ptCount val="20"/>
                <c:pt idx="0">
                  <c:v>-0.42230983163084357</c:v>
                </c:pt>
                <c:pt idx="1">
                  <c:v>-0.15726726898959595</c:v>
                </c:pt>
                <c:pt idx="2">
                  <c:v>-6.9431780904674362E-2</c:v>
                </c:pt>
                <c:pt idx="3">
                  <c:v>-4.0162175546008379E-2</c:v>
                </c:pt>
                <c:pt idx="4">
                  <c:v>-2.8352366246549361E-2</c:v>
                </c:pt>
                <c:pt idx="5">
                  <c:v>-2.2253307318087126E-2</c:v>
                </c:pt>
                <c:pt idx="6">
                  <c:v>-1.8875537728315107E-2</c:v>
                </c:pt>
                <c:pt idx="7">
                  <c:v>-1.7648267243648857E-2</c:v>
                </c:pt>
                <c:pt idx="8">
                  <c:v>-1.7629548497889454E-2</c:v>
                </c:pt>
                <c:pt idx="9">
                  <c:v>-1.7455322998495879E-2</c:v>
                </c:pt>
                <c:pt idx="10">
                  <c:v>-1.6330532465613033E-2</c:v>
                </c:pt>
                <c:pt idx="11">
                  <c:v>-1.5992517641514829E-2</c:v>
                </c:pt>
                <c:pt idx="12">
                  <c:v>-1.5741688173096853E-2</c:v>
                </c:pt>
                <c:pt idx="13">
                  <c:v>-1.548796797467515E-2</c:v>
                </c:pt>
                <c:pt idx="14">
                  <c:v>-1.4983352814917047E-2</c:v>
                </c:pt>
                <c:pt idx="15">
                  <c:v>-1.4091540290590848E-2</c:v>
                </c:pt>
                <c:pt idx="16">
                  <c:v>-1.3055589121915396E-2</c:v>
                </c:pt>
                <c:pt idx="17">
                  <c:v>-1.2411533498001911E-2</c:v>
                </c:pt>
                <c:pt idx="18">
                  <c:v>-1.2373185638218299E-2</c:v>
                </c:pt>
                <c:pt idx="19">
                  <c:v>-1.1894565999733889E-2</c:v>
                </c:pt>
              </c:numCache>
            </c:numRef>
          </c:val>
          <c:smooth val="0"/>
          <c:extLst>
            <c:ext xmlns:c16="http://schemas.microsoft.com/office/drawing/2014/chart" uri="{C3380CC4-5D6E-409C-BE32-E72D297353CC}">
              <c16:uniqueId val="{00000001-9B21-4636-B61C-A32CA7AF28D6}"/>
            </c:ext>
          </c:extLst>
        </c:ser>
        <c:ser>
          <c:idx val="5"/>
          <c:order val="2"/>
          <c:tx>
            <c:strRef>
              <c:f>Shock1_U!$G$2</c:f>
              <c:strCache>
                <c:ptCount val="1"/>
                <c:pt idx="0">
                  <c:v>p0.84</c:v>
                </c:pt>
              </c:strCache>
            </c:strRef>
          </c:tx>
          <c:spPr>
            <a:ln w="19050" cap="rnd">
              <a:solidFill>
                <a:schemeClr val="tx1"/>
              </a:solidFill>
              <a:prstDash val="sysDash"/>
              <a:round/>
            </a:ln>
            <a:effectLst/>
          </c:spPr>
          <c:marker>
            <c:symbol val="none"/>
          </c:marker>
          <c:val>
            <c:numRef>
              <c:f>Shock1_U!$G$3:$G$22</c:f>
              <c:numCache>
                <c:formatCode>General</c:formatCode>
                <c:ptCount val="20"/>
                <c:pt idx="0">
                  <c:v>-0.13010983725847186</c:v>
                </c:pt>
                <c:pt idx="1">
                  <c:v>-2.5925258129068282E-4</c:v>
                </c:pt>
                <c:pt idx="2">
                  <c:v>4.8817827640816401E-2</c:v>
                </c:pt>
                <c:pt idx="3">
                  <c:v>6.500206274526725E-2</c:v>
                </c:pt>
                <c:pt idx="4">
                  <c:v>6.4152749101969747E-2</c:v>
                </c:pt>
                <c:pt idx="5">
                  <c:v>5.4857631526287594E-2</c:v>
                </c:pt>
                <c:pt idx="6">
                  <c:v>4.5290061485453524E-2</c:v>
                </c:pt>
                <c:pt idx="7">
                  <c:v>3.8894113703104284E-2</c:v>
                </c:pt>
                <c:pt idx="8">
                  <c:v>3.2939998949238665E-2</c:v>
                </c:pt>
                <c:pt idx="9">
                  <c:v>2.735137277119323E-2</c:v>
                </c:pt>
                <c:pt idx="10">
                  <c:v>2.3035998870512667E-2</c:v>
                </c:pt>
                <c:pt idx="11">
                  <c:v>1.9639960862323134E-2</c:v>
                </c:pt>
                <c:pt idx="12">
                  <c:v>1.733327292047919E-2</c:v>
                </c:pt>
                <c:pt idx="13">
                  <c:v>1.4556972913905205E-2</c:v>
                </c:pt>
                <c:pt idx="14">
                  <c:v>1.2793783562715847E-2</c:v>
                </c:pt>
                <c:pt idx="15">
                  <c:v>1.1947705887484502E-2</c:v>
                </c:pt>
                <c:pt idx="16">
                  <c:v>1.1162716818419847E-2</c:v>
                </c:pt>
                <c:pt idx="17">
                  <c:v>1.0724703789164982E-2</c:v>
                </c:pt>
                <c:pt idx="18">
                  <c:v>9.6815062082620442E-3</c:v>
                </c:pt>
                <c:pt idx="19">
                  <c:v>8.928261121478917E-3</c:v>
                </c:pt>
              </c:numCache>
            </c:numRef>
          </c:val>
          <c:smooth val="0"/>
          <c:extLst>
            <c:ext xmlns:c16="http://schemas.microsoft.com/office/drawing/2014/chart" uri="{C3380CC4-5D6E-409C-BE32-E72D297353CC}">
              <c16:uniqueId val="{00000002-9B21-4636-B61C-A32CA7AF28D6}"/>
            </c:ext>
          </c:extLst>
        </c:ser>
        <c:dLbls>
          <c:showLegendKey val="0"/>
          <c:showVal val="0"/>
          <c:showCatName val="0"/>
          <c:showSerName val="0"/>
          <c:showPercent val="0"/>
          <c:showBubbleSize val="0"/>
        </c:dLbls>
        <c:smooth val="0"/>
        <c:axId val="137679232"/>
        <c:axId val="137680768"/>
      </c:lineChart>
      <c:catAx>
        <c:axId val="137679232"/>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680768"/>
        <c:crosses val="autoZero"/>
        <c:auto val="1"/>
        <c:lblAlgn val="ctr"/>
        <c:lblOffset val="100"/>
        <c:tickLblSkip val="2"/>
        <c:noMultiLvlLbl val="0"/>
      </c:catAx>
      <c:valAx>
        <c:axId val="137680768"/>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679232"/>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CPI</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269984251968505"/>
          <c:y val="0.21111111111111111"/>
          <c:w val="0.63629984251968508"/>
          <c:h val="0.5711570428696412"/>
        </c:manualLayout>
      </c:layout>
      <c:lineChart>
        <c:grouping val="standard"/>
        <c:varyColors val="0"/>
        <c:ser>
          <c:idx val="3"/>
          <c:order val="0"/>
          <c:tx>
            <c:strRef>
              <c:f>Shock1_U!$H$2</c:f>
              <c:strCache>
                <c:ptCount val="1"/>
                <c:pt idx="0">
                  <c:v>Median</c:v>
                </c:pt>
              </c:strCache>
            </c:strRef>
          </c:tx>
          <c:spPr>
            <a:ln w="19050" cap="rnd">
              <a:solidFill>
                <a:schemeClr val="tx1"/>
              </a:solidFill>
              <a:round/>
            </a:ln>
            <a:effectLst/>
          </c:spPr>
          <c:marker>
            <c:symbol val="none"/>
          </c:marker>
          <c:val>
            <c:numRef>
              <c:f>Shock1_U!$H$3:$H$22</c:f>
              <c:numCache>
                <c:formatCode>General</c:formatCode>
                <c:ptCount val="20"/>
                <c:pt idx="0">
                  <c:v>-4.790769103470905E-2</c:v>
                </c:pt>
                <c:pt idx="1">
                  <c:v>-2.7622821782103148E-2</c:v>
                </c:pt>
                <c:pt idx="2">
                  <c:v>-1.2610314476805599E-2</c:v>
                </c:pt>
                <c:pt idx="3">
                  <c:v>-8.5032580923831754E-3</c:v>
                </c:pt>
                <c:pt idx="4">
                  <c:v>-6.6242120087226901E-3</c:v>
                </c:pt>
                <c:pt idx="5">
                  <c:v>-7.1507684338958655E-3</c:v>
                </c:pt>
                <c:pt idx="6">
                  <c:v>-7.6741810857242944E-3</c:v>
                </c:pt>
                <c:pt idx="7">
                  <c:v>-7.8438084813768107E-3</c:v>
                </c:pt>
                <c:pt idx="8">
                  <c:v>-8.3699273965506561E-3</c:v>
                </c:pt>
                <c:pt idx="9">
                  <c:v>-8.3507338540004354E-3</c:v>
                </c:pt>
                <c:pt idx="10">
                  <c:v>-8.0427533968059454E-3</c:v>
                </c:pt>
                <c:pt idx="11">
                  <c:v>-8.0368395189945804E-3</c:v>
                </c:pt>
                <c:pt idx="12">
                  <c:v>-7.6522124244540347E-3</c:v>
                </c:pt>
                <c:pt idx="13">
                  <c:v>-7.29538001044981E-3</c:v>
                </c:pt>
                <c:pt idx="14">
                  <c:v>-7.1370582354257656E-3</c:v>
                </c:pt>
                <c:pt idx="15">
                  <c:v>-6.9433016089416547E-3</c:v>
                </c:pt>
                <c:pt idx="16">
                  <c:v>-6.8111542634651401E-3</c:v>
                </c:pt>
                <c:pt idx="17">
                  <c:v>-6.5342227385197654E-3</c:v>
                </c:pt>
                <c:pt idx="18">
                  <c:v>-6.1312671197669005E-3</c:v>
                </c:pt>
                <c:pt idx="19">
                  <c:v>-5.9217177737273799E-3</c:v>
                </c:pt>
              </c:numCache>
            </c:numRef>
          </c:val>
          <c:smooth val="0"/>
          <c:extLst>
            <c:ext xmlns:c16="http://schemas.microsoft.com/office/drawing/2014/chart" uri="{C3380CC4-5D6E-409C-BE32-E72D297353CC}">
              <c16:uniqueId val="{00000000-B426-4E99-9D95-C3A23794EDA8}"/>
            </c:ext>
          </c:extLst>
        </c:ser>
        <c:ser>
          <c:idx val="4"/>
          <c:order val="1"/>
          <c:tx>
            <c:strRef>
              <c:f>Shock1_U!$I$2</c:f>
              <c:strCache>
                <c:ptCount val="1"/>
                <c:pt idx="0">
                  <c:v>p0.16</c:v>
                </c:pt>
              </c:strCache>
            </c:strRef>
          </c:tx>
          <c:spPr>
            <a:ln w="19050" cap="rnd">
              <a:solidFill>
                <a:schemeClr val="tx1"/>
              </a:solidFill>
              <a:prstDash val="sysDash"/>
              <a:round/>
            </a:ln>
            <a:effectLst/>
          </c:spPr>
          <c:marker>
            <c:symbol val="none"/>
          </c:marker>
          <c:val>
            <c:numRef>
              <c:f>Shock1_U!$I$3:$I$22</c:f>
              <c:numCache>
                <c:formatCode>General</c:formatCode>
                <c:ptCount val="20"/>
                <c:pt idx="0">
                  <c:v>-0.31213733000285054</c:v>
                </c:pt>
                <c:pt idx="1">
                  <c:v>-9.1206092275517389E-2</c:v>
                </c:pt>
                <c:pt idx="2">
                  <c:v>-4.788414767093626E-2</c:v>
                </c:pt>
                <c:pt idx="3">
                  <c:v>-3.4144561285604752E-2</c:v>
                </c:pt>
                <c:pt idx="4">
                  <c:v>-2.8713969362858232E-2</c:v>
                </c:pt>
                <c:pt idx="5">
                  <c:v>-2.6091167296009781E-2</c:v>
                </c:pt>
                <c:pt idx="6">
                  <c:v>-2.450289669877383E-2</c:v>
                </c:pt>
                <c:pt idx="7">
                  <c:v>-2.3808011796766951E-2</c:v>
                </c:pt>
                <c:pt idx="8">
                  <c:v>-2.2568756833013442E-2</c:v>
                </c:pt>
                <c:pt idx="9">
                  <c:v>-2.219470163284511E-2</c:v>
                </c:pt>
                <c:pt idx="10">
                  <c:v>-2.2591745091966285E-2</c:v>
                </c:pt>
                <c:pt idx="11">
                  <c:v>-2.2211326231651098E-2</c:v>
                </c:pt>
                <c:pt idx="12">
                  <c:v>-2.1640668423169321E-2</c:v>
                </c:pt>
                <c:pt idx="13">
                  <c:v>-2.1158520240152107E-2</c:v>
                </c:pt>
                <c:pt idx="14">
                  <c:v>-2.0445339149423297E-2</c:v>
                </c:pt>
                <c:pt idx="15">
                  <c:v>-2.0063360308204995E-2</c:v>
                </c:pt>
                <c:pt idx="16">
                  <c:v>-1.9744273193640076E-2</c:v>
                </c:pt>
                <c:pt idx="17">
                  <c:v>-1.9294936359974944E-2</c:v>
                </c:pt>
                <c:pt idx="18">
                  <c:v>-1.8854143272723129E-2</c:v>
                </c:pt>
                <c:pt idx="19">
                  <c:v>-1.812551331526804E-2</c:v>
                </c:pt>
              </c:numCache>
            </c:numRef>
          </c:val>
          <c:smooth val="0"/>
          <c:extLst>
            <c:ext xmlns:c16="http://schemas.microsoft.com/office/drawing/2014/chart" uri="{C3380CC4-5D6E-409C-BE32-E72D297353CC}">
              <c16:uniqueId val="{00000001-B426-4E99-9D95-C3A23794EDA8}"/>
            </c:ext>
          </c:extLst>
        </c:ser>
        <c:ser>
          <c:idx val="5"/>
          <c:order val="2"/>
          <c:tx>
            <c:strRef>
              <c:f>Shock1_U!$J$2</c:f>
              <c:strCache>
                <c:ptCount val="1"/>
                <c:pt idx="0">
                  <c:v>p0.84</c:v>
                </c:pt>
              </c:strCache>
            </c:strRef>
          </c:tx>
          <c:spPr>
            <a:ln w="19050" cap="rnd">
              <a:solidFill>
                <a:schemeClr val="tx1"/>
              </a:solidFill>
              <a:prstDash val="sysDash"/>
              <a:round/>
            </a:ln>
            <a:effectLst/>
          </c:spPr>
          <c:marker>
            <c:symbol val="none"/>
          </c:marker>
          <c:val>
            <c:numRef>
              <c:f>Shock1_U!$J$3:$J$22</c:f>
              <c:numCache>
                <c:formatCode>General</c:formatCode>
                <c:ptCount val="20"/>
                <c:pt idx="0">
                  <c:v>0.19766125246315561</c:v>
                </c:pt>
                <c:pt idx="1">
                  <c:v>3.2292824130638838E-2</c:v>
                </c:pt>
                <c:pt idx="2">
                  <c:v>1.7302168322185642E-2</c:v>
                </c:pt>
                <c:pt idx="3">
                  <c:v>1.5148145827618382E-2</c:v>
                </c:pt>
                <c:pt idx="4">
                  <c:v>1.3753406319234444E-2</c:v>
                </c:pt>
                <c:pt idx="5">
                  <c:v>1.2811636909704174E-2</c:v>
                </c:pt>
                <c:pt idx="6">
                  <c:v>1.1632371146879173E-2</c:v>
                </c:pt>
                <c:pt idx="7">
                  <c:v>9.5496800005357967E-3</c:v>
                </c:pt>
                <c:pt idx="8">
                  <c:v>7.7808121413661087E-3</c:v>
                </c:pt>
                <c:pt idx="9">
                  <c:v>6.4224971700637999E-3</c:v>
                </c:pt>
                <c:pt idx="10">
                  <c:v>5.1480479798138206E-3</c:v>
                </c:pt>
                <c:pt idx="11">
                  <c:v>4.8923163527459894E-3</c:v>
                </c:pt>
                <c:pt idx="12">
                  <c:v>4.1975131556232434E-3</c:v>
                </c:pt>
                <c:pt idx="13">
                  <c:v>3.8780478978206394E-3</c:v>
                </c:pt>
                <c:pt idx="14">
                  <c:v>3.7148941221895474E-3</c:v>
                </c:pt>
                <c:pt idx="15">
                  <c:v>3.7973514488059928E-3</c:v>
                </c:pt>
                <c:pt idx="16">
                  <c:v>3.4136113237956331E-3</c:v>
                </c:pt>
                <c:pt idx="17">
                  <c:v>3.2600609037744597E-3</c:v>
                </c:pt>
                <c:pt idx="18">
                  <c:v>3.1493655101152464E-3</c:v>
                </c:pt>
                <c:pt idx="19">
                  <c:v>3.145417385111053E-3</c:v>
                </c:pt>
              </c:numCache>
            </c:numRef>
          </c:val>
          <c:smooth val="0"/>
          <c:extLst>
            <c:ext xmlns:c16="http://schemas.microsoft.com/office/drawing/2014/chart" uri="{C3380CC4-5D6E-409C-BE32-E72D297353CC}">
              <c16:uniqueId val="{00000002-B426-4E99-9D95-C3A23794EDA8}"/>
            </c:ext>
          </c:extLst>
        </c:ser>
        <c:dLbls>
          <c:showLegendKey val="0"/>
          <c:showVal val="0"/>
          <c:showCatName val="0"/>
          <c:showSerName val="0"/>
          <c:showPercent val="0"/>
          <c:showBubbleSize val="0"/>
        </c:dLbls>
        <c:smooth val="0"/>
        <c:axId val="137769344"/>
        <c:axId val="137770880"/>
      </c:lineChart>
      <c:catAx>
        <c:axId val="137769344"/>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770880"/>
        <c:crosses val="autoZero"/>
        <c:auto val="1"/>
        <c:lblAlgn val="ctr"/>
        <c:lblOffset val="100"/>
        <c:tickLblSkip val="2"/>
        <c:noMultiLvlLbl val="0"/>
      </c:catAx>
      <c:valAx>
        <c:axId val="137770880"/>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769344"/>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FF_Rate</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7383914510686164"/>
          <c:y val="0.22532751091703052"/>
          <c:w val="0.65651799775028119"/>
          <c:h val="0.56930096620018555"/>
        </c:manualLayout>
      </c:layout>
      <c:lineChart>
        <c:grouping val="standard"/>
        <c:varyColors val="0"/>
        <c:ser>
          <c:idx val="3"/>
          <c:order val="0"/>
          <c:tx>
            <c:strRef>
              <c:f>Shock1_U!$K$2</c:f>
              <c:strCache>
                <c:ptCount val="1"/>
                <c:pt idx="0">
                  <c:v>Median</c:v>
                </c:pt>
              </c:strCache>
            </c:strRef>
          </c:tx>
          <c:spPr>
            <a:ln w="19050" cap="rnd">
              <a:solidFill>
                <a:schemeClr val="tx1"/>
              </a:solidFill>
              <a:round/>
            </a:ln>
            <a:effectLst/>
          </c:spPr>
          <c:marker>
            <c:symbol val="none"/>
          </c:marker>
          <c:val>
            <c:numRef>
              <c:f>Shock1_U!$K$3:$K$22</c:f>
              <c:numCache>
                <c:formatCode>General</c:formatCode>
                <c:ptCount val="20"/>
                <c:pt idx="0">
                  <c:v>-0.1290518981878985</c:v>
                </c:pt>
                <c:pt idx="1">
                  <c:v>-0.2191027104186955</c:v>
                </c:pt>
                <c:pt idx="2">
                  <c:v>-0.24681140575472948</c:v>
                </c:pt>
                <c:pt idx="3">
                  <c:v>-0.249068237732571</c:v>
                </c:pt>
                <c:pt idx="4">
                  <c:v>-0.23359697048341799</c:v>
                </c:pt>
                <c:pt idx="5">
                  <c:v>-0.215303643706899</c:v>
                </c:pt>
                <c:pt idx="6">
                  <c:v>-0.20400069169874802</c:v>
                </c:pt>
                <c:pt idx="7">
                  <c:v>-0.187178860879538</c:v>
                </c:pt>
                <c:pt idx="8">
                  <c:v>-0.17745295273223749</c:v>
                </c:pt>
                <c:pt idx="9">
                  <c:v>-0.16400578201989149</c:v>
                </c:pt>
                <c:pt idx="10">
                  <c:v>-0.15480873722299449</c:v>
                </c:pt>
                <c:pt idx="11">
                  <c:v>-0.14683983538473749</c:v>
                </c:pt>
                <c:pt idx="12">
                  <c:v>-0.137317238055569</c:v>
                </c:pt>
                <c:pt idx="13">
                  <c:v>-0.13446255875261198</c:v>
                </c:pt>
                <c:pt idx="14">
                  <c:v>-0.12623983604056299</c:v>
                </c:pt>
                <c:pt idx="15">
                  <c:v>-0.11794891793234349</c:v>
                </c:pt>
                <c:pt idx="16">
                  <c:v>-0.11078631347391599</c:v>
                </c:pt>
                <c:pt idx="17">
                  <c:v>-0.105215589475346</c:v>
                </c:pt>
                <c:pt idx="18">
                  <c:v>-0.10002000273298055</c:v>
                </c:pt>
                <c:pt idx="19">
                  <c:v>-9.3790852833209509E-2</c:v>
                </c:pt>
              </c:numCache>
            </c:numRef>
          </c:val>
          <c:smooth val="0"/>
          <c:extLst>
            <c:ext xmlns:c16="http://schemas.microsoft.com/office/drawing/2014/chart" uri="{C3380CC4-5D6E-409C-BE32-E72D297353CC}">
              <c16:uniqueId val="{00000000-5582-4BA6-B824-94582FA3F8B0}"/>
            </c:ext>
          </c:extLst>
        </c:ser>
        <c:ser>
          <c:idx val="4"/>
          <c:order val="1"/>
          <c:tx>
            <c:strRef>
              <c:f>Shock1_U!$L$2</c:f>
              <c:strCache>
                <c:ptCount val="1"/>
                <c:pt idx="0">
                  <c:v>p0.16</c:v>
                </c:pt>
              </c:strCache>
            </c:strRef>
          </c:tx>
          <c:spPr>
            <a:ln w="19050" cap="rnd">
              <a:solidFill>
                <a:schemeClr val="tx1"/>
              </a:solidFill>
              <a:prstDash val="sysDash"/>
              <a:round/>
            </a:ln>
            <a:effectLst/>
          </c:spPr>
          <c:marker>
            <c:symbol val="none"/>
          </c:marker>
          <c:val>
            <c:numRef>
              <c:f>Shock1_U!$L$3:$L$22</c:f>
              <c:numCache>
                <c:formatCode>General</c:formatCode>
                <c:ptCount val="20"/>
                <c:pt idx="0">
                  <c:v>-0.2660529149273741</c:v>
                </c:pt>
                <c:pt idx="1">
                  <c:v>-0.36196208520221834</c:v>
                </c:pt>
                <c:pt idx="2">
                  <c:v>-0.38866946013962017</c:v>
                </c:pt>
                <c:pt idx="3">
                  <c:v>-0.38893662347166447</c:v>
                </c:pt>
                <c:pt idx="4">
                  <c:v>-0.38550603275748641</c:v>
                </c:pt>
                <c:pt idx="5">
                  <c:v>-0.37542572027834736</c:v>
                </c:pt>
                <c:pt idx="6">
                  <c:v>-0.36467294387261595</c:v>
                </c:pt>
                <c:pt idx="7">
                  <c:v>-0.35233783842882749</c:v>
                </c:pt>
                <c:pt idx="8">
                  <c:v>-0.3395894294887109</c:v>
                </c:pt>
                <c:pt idx="9">
                  <c:v>-0.33056465707606358</c:v>
                </c:pt>
                <c:pt idx="10">
                  <c:v>-0.32419401771526335</c:v>
                </c:pt>
                <c:pt idx="11">
                  <c:v>-0.31296491526085751</c:v>
                </c:pt>
                <c:pt idx="12">
                  <c:v>-0.3063974250972038</c:v>
                </c:pt>
                <c:pt idx="13">
                  <c:v>-0.29741142740755733</c:v>
                </c:pt>
                <c:pt idx="14">
                  <c:v>-0.2835869247504425</c:v>
                </c:pt>
                <c:pt idx="15">
                  <c:v>-0.27197696867844001</c:v>
                </c:pt>
                <c:pt idx="16">
                  <c:v>-0.26691866493437955</c:v>
                </c:pt>
                <c:pt idx="17">
                  <c:v>-0.25914540588440688</c:v>
                </c:pt>
                <c:pt idx="18">
                  <c:v>-0.25163450822575284</c:v>
                </c:pt>
                <c:pt idx="19">
                  <c:v>-0.24627929307584928</c:v>
                </c:pt>
              </c:numCache>
            </c:numRef>
          </c:val>
          <c:smooth val="0"/>
          <c:extLst>
            <c:ext xmlns:c16="http://schemas.microsoft.com/office/drawing/2014/chart" uri="{C3380CC4-5D6E-409C-BE32-E72D297353CC}">
              <c16:uniqueId val="{00000001-5582-4BA6-B824-94582FA3F8B0}"/>
            </c:ext>
          </c:extLst>
        </c:ser>
        <c:ser>
          <c:idx val="5"/>
          <c:order val="2"/>
          <c:tx>
            <c:strRef>
              <c:f>Shock1_U!$M$2</c:f>
              <c:strCache>
                <c:ptCount val="1"/>
                <c:pt idx="0">
                  <c:v>p0.84</c:v>
                </c:pt>
              </c:strCache>
            </c:strRef>
          </c:tx>
          <c:spPr>
            <a:ln w="19050" cap="rnd">
              <a:solidFill>
                <a:schemeClr val="tx1"/>
              </a:solidFill>
              <a:prstDash val="sysDash"/>
              <a:round/>
            </a:ln>
            <a:effectLst/>
          </c:spPr>
          <c:marker>
            <c:symbol val="none"/>
          </c:marker>
          <c:val>
            <c:numRef>
              <c:f>Shock1_U!$M$3:$M$22</c:f>
              <c:numCache>
                <c:formatCode>General</c:formatCode>
                <c:ptCount val="20"/>
                <c:pt idx="0">
                  <c:v>3.9897685769040604E-2</c:v>
                </c:pt>
                <c:pt idx="1">
                  <c:v>-4.2765640686994039E-2</c:v>
                </c:pt>
                <c:pt idx="2">
                  <c:v>-5.8785710262151354E-2</c:v>
                </c:pt>
                <c:pt idx="3">
                  <c:v>-4.9302339872686562E-2</c:v>
                </c:pt>
                <c:pt idx="4">
                  <c:v>-4.4254856444383359E-2</c:v>
                </c:pt>
                <c:pt idx="5">
                  <c:v>-2.8861756304901409E-2</c:v>
                </c:pt>
                <c:pt idx="6">
                  <c:v>-1.3189217934117148E-2</c:v>
                </c:pt>
                <c:pt idx="7">
                  <c:v>-9.616354491291299E-5</c:v>
                </c:pt>
                <c:pt idx="8">
                  <c:v>9.2891481333495958E-3</c:v>
                </c:pt>
                <c:pt idx="9">
                  <c:v>1.7928750276054794E-2</c:v>
                </c:pt>
                <c:pt idx="10">
                  <c:v>2.2841778147189951E-2</c:v>
                </c:pt>
                <c:pt idx="11">
                  <c:v>2.7975458729677802E-2</c:v>
                </c:pt>
                <c:pt idx="12">
                  <c:v>3.335010429309989E-2</c:v>
                </c:pt>
                <c:pt idx="13">
                  <c:v>3.9506226349234813E-2</c:v>
                </c:pt>
                <c:pt idx="14">
                  <c:v>4.1406616187902701E-2</c:v>
                </c:pt>
                <c:pt idx="15">
                  <c:v>4.2369731815809303E-2</c:v>
                </c:pt>
                <c:pt idx="16">
                  <c:v>4.2117735209801929E-2</c:v>
                </c:pt>
                <c:pt idx="17">
                  <c:v>4.3860203272931296E-2</c:v>
                </c:pt>
                <c:pt idx="18">
                  <c:v>4.6889318432885706E-2</c:v>
                </c:pt>
                <c:pt idx="19">
                  <c:v>4.7100995627054387E-2</c:v>
                </c:pt>
              </c:numCache>
            </c:numRef>
          </c:val>
          <c:smooth val="0"/>
          <c:extLst>
            <c:ext xmlns:c16="http://schemas.microsoft.com/office/drawing/2014/chart" uri="{C3380CC4-5D6E-409C-BE32-E72D297353CC}">
              <c16:uniqueId val="{00000002-5582-4BA6-B824-94582FA3F8B0}"/>
            </c:ext>
          </c:extLst>
        </c:ser>
        <c:dLbls>
          <c:showLegendKey val="0"/>
          <c:showVal val="0"/>
          <c:showCatName val="0"/>
          <c:showSerName val="0"/>
          <c:showPercent val="0"/>
          <c:showBubbleSize val="0"/>
        </c:dLbls>
        <c:smooth val="0"/>
        <c:axId val="137818496"/>
        <c:axId val="137820032"/>
      </c:lineChart>
      <c:catAx>
        <c:axId val="137818496"/>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820032"/>
        <c:crosses val="autoZero"/>
        <c:auto val="1"/>
        <c:lblAlgn val="ctr"/>
        <c:lblOffset val="100"/>
        <c:tickLblSkip val="2"/>
        <c:noMultiLvlLbl val="0"/>
      </c:catAx>
      <c:valAx>
        <c:axId val="137820032"/>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37818496"/>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3"/>
          <c:order val="3"/>
          <c:spPr>
            <a:solidFill>
              <a:schemeClr val="bg1">
                <a:lumMod val="85000"/>
              </a:schemeClr>
            </a:solidFill>
            <a:ln>
              <a:noFill/>
            </a:ln>
            <a:effectLst/>
          </c:spPr>
          <c:invertIfNegative val="0"/>
          <c:val>
            <c:numRef>
              <c:f>figures!$H$2:$H$105</c:f>
              <c:numCache>
                <c:formatCode>General</c:formatCode>
                <c:ptCount val="104"/>
                <c:pt idx="2">
                  <c:v>5</c:v>
                </c:pt>
                <c:pt idx="3">
                  <c:v>5</c:v>
                </c:pt>
                <c:pt idx="4">
                  <c:v>5</c:v>
                </c:pt>
                <c:pt idx="44">
                  <c:v>5</c:v>
                </c:pt>
                <c:pt idx="45">
                  <c:v>5</c:v>
                </c:pt>
                <c:pt idx="46">
                  <c:v>5</c:v>
                </c:pt>
                <c:pt idx="47">
                  <c:v>5</c:v>
                </c:pt>
                <c:pt idx="71">
                  <c:v>5</c:v>
                </c:pt>
                <c:pt idx="72">
                  <c:v>5</c:v>
                </c:pt>
                <c:pt idx="73">
                  <c:v>5</c:v>
                </c:pt>
                <c:pt idx="74">
                  <c:v>5</c:v>
                </c:pt>
                <c:pt idx="75">
                  <c:v>5</c:v>
                </c:pt>
                <c:pt idx="76">
                  <c:v>5</c:v>
                </c:pt>
                <c:pt idx="77">
                  <c:v>5</c:v>
                </c:pt>
              </c:numCache>
            </c:numRef>
          </c:val>
          <c:extLst>
            <c:ext xmlns:c16="http://schemas.microsoft.com/office/drawing/2014/chart" uri="{C3380CC4-5D6E-409C-BE32-E72D297353CC}">
              <c16:uniqueId val="{00000000-65D8-41DE-9DE6-DA5496DD5998}"/>
            </c:ext>
          </c:extLst>
        </c:ser>
        <c:dLbls>
          <c:showLegendKey val="0"/>
          <c:showVal val="0"/>
          <c:showCatName val="0"/>
          <c:showSerName val="0"/>
          <c:showPercent val="0"/>
          <c:showBubbleSize val="0"/>
        </c:dLbls>
        <c:gapWidth val="0"/>
        <c:overlap val="100"/>
        <c:axId val="112453888"/>
        <c:axId val="112451968"/>
      </c:barChart>
      <c:lineChart>
        <c:grouping val="standard"/>
        <c:varyColors val="0"/>
        <c:ser>
          <c:idx val="1"/>
          <c:order val="0"/>
          <c:tx>
            <c:strRef>
              <c:f>figures!$F$1</c:f>
              <c:strCache>
                <c:ptCount val="1"/>
                <c:pt idx="0">
                  <c:v>∆CI_Loan (mm)</c:v>
                </c:pt>
              </c:strCache>
            </c:strRef>
          </c:tx>
          <c:spPr>
            <a:ln w="12700" cap="rnd">
              <a:solidFill>
                <a:schemeClr val="bg1">
                  <a:lumMod val="65000"/>
                </a:schemeClr>
              </a:solidFill>
              <a:prstDash val="solid"/>
              <a:round/>
            </a:ln>
            <a:effectLst/>
          </c:spPr>
          <c:marker>
            <c:symbol val="none"/>
          </c:marker>
          <c:cat>
            <c:strRef>
              <c:f>figures!$B$2:$B$105</c:f>
              <c:strCache>
                <c:ptCount val="104"/>
                <c:pt idx="0">
                  <c:v>1990Q1</c:v>
                </c:pt>
                <c:pt idx="1">
                  <c:v>1990Q2</c:v>
                </c:pt>
                <c:pt idx="2">
                  <c:v>1990Q3</c:v>
                </c:pt>
                <c:pt idx="3">
                  <c:v>1990Q4</c:v>
                </c:pt>
                <c:pt idx="4">
                  <c:v>1991Q1</c:v>
                </c:pt>
                <c:pt idx="5">
                  <c:v>1991Q2</c:v>
                </c:pt>
                <c:pt idx="6">
                  <c:v>1991Q3</c:v>
                </c:pt>
                <c:pt idx="7">
                  <c:v>1991Q4</c:v>
                </c:pt>
                <c:pt idx="8">
                  <c:v>1992Q1</c:v>
                </c:pt>
                <c:pt idx="9">
                  <c:v>1992Q2</c:v>
                </c:pt>
                <c:pt idx="10">
                  <c:v>1992Q3</c:v>
                </c:pt>
                <c:pt idx="11">
                  <c:v>1992Q4</c:v>
                </c:pt>
                <c:pt idx="12">
                  <c:v>1993Q1</c:v>
                </c:pt>
                <c:pt idx="13">
                  <c:v>1993Q2</c:v>
                </c:pt>
                <c:pt idx="14">
                  <c:v>1993Q3</c:v>
                </c:pt>
                <c:pt idx="15">
                  <c:v>1993Q4</c:v>
                </c:pt>
                <c:pt idx="16">
                  <c:v>1994Q1</c:v>
                </c:pt>
                <c:pt idx="17">
                  <c:v>1994Q2</c:v>
                </c:pt>
                <c:pt idx="18">
                  <c:v>1994Q3</c:v>
                </c:pt>
                <c:pt idx="19">
                  <c:v>1994Q4</c:v>
                </c:pt>
                <c:pt idx="20">
                  <c:v>1995Q1</c:v>
                </c:pt>
                <c:pt idx="21">
                  <c:v>1995Q2</c:v>
                </c:pt>
                <c:pt idx="22">
                  <c:v>1995Q3</c:v>
                </c:pt>
                <c:pt idx="23">
                  <c:v>1995Q4</c:v>
                </c:pt>
                <c:pt idx="24">
                  <c:v>1996Q1</c:v>
                </c:pt>
                <c:pt idx="25">
                  <c:v>1996Q2</c:v>
                </c:pt>
                <c:pt idx="26">
                  <c:v>1996Q3</c:v>
                </c:pt>
                <c:pt idx="27">
                  <c:v>1996Q4</c:v>
                </c:pt>
                <c:pt idx="28">
                  <c:v>1997Q1</c:v>
                </c:pt>
                <c:pt idx="29">
                  <c:v>1997Q2</c:v>
                </c:pt>
                <c:pt idx="30">
                  <c:v>1997Q3</c:v>
                </c:pt>
                <c:pt idx="31">
                  <c:v>1997Q4</c:v>
                </c:pt>
                <c:pt idx="32">
                  <c:v>1998Q1</c:v>
                </c:pt>
                <c:pt idx="33">
                  <c:v>1998Q2</c:v>
                </c:pt>
                <c:pt idx="34">
                  <c:v>1998Q3</c:v>
                </c:pt>
                <c:pt idx="35">
                  <c:v>1998Q4</c:v>
                </c:pt>
                <c:pt idx="36">
                  <c:v>1999Q1</c:v>
                </c:pt>
                <c:pt idx="37">
                  <c:v>1999Q2</c:v>
                </c:pt>
                <c:pt idx="38">
                  <c:v>1999Q3</c:v>
                </c:pt>
                <c:pt idx="39">
                  <c:v>1999Q4</c:v>
                </c:pt>
                <c:pt idx="40">
                  <c:v>2000Q1</c:v>
                </c:pt>
                <c:pt idx="41">
                  <c:v>2000Q2</c:v>
                </c:pt>
                <c:pt idx="42">
                  <c:v>2000Q3</c:v>
                </c:pt>
                <c:pt idx="43">
                  <c:v>2000Q4</c:v>
                </c:pt>
                <c:pt idx="44">
                  <c:v>2001Q1</c:v>
                </c:pt>
                <c:pt idx="45">
                  <c:v>2001Q2</c:v>
                </c:pt>
                <c:pt idx="46">
                  <c:v>2001Q3</c:v>
                </c:pt>
                <c:pt idx="47">
                  <c:v>2001Q4</c:v>
                </c:pt>
                <c:pt idx="48">
                  <c:v>2002Q1</c:v>
                </c:pt>
                <c:pt idx="49">
                  <c:v>2002Q2</c:v>
                </c:pt>
                <c:pt idx="50">
                  <c:v>2002Q3</c:v>
                </c:pt>
                <c:pt idx="51">
                  <c:v>2002Q4</c:v>
                </c:pt>
                <c:pt idx="52">
                  <c:v>2003Q1</c:v>
                </c:pt>
                <c:pt idx="53">
                  <c:v>2003Q2</c:v>
                </c:pt>
                <c:pt idx="54">
                  <c:v>2003Q3</c:v>
                </c:pt>
                <c:pt idx="55">
                  <c:v>2003Q4</c:v>
                </c:pt>
                <c:pt idx="56">
                  <c:v>2004Q1</c:v>
                </c:pt>
                <c:pt idx="57">
                  <c:v>2004Q2</c:v>
                </c:pt>
                <c:pt idx="58">
                  <c:v>2004Q3</c:v>
                </c:pt>
                <c:pt idx="59">
                  <c:v>2004Q4</c:v>
                </c:pt>
                <c:pt idx="60">
                  <c:v>2005Q1</c:v>
                </c:pt>
                <c:pt idx="61">
                  <c:v>2005Q2</c:v>
                </c:pt>
                <c:pt idx="62">
                  <c:v>2005Q3</c:v>
                </c:pt>
                <c:pt idx="63">
                  <c:v>2005Q4</c:v>
                </c:pt>
                <c:pt idx="64">
                  <c:v>2006Q1</c:v>
                </c:pt>
                <c:pt idx="65">
                  <c:v>2006Q2</c:v>
                </c:pt>
                <c:pt idx="66">
                  <c:v>2006Q3</c:v>
                </c:pt>
                <c:pt idx="67">
                  <c:v>2006Q4</c:v>
                </c:pt>
                <c:pt idx="68">
                  <c:v>2007Q1</c:v>
                </c:pt>
                <c:pt idx="69">
                  <c:v>2007Q2</c:v>
                </c:pt>
                <c:pt idx="70">
                  <c:v>2007Q3</c:v>
                </c:pt>
                <c:pt idx="71">
                  <c:v>2007Q4</c:v>
                </c:pt>
                <c:pt idx="72">
                  <c:v>2008Q1</c:v>
                </c:pt>
                <c:pt idx="73">
                  <c:v>2008Q2</c:v>
                </c:pt>
                <c:pt idx="74">
                  <c:v>2008Q3</c:v>
                </c:pt>
                <c:pt idx="75">
                  <c:v>2008Q4</c:v>
                </c:pt>
                <c:pt idx="76">
                  <c:v>2009Q1</c:v>
                </c:pt>
                <c:pt idx="77">
                  <c:v>2009Q2</c:v>
                </c:pt>
                <c:pt idx="78">
                  <c:v>2009Q3</c:v>
                </c:pt>
                <c:pt idx="79">
                  <c:v>2009Q4</c:v>
                </c:pt>
                <c:pt idx="80">
                  <c:v>2010Q1</c:v>
                </c:pt>
                <c:pt idx="81">
                  <c:v>2010Q2</c:v>
                </c:pt>
                <c:pt idx="82">
                  <c:v>2010Q3</c:v>
                </c:pt>
                <c:pt idx="83">
                  <c:v>2010Q4</c:v>
                </c:pt>
                <c:pt idx="84">
                  <c:v>2011Q1</c:v>
                </c:pt>
                <c:pt idx="85">
                  <c:v>2011Q2</c:v>
                </c:pt>
                <c:pt idx="86">
                  <c:v>2011Q3</c:v>
                </c:pt>
                <c:pt idx="87">
                  <c:v>2011Q4</c:v>
                </c:pt>
                <c:pt idx="88">
                  <c:v>2012Q1</c:v>
                </c:pt>
                <c:pt idx="89">
                  <c:v>2012Q2</c:v>
                </c:pt>
                <c:pt idx="90">
                  <c:v>2012Q3</c:v>
                </c:pt>
                <c:pt idx="91">
                  <c:v>2012Q4</c:v>
                </c:pt>
                <c:pt idx="92">
                  <c:v>2013Q1</c:v>
                </c:pt>
                <c:pt idx="93">
                  <c:v>2013Q2</c:v>
                </c:pt>
                <c:pt idx="94">
                  <c:v>2013Q3</c:v>
                </c:pt>
                <c:pt idx="95">
                  <c:v>2013Q4</c:v>
                </c:pt>
                <c:pt idx="96">
                  <c:v>2014Q1</c:v>
                </c:pt>
                <c:pt idx="97">
                  <c:v>2014Q2</c:v>
                </c:pt>
                <c:pt idx="98">
                  <c:v>2014Q3</c:v>
                </c:pt>
                <c:pt idx="99">
                  <c:v>2014Q4</c:v>
                </c:pt>
                <c:pt idx="100">
                  <c:v>2015Q1</c:v>
                </c:pt>
                <c:pt idx="101">
                  <c:v>2015Q2</c:v>
                </c:pt>
                <c:pt idx="102">
                  <c:v>2015Q3</c:v>
                </c:pt>
                <c:pt idx="103">
                  <c:v>2015Q4</c:v>
                </c:pt>
              </c:strCache>
            </c:strRef>
          </c:cat>
          <c:val>
            <c:numRef>
              <c:f>figures!$F$2:$F$105</c:f>
              <c:numCache>
                <c:formatCode>General</c:formatCode>
                <c:ptCount val="104"/>
                <c:pt idx="0">
                  <c:v>0.84399999999999997</c:v>
                </c:pt>
                <c:pt idx="1">
                  <c:v>3.1743000000000001</c:v>
                </c:pt>
                <c:pt idx="2">
                  <c:v>-2.04</c:v>
                </c:pt>
                <c:pt idx="3">
                  <c:v>2.0095000000000001</c:v>
                </c:pt>
                <c:pt idx="4">
                  <c:v>-6.2140000000000004</c:v>
                </c:pt>
                <c:pt idx="5">
                  <c:v>-8.9063999999999997</c:v>
                </c:pt>
                <c:pt idx="6">
                  <c:v>-5.81</c:v>
                </c:pt>
                <c:pt idx="7">
                  <c:v>-2.2572000000000001</c:v>
                </c:pt>
                <c:pt idx="8">
                  <c:v>-10.940300000000001</c:v>
                </c:pt>
                <c:pt idx="9">
                  <c:v>-6.3076999999999996</c:v>
                </c:pt>
                <c:pt idx="10">
                  <c:v>-2.6568000000000001</c:v>
                </c:pt>
                <c:pt idx="11">
                  <c:v>-1.9838</c:v>
                </c:pt>
                <c:pt idx="12">
                  <c:v>-5.1501000000000001</c:v>
                </c:pt>
                <c:pt idx="13">
                  <c:v>-1.0201</c:v>
                </c:pt>
                <c:pt idx="14">
                  <c:v>-4.8464999999999998</c:v>
                </c:pt>
                <c:pt idx="15">
                  <c:v>-1.7733000000000001</c:v>
                </c:pt>
                <c:pt idx="16">
                  <c:v>11.173</c:v>
                </c:pt>
                <c:pt idx="17">
                  <c:v>14.2666</c:v>
                </c:pt>
                <c:pt idx="18">
                  <c:v>15.834199999999999</c:v>
                </c:pt>
                <c:pt idx="19">
                  <c:v>18.842700000000001</c:v>
                </c:pt>
                <c:pt idx="20">
                  <c:v>29.83</c:v>
                </c:pt>
                <c:pt idx="21">
                  <c:v>17.144200000000001</c:v>
                </c:pt>
                <c:pt idx="22">
                  <c:v>15.2182</c:v>
                </c:pt>
                <c:pt idx="23">
                  <c:v>9.0833999999999993</c:v>
                </c:pt>
                <c:pt idx="24">
                  <c:v>12.387600000000001</c:v>
                </c:pt>
                <c:pt idx="25">
                  <c:v>14.1479</c:v>
                </c:pt>
                <c:pt idx="26">
                  <c:v>16.829799999999999</c:v>
                </c:pt>
                <c:pt idx="27">
                  <c:v>20.168500000000002</c:v>
                </c:pt>
                <c:pt idx="28">
                  <c:v>17.1752</c:v>
                </c:pt>
                <c:pt idx="29">
                  <c:v>17.815100000000001</c:v>
                </c:pt>
                <c:pt idx="30">
                  <c:v>16.178799999999999</c:v>
                </c:pt>
                <c:pt idx="31">
                  <c:v>15.331099999999999</c:v>
                </c:pt>
                <c:pt idx="32">
                  <c:v>21.1646</c:v>
                </c:pt>
                <c:pt idx="33">
                  <c:v>25.065200000000001</c:v>
                </c:pt>
                <c:pt idx="34">
                  <c:v>20.838699999999999</c:v>
                </c:pt>
                <c:pt idx="35">
                  <c:v>27.0549</c:v>
                </c:pt>
                <c:pt idx="36">
                  <c:v>5.3236999999999997</c:v>
                </c:pt>
                <c:pt idx="37">
                  <c:v>5.4119000000000002</c:v>
                </c:pt>
                <c:pt idx="38">
                  <c:v>25.002800000000001</c:v>
                </c:pt>
                <c:pt idx="39">
                  <c:v>26.1602</c:v>
                </c:pt>
                <c:pt idx="40">
                  <c:v>25.198699999999999</c:v>
                </c:pt>
                <c:pt idx="41">
                  <c:v>36.681899999999999</c:v>
                </c:pt>
                <c:pt idx="42">
                  <c:v>9.7664000000000009</c:v>
                </c:pt>
                <c:pt idx="43">
                  <c:v>12.599600000000001</c:v>
                </c:pt>
                <c:pt idx="44">
                  <c:v>6.6580000000000004</c:v>
                </c:pt>
                <c:pt idx="45">
                  <c:v>-19.769400000000001</c:v>
                </c:pt>
                <c:pt idx="46">
                  <c:v>-13.116899999999999</c:v>
                </c:pt>
                <c:pt idx="47">
                  <c:v>-37.280799999999999</c:v>
                </c:pt>
                <c:pt idx="48">
                  <c:v>-10.0297</c:v>
                </c:pt>
                <c:pt idx="49">
                  <c:v>-27.533200000000001</c:v>
                </c:pt>
                <c:pt idx="50">
                  <c:v>-18.058199999999999</c:v>
                </c:pt>
                <c:pt idx="51">
                  <c:v>-8.3858999999999995</c:v>
                </c:pt>
                <c:pt idx="52">
                  <c:v>-20.3398</c:v>
                </c:pt>
                <c:pt idx="53">
                  <c:v>-19.952100000000002</c:v>
                </c:pt>
                <c:pt idx="54">
                  <c:v>-17.692699999999999</c:v>
                </c:pt>
                <c:pt idx="55">
                  <c:v>-16.275500000000001</c:v>
                </c:pt>
                <c:pt idx="56">
                  <c:v>-14.1752</c:v>
                </c:pt>
                <c:pt idx="57">
                  <c:v>-8.0100000000000005E-2</c:v>
                </c:pt>
                <c:pt idx="58">
                  <c:v>17.483699999999999</c:v>
                </c:pt>
                <c:pt idx="59">
                  <c:v>19.555199999999999</c:v>
                </c:pt>
                <c:pt idx="60">
                  <c:v>39.556899999999999</c:v>
                </c:pt>
                <c:pt idx="61">
                  <c:v>29.3201</c:v>
                </c:pt>
                <c:pt idx="62">
                  <c:v>25.714300000000001</c:v>
                </c:pt>
                <c:pt idx="63">
                  <c:v>35.1462</c:v>
                </c:pt>
                <c:pt idx="64">
                  <c:v>32.7378</c:v>
                </c:pt>
                <c:pt idx="65">
                  <c:v>50.122500000000002</c:v>
                </c:pt>
                <c:pt idx="66">
                  <c:v>32.291400000000003</c:v>
                </c:pt>
                <c:pt idx="67">
                  <c:v>31.272600000000001</c:v>
                </c:pt>
                <c:pt idx="68">
                  <c:v>33.435099999999998</c:v>
                </c:pt>
                <c:pt idx="69">
                  <c:v>48.058500000000002</c:v>
                </c:pt>
                <c:pt idx="70">
                  <c:v>86.127899999999997</c:v>
                </c:pt>
                <c:pt idx="71">
                  <c:v>67.477400000000003</c:v>
                </c:pt>
                <c:pt idx="72">
                  <c:v>53.334200000000003</c:v>
                </c:pt>
                <c:pt idx="73">
                  <c:v>27.417300000000001</c:v>
                </c:pt>
                <c:pt idx="74">
                  <c:v>32.729300000000002</c:v>
                </c:pt>
                <c:pt idx="75">
                  <c:v>27.601700000000001</c:v>
                </c:pt>
                <c:pt idx="76">
                  <c:v>-47.2361</c:v>
                </c:pt>
                <c:pt idx="77">
                  <c:v>-75.041899999999998</c:v>
                </c:pt>
                <c:pt idx="78">
                  <c:v>-98.558199999999999</c:v>
                </c:pt>
                <c:pt idx="79">
                  <c:v>-72.688999999999993</c:v>
                </c:pt>
                <c:pt idx="80">
                  <c:v>-54.997599999999998</c:v>
                </c:pt>
                <c:pt idx="81">
                  <c:v>-20.008099999999999</c:v>
                </c:pt>
                <c:pt idx="82">
                  <c:v>-4.0834999999999999</c:v>
                </c:pt>
                <c:pt idx="83">
                  <c:v>6.2915999999999999</c:v>
                </c:pt>
                <c:pt idx="84">
                  <c:v>14.558299999999999</c:v>
                </c:pt>
                <c:pt idx="85">
                  <c:v>26.724599999999999</c:v>
                </c:pt>
                <c:pt idx="86">
                  <c:v>36.220700000000001</c:v>
                </c:pt>
                <c:pt idx="87">
                  <c:v>33.886299999999999</c:v>
                </c:pt>
                <c:pt idx="88">
                  <c:v>47.2288</c:v>
                </c:pt>
                <c:pt idx="89">
                  <c:v>47.035499999999999</c:v>
                </c:pt>
                <c:pt idx="90">
                  <c:v>36.530200000000001</c:v>
                </c:pt>
                <c:pt idx="91">
                  <c:v>39.8889</c:v>
                </c:pt>
                <c:pt idx="92">
                  <c:v>25.208200000000001</c:v>
                </c:pt>
                <c:pt idx="93">
                  <c:v>22.301100000000002</c:v>
                </c:pt>
                <c:pt idx="94">
                  <c:v>18.0413</c:v>
                </c:pt>
                <c:pt idx="95">
                  <c:v>34.331099999999999</c:v>
                </c:pt>
                <c:pt idx="96">
                  <c:v>59.2395</c:v>
                </c:pt>
                <c:pt idx="97">
                  <c:v>43.8461</c:v>
                </c:pt>
                <c:pt idx="98">
                  <c:v>48.008200000000002</c:v>
                </c:pt>
                <c:pt idx="99">
                  <c:v>47.8581</c:v>
                </c:pt>
                <c:pt idx="100">
                  <c:v>58.030200000000001</c:v>
                </c:pt>
                <c:pt idx="101">
                  <c:v>48.913499999999999</c:v>
                </c:pt>
                <c:pt idx="102">
                  <c:v>32.994500000000002</c:v>
                </c:pt>
                <c:pt idx="103">
                  <c:v>43.692799999999998</c:v>
                </c:pt>
              </c:numCache>
            </c:numRef>
          </c:val>
          <c:smooth val="0"/>
          <c:extLst>
            <c:ext xmlns:c16="http://schemas.microsoft.com/office/drawing/2014/chart" uri="{C3380CC4-5D6E-409C-BE32-E72D297353CC}">
              <c16:uniqueId val="{00000001-65D8-41DE-9DE6-DA5496DD5998}"/>
            </c:ext>
          </c:extLst>
        </c:ser>
        <c:ser>
          <c:idx val="0"/>
          <c:order val="1"/>
          <c:tx>
            <c:strRef>
              <c:f>figures!$G$1</c:f>
              <c:strCache>
                <c:ptCount val="1"/>
                <c:pt idx="0">
                  <c:v>Synd_Loan (bn)</c:v>
                </c:pt>
              </c:strCache>
            </c:strRef>
          </c:tx>
          <c:spPr>
            <a:ln w="15875" cap="rnd">
              <a:solidFill>
                <a:schemeClr val="tx1"/>
              </a:solidFill>
              <a:prstDash val="sysDot"/>
              <a:round/>
            </a:ln>
            <a:effectLst/>
          </c:spPr>
          <c:marker>
            <c:symbol val="none"/>
          </c:marker>
          <c:val>
            <c:numRef>
              <c:f>figures!$G$2:$G$105</c:f>
              <c:numCache>
                <c:formatCode>General</c:formatCode>
                <c:ptCount val="104"/>
                <c:pt idx="0">
                  <c:v>39.908990000000003</c:v>
                </c:pt>
                <c:pt idx="1">
                  <c:v>54.389740000000003</c:v>
                </c:pt>
                <c:pt idx="2">
                  <c:v>45.88805</c:v>
                </c:pt>
                <c:pt idx="3">
                  <c:v>35.055059999999997</c:v>
                </c:pt>
                <c:pt idx="4">
                  <c:v>25.448149999999998</c:v>
                </c:pt>
                <c:pt idx="5">
                  <c:v>38.674990000000001</c:v>
                </c:pt>
                <c:pt idx="6">
                  <c:v>45.41827</c:v>
                </c:pt>
                <c:pt idx="7">
                  <c:v>60.92436</c:v>
                </c:pt>
                <c:pt idx="8">
                  <c:v>33.374679999999998</c:v>
                </c:pt>
                <c:pt idx="9">
                  <c:v>61.617690000000003</c:v>
                </c:pt>
                <c:pt idx="10">
                  <c:v>56.96752</c:v>
                </c:pt>
                <c:pt idx="11">
                  <c:v>59.754019999999997</c:v>
                </c:pt>
                <c:pt idx="12">
                  <c:v>41.213590000000003</c:v>
                </c:pt>
                <c:pt idx="13">
                  <c:v>88.292640000000006</c:v>
                </c:pt>
                <c:pt idx="14">
                  <c:v>67.609520000000003</c:v>
                </c:pt>
                <c:pt idx="15">
                  <c:v>98.087609999999998</c:v>
                </c:pt>
                <c:pt idx="16">
                  <c:v>70.597949999999997</c:v>
                </c:pt>
                <c:pt idx="17">
                  <c:v>124.84826</c:v>
                </c:pt>
                <c:pt idx="18">
                  <c:v>129.48379</c:v>
                </c:pt>
                <c:pt idx="19">
                  <c:v>151.3699</c:v>
                </c:pt>
                <c:pt idx="20">
                  <c:v>108.31413000000001</c:v>
                </c:pt>
                <c:pt idx="21">
                  <c:v>169.01519999999999</c:v>
                </c:pt>
                <c:pt idx="22">
                  <c:v>157.88439</c:v>
                </c:pt>
                <c:pt idx="23">
                  <c:v>182.75545</c:v>
                </c:pt>
                <c:pt idx="24">
                  <c:v>124.71749</c:v>
                </c:pt>
                <c:pt idx="25">
                  <c:v>215.72664</c:v>
                </c:pt>
                <c:pt idx="26">
                  <c:v>206.31824</c:v>
                </c:pt>
                <c:pt idx="27">
                  <c:v>212.22189</c:v>
                </c:pt>
                <c:pt idx="28">
                  <c:v>194.07762</c:v>
                </c:pt>
                <c:pt idx="29">
                  <c:v>254.84837999999999</c:v>
                </c:pt>
                <c:pt idx="30">
                  <c:v>239.09179</c:v>
                </c:pt>
                <c:pt idx="31">
                  <c:v>241.64071000000001</c:v>
                </c:pt>
                <c:pt idx="32">
                  <c:v>161.69703000000001</c:v>
                </c:pt>
                <c:pt idx="33">
                  <c:v>189.23515</c:v>
                </c:pt>
                <c:pt idx="34">
                  <c:v>155.95564999999999</c:v>
                </c:pt>
                <c:pt idx="35">
                  <c:v>117.35706999999999</c:v>
                </c:pt>
                <c:pt idx="36">
                  <c:v>100.46928</c:v>
                </c:pt>
                <c:pt idx="37">
                  <c:v>173.01481999999999</c:v>
                </c:pt>
                <c:pt idx="38">
                  <c:v>112.94144</c:v>
                </c:pt>
                <c:pt idx="39">
                  <c:v>125.73802999999999</c:v>
                </c:pt>
                <c:pt idx="40">
                  <c:v>106.41052999999999</c:v>
                </c:pt>
                <c:pt idx="41">
                  <c:v>142.00819000000001</c:v>
                </c:pt>
                <c:pt idx="42">
                  <c:v>138.56525999999999</c:v>
                </c:pt>
                <c:pt idx="43">
                  <c:v>129.21960000000001</c:v>
                </c:pt>
                <c:pt idx="44">
                  <c:v>94.204679999999996</c:v>
                </c:pt>
                <c:pt idx="45">
                  <c:v>172.38651999999999</c:v>
                </c:pt>
                <c:pt idx="46">
                  <c:v>135.45182</c:v>
                </c:pt>
                <c:pt idx="47">
                  <c:v>114.85216</c:v>
                </c:pt>
                <c:pt idx="48">
                  <c:v>86.266970000000001</c:v>
                </c:pt>
                <c:pt idx="49">
                  <c:v>130.24696</c:v>
                </c:pt>
                <c:pt idx="50">
                  <c:v>109.55399</c:v>
                </c:pt>
                <c:pt idx="51">
                  <c:v>98.714190000000002</c:v>
                </c:pt>
                <c:pt idx="52">
                  <c:v>94.10436</c:v>
                </c:pt>
                <c:pt idx="53">
                  <c:v>128.16811999999999</c:v>
                </c:pt>
                <c:pt idx="54">
                  <c:v>102.71863</c:v>
                </c:pt>
                <c:pt idx="55">
                  <c:v>131.70534000000001</c:v>
                </c:pt>
                <c:pt idx="56">
                  <c:v>124.08454</c:v>
                </c:pt>
                <c:pt idx="57">
                  <c:v>270.93421999999998</c:v>
                </c:pt>
                <c:pt idx="58">
                  <c:v>216.48251999999999</c:v>
                </c:pt>
                <c:pt idx="59">
                  <c:v>250.59929</c:v>
                </c:pt>
                <c:pt idx="60">
                  <c:v>194.68505999999999</c:v>
                </c:pt>
                <c:pt idx="61">
                  <c:v>333.92408999999998</c:v>
                </c:pt>
                <c:pt idx="62">
                  <c:v>281.80927000000003</c:v>
                </c:pt>
                <c:pt idx="63">
                  <c:v>333.18509</c:v>
                </c:pt>
                <c:pt idx="64">
                  <c:v>264.74299999999999</c:v>
                </c:pt>
                <c:pt idx="65">
                  <c:v>371.27152999999998</c:v>
                </c:pt>
                <c:pt idx="66">
                  <c:v>327.78219000000001</c:v>
                </c:pt>
                <c:pt idx="67">
                  <c:v>312.96704999999997</c:v>
                </c:pt>
                <c:pt idx="68">
                  <c:v>243.84611000000001</c:v>
                </c:pt>
                <c:pt idx="69">
                  <c:v>436.52303999999998</c:v>
                </c:pt>
                <c:pt idx="70">
                  <c:v>340.94456000000002</c:v>
                </c:pt>
                <c:pt idx="71">
                  <c:v>293.29548999999997</c:v>
                </c:pt>
                <c:pt idx="72">
                  <c:v>182.59700000000001</c:v>
                </c:pt>
                <c:pt idx="73">
                  <c:v>215.33029999999999</c:v>
                </c:pt>
                <c:pt idx="74">
                  <c:v>168.83247</c:v>
                </c:pt>
                <c:pt idx="75">
                  <c:v>88.592320000000001</c:v>
                </c:pt>
                <c:pt idx="76">
                  <c:v>61.616590000000002</c:v>
                </c:pt>
                <c:pt idx="77">
                  <c:v>96.799220000000005</c:v>
                </c:pt>
                <c:pt idx="78">
                  <c:v>72.067120000000003</c:v>
                </c:pt>
                <c:pt idx="79">
                  <c:v>136.47814</c:v>
                </c:pt>
                <c:pt idx="80">
                  <c:v>111.88985</c:v>
                </c:pt>
                <c:pt idx="81">
                  <c:v>232.11698000000001</c:v>
                </c:pt>
                <c:pt idx="82">
                  <c:v>185.76224999999999</c:v>
                </c:pt>
                <c:pt idx="83">
                  <c:v>262.90321999999998</c:v>
                </c:pt>
                <c:pt idx="84">
                  <c:v>250.37836999999999</c:v>
                </c:pt>
                <c:pt idx="85">
                  <c:v>445.19483000000002</c:v>
                </c:pt>
                <c:pt idx="86">
                  <c:v>360.69249000000002</c:v>
                </c:pt>
                <c:pt idx="87">
                  <c:v>416.20760999999999</c:v>
                </c:pt>
                <c:pt idx="88">
                  <c:v>276.86401000000001</c:v>
                </c:pt>
                <c:pt idx="89">
                  <c:v>292.07441</c:v>
                </c:pt>
                <c:pt idx="90">
                  <c:v>266.71278000000001</c:v>
                </c:pt>
                <c:pt idx="91">
                  <c:v>375.77846</c:v>
                </c:pt>
                <c:pt idx="92">
                  <c:v>266.60676000000001</c:v>
                </c:pt>
                <c:pt idx="93">
                  <c:v>404.44425999999999</c:v>
                </c:pt>
                <c:pt idx="94">
                  <c:v>376.24993000000001</c:v>
                </c:pt>
                <c:pt idx="95">
                  <c:v>456.61293999999998</c:v>
                </c:pt>
                <c:pt idx="96">
                  <c:v>310.67797000000002</c:v>
                </c:pt>
                <c:pt idx="97">
                  <c:v>463.15415999999999</c:v>
                </c:pt>
                <c:pt idx="98">
                  <c:v>368.93401</c:v>
                </c:pt>
                <c:pt idx="99">
                  <c:v>517.75423999999998</c:v>
                </c:pt>
                <c:pt idx="100">
                  <c:v>347.01814000000002</c:v>
                </c:pt>
                <c:pt idx="101">
                  <c:v>425.67230999999998</c:v>
                </c:pt>
                <c:pt idx="102">
                  <c:v>438.78417000000002</c:v>
                </c:pt>
                <c:pt idx="103">
                  <c:v>452.25655</c:v>
                </c:pt>
              </c:numCache>
            </c:numRef>
          </c:val>
          <c:smooth val="0"/>
          <c:extLst>
            <c:ext xmlns:c16="http://schemas.microsoft.com/office/drawing/2014/chart" uri="{C3380CC4-5D6E-409C-BE32-E72D297353CC}">
              <c16:uniqueId val="{00000002-65D8-41DE-9DE6-DA5496DD5998}"/>
            </c:ext>
          </c:extLst>
        </c:ser>
        <c:dLbls>
          <c:showLegendKey val="0"/>
          <c:showVal val="0"/>
          <c:showCatName val="0"/>
          <c:showSerName val="0"/>
          <c:showPercent val="0"/>
          <c:showBubbleSize val="0"/>
        </c:dLbls>
        <c:marker val="1"/>
        <c:smooth val="0"/>
        <c:axId val="112435968"/>
        <c:axId val="112437504"/>
      </c:lineChart>
      <c:lineChart>
        <c:grouping val="standard"/>
        <c:varyColors val="0"/>
        <c:ser>
          <c:idx val="2"/>
          <c:order val="2"/>
          <c:tx>
            <c:strRef>
              <c:f>figures!$E$1</c:f>
              <c:strCache>
                <c:ptCount val="1"/>
                <c:pt idx="0">
                  <c:v>logVRP</c:v>
                </c:pt>
              </c:strCache>
            </c:strRef>
          </c:tx>
          <c:spPr>
            <a:ln w="12700" cap="rnd">
              <a:solidFill>
                <a:schemeClr val="tx1"/>
              </a:solidFill>
              <a:round/>
            </a:ln>
            <a:effectLst/>
          </c:spPr>
          <c:marker>
            <c:symbol val="none"/>
          </c:marker>
          <c:val>
            <c:numRef>
              <c:f>figures!$E$2:$E$105</c:f>
              <c:numCache>
                <c:formatCode>General</c:formatCode>
                <c:ptCount val="104"/>
                <c:pt idx="0">
                  <c:v>3.1972533589999999</c:v>
                </c:pt>
                <c:pt idx="1">
                  <c:v>2.6940436521</c:v>
                </c:pt>
                <c:pt idx="2">
                  <c:v>3.5228651180999999</c:v>
                </c:pt>
                <c:pt idx="3">
                  <c:v>3.5028539756999999</c:v>
                </c:pt>
                <c:pt idx="4">
                  <c:v>2.8455643057</c:v>
                </c:pt>
                <c:pt idx="5">
                  <c:v>2.7291268790999998</c:v>
                </c:pt>
                <c:pt idx="6">
                  <c:v>2.3692447858999999</c:v>
                </c:pt>
                <c:pt idx="7">
                  <c:v>2.7851186817000002</c:v>
                </c:pt>
                <c:pt idx="8">
                  <c:v>2.6208898465999999</c:v>
                </c:pt>
                <c:pt idx="9">
                  <c:v>2.2737812485000002</c:v>
                </c:pt>
                <c:pt idx="10">
                  <c:v>2.2199745690000001</c:v>
                </c:pt>
                <c:pt idx="11">
                  <c:v>2.2405897611999999</c:v>
                </c:pt>
                <c:pt idx="12">
                  <c:v>2.0191797060000001</c:v>
                </c:pt>
                <c:pt idx="13">
                  <c:v>1.9730379349</c:v>
                </c:pt>
                <c:pt idx="14">
                  <c:v>2.0054310056000002</c:v>
                </c:pt>
                <c:pt idx="15">
                  <c:v>2.0312241665999999</c:v>
                </c:pt>
                <c:pt idx="16">
                  <c:v>2.3938339917000002</c:v>
                </c:pt>
                <c:pt idx="17">
                  <c:v>2.1921372179</c:v>
                </c:pt>
                <c:pt idx="18">
                  <c:v>2.0357680479</c:v>
                </c:pt>
                <c:pt idx="19">
                  <c:v>2.3111010193000001</c:v>
                </c:pt>
                <c:pt idx="20">
                  <c:v>2.0319523877000001</c:v>
                </c:pt>
                <c:pt idx="21">
                  <c:v>1.8919212179</c:v>
                </c:pt>
                <c:pt idx="22">
                  <c:v>2.0239404262999998</c:v>
                </c:pt>
                <c:pt idx="23">
                  <c:v>2.0460814601999999</c:v>
                </c:pt>
                <c:pt idx="24">
                  <c:v>2.4064449496</c:v>
                </c:pt>
                <c:pt idx="25">
                  <c:v>2.3696754452</c:v>
                </c:pt>
                <c:pt idx="26">
                  <c:v>2.6709790579999999</c:v>
                </c:pt>
                <c:pt idx="27">
                  <c:v>2.8428109803999999</c:v>
                </c:pt>
                <c:pt idx="28">
                  <c:v>2.9512030292999998</c:v>
                </c:pt>
                <c:pt idx="29">
                  <c:v>2.9391101784</c:v>
                </c:pt>
                <c:pt idx="30">
                  <c:v>3.1700560488999998</c:v>
                </c:pt>
                <c:pt idx="31">
                  <c:v>3.5228869837999999</c:v>
                </c:pt>
                <c:pt idx="32">
                  <c:v>2.9927372977000002</c:v>
                </c:pt>
                <c:pt idx="33">
                  <c:v>2.8568367247999999</c:v>
                </c:pt>
                <c:pt idx="34">
                  <c:v>4.0609350229999999</c:v>
                </c:pt>
                <c:pt idx="35">
                  <c:v>3.3224901425</c:v>
                </c:pt>
                <c:pt idx="36">
                  <c:v>3.4129786153000001</c:v>
                </c:pt>
                <c:pt idx="37">
                  <c:v>3.1183797706999998</c:v>
                </c:pt>
                <c:pt idx="38">
                  <c:v>3.3550922702000001</c:v>
                </c:pt>
                <c:pt idx="39">
                  <c:v>3.2271938843000001</c:v>
                </c:pt>
                <c:pt idx="40">
                  <c:v>2.9859674159999998</c:v>
                </c:pt>
                <c:pt idx="41">
                  <c:v>2.8144986370999998</c:v>
                </c:pt>
                <c:pt idx="42">
                  <c:v>2.9098184654999999</c:v>
                </c:pt>
                <c:pt idx="43">
                  <c:v>3.1388876218999999</c:v>
                </c:pt>
                <c:pt idx="44">
                  <c:v>3.3393896716000002</c:v>
                </c:pt>
                <c:pt idx="45">
                  <c:v>2.8193599917999999</c:v>
                </c:pt>
                <c:pt idx="46">
                  <c:v>3.2947375825999998</c:v>
                </c:pt>
                <c:pt idx="47">
                  <c:v>3.3106204355000002</c:v>
                </c:pt>
                <c:pt idx="48">
                  <c:v>2.9706889447</c:v>
                </c:pt>
                <c:pt idx="49">
                  <c:v>3.1759095182000001</c:v>
                </c:pt>
                <c:pt idx="50">
                  <c:v>4.0344035241</c:v>
                </c:pt>
                <c:pt idx="51">
                  <c:v>3.3080220884</c:v>
                </c:pt>
                <c:pt idx="52">
                  <c:v>3.7359818967999998</c:v>
                </c:pt>
                <c:pt idx="53">
                  <c:v>2.7566662423000001</c:v>
                </c:pt>
                <c:pt idx="54">
                  <c:v>2.8999070506</c:v>
                </c:pt>
                <c:pt idx="55">
                  <c:v>2.5787750191000001</c:v>
                </c:pt>
                <c:pt idx="56">
                  <c:v>2.3854465874000002</c:v>
                </c:pt>
                <c:pt idx="57">
                  <c:v>2.3127110384999998</c:v>
                </c:pt>
                <c:pt idx="58">
                  <c:v>2.2358182820999999</c:v>
                </c:pt>
                <c:pt idx="59">
                  <c:v>2.1905350062000002</c:v>
                </c:pt>
                <c:pt idx="60">
                  <c:v>1.9762332907</c:v>
                </c:pt>
                <c:pt idx="61">
                  <c:v>1.9985846281999999</c:v>
                </c:pt>
                <c:pt idx="62">
                  <c:v>1.7879133410000001</c:v>
                </c:pt>
                <c:pt idx="63">
                  <c:v>1.9689249873000001</c:v>
                </c:pt>
                <c:pt idx="64">
                  <c:v>1.8542482011999999</c:v>
                </c:pt>
                <c:pt idx="65">
                  <c:v>1.8574358558999999</c:v>
                </c:pt>
                <c:pt idx="66">
                  <c:v>1.9477414489</c:v>
                </c:pt>
                <c:pt idx="67">
                  <c:v>1.6858657559000001</c:v>
                </c:pt>
                <c:pt idx="68">
                  <c:v>1.8976974088</c:v>
                </c:pt>
                <c:pt idx="69">
                  <c:v>2.2236849435999999</c:v>
                </c:pt>
                <c:pt idx="70">
                  <c:v>2.8017619164999998</c:v>
                </c:pt>
                <c:pt idx="71">
                  <c:v>2.7964828219000002</c:v>
                </c:pt>
                <c:pt idx="72">
                  <c:v>2.8907514006000001</c:v>
                </c:pt>
                <c:pt idx="73">
                  <c:v>2.8670012961000002</c:v>
                </c:pt>
                <c:pt idx="74">
                  <c:v>3.0770735202999999</c:v>
                </c:pt>
                <c:pt idx="75">
                  <c:v>3.7474517903</c:v>
                </c:pt>
                <c:pt idx="76">
                  <c:v>4.3406761263</c:v>
                </c:pt>
                <c:pt idx="77">
                  <c:v>3.5685382031000001</c:v>
                </c:pt>
                <c:pt idx="78">
                  <c:v>3.3925244689</c:v>
                </c:pt>
                <c:pt idx="79">
                  <c:v>3.3841863699000001</c:v>
                </c:pt>
                <c:pt idx="80">
                  <c:v>2.8896106296999999</c:v>
                </c:pt>
                <c:pt idx="81">
                  <c:v>3.4984506063</c:v>
                </c:pt>
                <c:pt idx="82">
                  <c:v>3.2282128901</c:v>
                </c:pt>
                <c:pt idx="83">
                  <c:v>3.0077267795</c:v>
                </c:pt>
                <c:pt idx="84">
                  <c:v>2.6547707705999999</c:v>
                </c:pt>
                <c:pt idx="85">
                  <c:v>2.1952007483</c:v>
                </c:pt>
                <c:pt idx="86">
                  <c:v>3.3502028528999999</c:v>
                </c:pt>
                <c:pt idx="87">
                  <c:v>3.1800559866999998</c:v>
                </c:pt>
                <c:pt idx="88">
                  <c:v>2.6335920070999999</c:v>
                </c:pt>
                <c:pt idx="89">
                  <c:v>2.6383251964999999</c:v>
                </c:pt>
                <c:pt idx="90">
                  <c:v>2.5692852124000001</c:v>
                </c:pt>
                <c:pt idx="91">
                  <c:v>2.5252545998000002</c:v>
                </c:pt>
                <c:pt idx="92">
                  <c:v>2.1264725658999999</c:v>
                </c:pt>
                <c:pt idx="93">
                  <c:v>2.1739004051999999</c:v>
                </c:pt>
                <c:pt idx="94">
                  <c:v>2.4176300701</c:v>
                </c:pt>
                <c:pt idx="95">
                  <c:v>2.1294458363</c:v>
                </c:pt>
                <c:pt idx="96">
                  <c:v>2.3059442997000001</c:v>
                </c:pt>
                <c:pt idx="97">
                  <c:v>1.8434920524</c:v>
                </c:pt>
                <c:pt idx="98">
                  <c:v>2.3419309254999998</c:v>
                </c:pt>
                <c:pt idx="99">
                  <c:v>1.8925605005999999</c:v>
                </c:pt>
                <c:pt idx="100">
                  <c:v>2.4094831189999999</c:v>
                </c:pt>
                <c:pt idx="101">
                  <c:v>2.3943106635000002</c:v>
                </c:pt>
                <c:pt idx="102">
                  <c:v>2.5222944256000002</c:v>
                </c:pt>
                <c:pt idx="103">
                  <c:v>2.3674963154999999</c:v>
                </c:pt>
              </c:numCache>
            </c:numRef>
          </c:val>
          <c:smooth val="0"/>
          <c:extLst>
            <c:ext xmlns:c16="http://schemas.microsoft.com/office/drawing/2014/chart" uri="{C3380CC4-5D6E-409C-BE32-E72D297353CC}">
              <c16:uniqueId val="{00000003-65D8-41DE-9DE6-DA5496DD5998}"/>
            </c:ext>
          </c:extLst>
        </c:ser>
        <c:dLbls>
          <c:showLegendKey val="0"/>
          <c:showVal val="0"/>
          <c:showCatName val="0"/>
          <c:showSerName val="0"/>
          <c:showPercent val="0"/>
          <c:showBubbleSize val="0"/>
        </c:dLbls>
        <c:marker val="1"/>
        <c:smooth val="0"/>
        <c:axId val="112453888"/>
        <c:axId val="112451968"/>
      </c:lineChart>
      <c:catAx>
        <c:axId val="112435968"/>
        <c:scaling>
          <c:orientation val="minMax"/>
        </c:scaling>
        <c:delete val="0"/>
        <c:axPos val="b"/>
        <c:numFmt formatCode="General" sourceLinked="1"/>
        <c:majorTickMark val="out"/>
        <c:minorTickMark val="none"/>
        <c:tickLblPos val="low"/>
        <c:spPr>
          <a:noFill/>
          <a:ln w="9525" cap="flat" cmpd="sng" algn="ctr">
            <a:solidFill>
              <a:sysClr val="windowText" lastClr="000000">
                <a:lumMod val="50000"/>
                <a:lumOff val="50000"/>
              </a:sysClr>
            </a:solidFill>
            <a:round/>
          </a:ln>
          <a:effectLst/>
        </c:spPr>
        <c:txPr>
          <a:bodyPr rot="-270000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112437504"/>
        <c:crosses val="autoZero"/>
        <c:auto val="1"/>
        <c:lblAlgn val="ctr"/>
        <c:lblOffset val="100"/>
        <c:noMultiLvlLbl val="0"/>
      </c:catAx>
      <c:valAx>
        <c:axId val="112437504"/>
        <c:scaling>
          <c:orientation val="minMax"/>
          <c:max val="650"/>
          <c:min val="-100"/>
        </c:scaling>
        <c:delete val="0"/>
        <c:axPos val="l"/>
        <c:majorGridlines>
          <c:spPr>
            <a:ln w="9525" cap="flat" cmpd="sng" algn="ctr">
              <a:noFill/>
              <a:round/>
            </a:ln>
            <a:effectLst/>
          </c:spPr>
        </c:majorGridlines>
        <c:title>
          <c:tx>
            <c:rich>
              <a:bodyPr rot="-5400000" spcFirstLastPara="1" vertOverflow="ellipsis" vert="horz" wrap="square" anchor="ctr" anchorCtr="1"/>
              <a:lstStyle/>
              <a:p>
                <a:pPr>
                  <a:defRPr sz="10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i="1"/>
                  <a:t>∆CI_Loan / Synd_Loan</a:t>
                </a:r>
                <a:endParaRPr lang="zh-TW" i="1"/>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112435968"/>
        <c:crosses val="autoZero"/>
        <c:crossBetween val="between"/>
      </c:valAx>
      <c:valAx>
        <c:axId val="112451968"/>
        <c:scaling>
          <c:orientation val="minMax"/>
          <c:max val="5"/>
        </c:scaling>
        <c:delete val="0"/>
        <c:axPos val="r"/>
        <c:title>
          <c:tx>
            <c:rich>
              <a:bodyPr rot="-5400000" spcFirstLastPara="1" vertOverflow="ellipsis" vert="horz" wrap="square" anchor="ctr" anchorCtr="1"/>
              <a:lstStyle/>
              <a:p>
                <a:pPr>
                  <a:defRPr sz="10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i="1"/>
                  <a:t>logVRP</a:t>
                </a:r>
                <a:endParaRPr lang="zh-TW" i="1"/>
              </a:p>
            </c:rich>
          </c:tx>
          <c:overlay val="0"/>
          <c:spPr>
            <a:noFill/>
            <a:ln>
              <a:noFill/>
            </a:ln>
            <a:effectLst/>
          </c:spPr>
        </c:title>
        <c:numFmt formatCode="#,##0.00_ "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112453888"/>
        <c:crosses val="max"/>
        <c:crossBetween val="between"/>
      </c:valAx>
      <c:catAx>
        <c:axId val="112453888"/>
        <c:scaling>
          <c:orientation val="minMax"/>
        </c:scaling>
        <c:delete val="1"/>
        <c:axPos val="b"/>
        <c:majorTickMark val="out"/>
        <c:minorTickMark val="none"/>
        <c:tickLblPos val="nextTo"/>
        <c:crossAx val="112451968"/>
        <c:crosses val="autoZero"/>
        <c:auto val="1"/>
        <c:lblAlgn val="ctr"/>
        <c:lblOffset val="100"/>
        <c:noMultiLvlLbl val="0"/>
      </c:cat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legend>
    <c:plotVisOnly val="1"/>
    <c:dispBlanksAs val="gap"/>
    <c:showDLblsOverMax val="0"/>
  </c:chart>
  <c:spPr>
    <a:solidFill>
      <a:schemeClr val="bg1"/>
    </a:solidFill>
    <a:ln w="9525" cap="flat" cmpd="sng" algn="ctr">
      <a:solidFill>
        <a:schemeClr val="tx1"/>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TW"/>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Loan_Spr</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9377379551693972"/>
          <c:y val="0.21196581196581193"/>
          <c:w val="0.63788155790870971"/>
          <c:h val="0.58705094555488246"/>
        </c:manualLayout>
      </c:layout>
      <c:lineChart>
        <c:grouping val="standard"/>
        <c:varyColors val="0"/>
        <c:ser>
          <c:idx val="3"/>
          <c:order val="0"/>
          <c:tx>
            <c:strRef>
              <c:f>Shock1_U!$N$2</c:f>
              <c:strCache>
                <c:ptCount val="1"/>
                <c:pt idx="0">
                  <c:v>Median</c:v>
                </c:pt>
              </c:strCache>
            </c:strRef>
          </c:tx>
          <c:spPr>
            <a:ln w="19050" cap="rnd">
              <a:solidFill>
                <a:schemeClr val="tx1"/>
              </a:solidFill>
              <a:prstDash val="solid"/>
              <a:round/>
            </a:ln>
            <a:effectLst/>
          </c:spPr>
          <c:marker>
            <c:symbol val="none"/>
          </c:marker>
          <c:val>
            <c:numRef>
              <c:f>Shock1_U!$N$3:$N$22</c:f>
              <c:numCache>
                <c:formatCode>General</c:formatCode>
                <c:ptCount val="20"/>
                <c:pt idx="0">
                  <c:v>-4.3566642142905251E-3</c:v>
                </c:pt>
                <c:pt idx="1">
                  <c:v>4.11134121694482E-2</c:v>
                </c:pt>
                <c:pt idx="2">
                  <c:v>5.1756937305761301E-2</c:v>
                </c:pt>
                <c:pt idx="3">
                  <c:v>5.1683119667923855E-2</c:v>
                </c:pt>
                <c:pt idx="4">
                  <c:v>4.7131086769210601E-2</c:v>
                </c:pt>
                <c:pt idx="5">
                  <c:v>4.3080067325090857E-2</c:v>
                </c:pt>
                <c:pt idx="6">
                  <c:v>3.9629731998546552E-2</c:v>
                </c:pt>
                <c:pt idx="7">
                  <c:v>3.6022290921704947E-2</c:v>
                </c:pt>
                <c:pt idx="8">
                  <c:v>3.2267123822697197E-2</c:v>
                </c:pt>
                <c:pt idx="9">
                  <c:v>2.8918560132491802E-2</c:v>
                </c:pt>
                <c:pt idx="10">
                  <c:v>2.6302662379784399E-2</c:v>
                </c:pt>
                <c:pt idx="11">
                  <c:v>2.36334536679726E-2</c:v>
                </c:pt>
                <c:pt idx="12">
                  <c:v>2.159659397600525E-2</c:v>
                </c:pt>
                <c:pt idx="13">
                  <c:v>1.99049809954602E-2</c:v>
                </c:pt>
                <c:pt idx="14">
                  <c:v>1.88616317827911E-2</c:v>
                </c:pt>
                <c:pt idx="15">
                  <c:v>1.765810775677315E-2</c:v>
                </c:pt>
                <c:pt idx="16">
                  <c:v>1.6510558387824351E-2</c:v>
                </c:pt>
                <c:pt idx="17">
                  <c:v>1.54785380810573E-2</c:v>
                </c:pt>
                <c:pt idx="18">
                  <c:v>1.3956785308907451E-2</c:v>
                </c:pt>
                <c:pt idx="19">
                  <c:v>1.259666959248505E-2</c:v>
                </c:pt>
              </c:numCache>
            </c:numRef>
          </c:val>
          <c:smooth val="0"/>
          <c:extLst>
            <c:ext xmlns:c16="http://schemas.microsoft.com/office/drawing/2014/chart" uri="{C3380CC4-5D6E-409C-BE32-E72D297353CC}">
              <c16:uniqueId val="{00000000-5A87-45DA-BF59-8D0E8142D72F}"/>
            </c:ext>
          </c:extLst>
        </c:ser>
        <c:ser>
          <c:idx val="4"/>
          <c:order val="1"/>
          <c:tx>
            <c:strRef>
              <c:f>Shock1_U!$O$2</c:f>
              <c:strCache>
                <c:ptCount val="1"/>
                <c:pt idx="0">
                  <c:v>p0.16</c:v>
                </c:pt>
              </c:strCache>
            </c:strRef>
          </c:tx>
          <c:spPr>
            <a:ln w="19050" cap="rnd">
              <a:solidFill>
                <a:schemeClr val="tx1"/>
              </a:solidFill>
              <a:prstDash val="sysDash"/>
              <a:round/>
            </a:ln>
            <a:effectLst/>
          </c:spPr>
          <c:marker>
            <c:symbol val="none"/>
          </c:marker>
          <c:val>
            <c:numRef>
              <c:f>Shock1_U!$O$3:$O$22</c:f>
              <c:numCache>
                <c:formatCode>General</c:formatCode>
                <c:ptCount val="20"/>
                <c:pt idx="0">
                  <c:v>-7.4596143099871032E-2</c:v>
                </c:pt>
                <c:pt idx="1">
                  <c:v>-2.1779718115199142E-2</c:v>
                </c:pt>
                <c:pt idx="2">
                  <c:v>-6.5780059757098693E-3</c:v>
                </c:pt>
                <c:pt idx="3">
                  <c:v>-2.7455721823933048E-3</c:v>
                </c:pt>
                <c:pt idx="4">
                  <c:v>-4.5643564048933908E-3</c:v>
                </c:pt>
                <c:pt idx="5">
                  <c:v>-6.3221508844877707E-3</c:v>
                </c:pt>
                <c:pt idx="6">
                  <c:v>-7.1413535076362642E-3</c:v>
                </c:pt>
                <c:pt idx="7">
                  <c:v>-8.9008955069480693E-3</c:v>
                </c:pt>
                <c:pt idx="8">
                  <c:v>-1.0189422689567341E-2</c:v>
                </c:pt>
                <c:pt idx="9">
                  <c:v>-1.2102762792534636E-2</c:v>
                </c:pt>
                <c:pt idx="10">
                  <c:v>-1.3819802936079713E-2</c:v>
                </c:pt>
                <c:pt idx="11">
                  <c:v>-1.3754739162441946E-2</c:v>
                </c:pt>
                <c:pt idx="12">
                  <c:v>-1.385476400889846E-2</c:v>
                </c:pt>
                <c:pt idx="13">
                  <c:v>-1.3745404264994732E-2</c:v>
                </c:pt>
                <c:pt idx="14">
                  <c:v>-1.305519376945713E-2</c:v>
                </c:pt>
                <c:pt idx="15">
                  <c:v>-1.2688090040065877E-2</c:v>
                </c:pt>
                <c:pt idx="16">
                  <c:v>-1.2017423169425291E-2</c:v>
                </c:pt>
                <c:pt idx="17">
                  <c:v>-1.1809379206977636E-2</c:v>
                </c:pt>
                <c:pt idx="18">
                  <c:v>-1.1697170870547759E-2</c:v>
                </c:pt>
                <c:pt idx="19">
                  <c:v>-1.1563259978606022E-2</c:v>
                </c:pt>
              </c:numCache>
            </c:numRef>
          </c:val>
          <c:smooth val="0"/>
          <c:extLst>
            <c:ext xmlns:c16="http://schemas.microsoft.com/office/drawing/2014/chart" uri="{C3380CC4-5D6E-409C-BE32-E72D297353CC}">
              <c16:uniqueId val="{00000001-5A87-45DA-BF59-8D0E8142D72F}"/>
            </c:ext>
          </c:extLst>
        </c:ser>
        <c:ser>
          <c:idx val="5"/>
          <c:order val="2"/>
          <c:tx>
            <c:strRef>
              <c:f>Shock1_U!$P$2</c:f>
              <c:strCache>
                <c:ptCount val="1"/>
                <c:pt idx="0">
                  <c:v>p0.84</c:v>
                </c:pt>
              </c:strCache>
            </c:strRef>
          </c:tx>
          <c:spPr>
            <a:ln w="19050" cap="rnd">
              <a:solidFill>
                <a:schemeClr val="tx1"/>
              </a:solidFill>
              <a:prstDash val="sysDash"/>
              <a:round/>
            </a:ln>
            <a:effectLst/>
          </c:spPr>
          <c:marker>
            <c:symbol val="none"/>
          </c:marker>
          <c:val>
            <c:numRef>
              <c:f>Shock1_U!$P$3:$P$22</c:f>
              <c:numCache>
                <c:formatCode>General</c:formatCode>
                <c:ptCount val="20"/>
                <c:pt idx="0">
                  <c:v>7.4469033077972188E-2</c:v>
                </c:pt>
                <c:pt idx="1">
                  <c:v>9.4814787918922713E-2</c:v>
                </c:pt>
                <c:pt idx="2">
                  <c:v>9.8415486972157559E-2</c:v>
                </c:pt>
                <c:pt idx="3">
                  <c:v>9.7405644065554617E-2</c:v>
                </c:pt>
                <c:pt idx="4">
                  <c:v>9.3256823256308755E-2</c:v>
                </c:pt>
                <c:pt idx="5">
                  <c:v>8.9117557284255008E-2</c:v>
                </c:pt>
                <c:pt idx="6">
                  <c:v>8.4225412777514205E-2</c:v>
                </c:pt>
                <c:pt idx="7">
                  <c:v>7.9456048964145654E-2</c:v>
                </c:pt>
                <c:pt idx="8">
                  <c:v>7.5614613077730972E-2</c:v>
                </c:pt>
                <c:pt idx="9">
                  <c:v>7.1918329107420215E-2</c:v>
                </c:pt>
                <c:pt idx="10">
                  <c:v>6.9515098837343747E-2</c:v>
                </c:pt>
                <c:pt idx="11">
                  <c:v>6.5727964878421238E-2</c:v>
                </c:pt>
                <c:pt idx="12">
                  <c:v>6.3633819567056174E-2</c:v>
                </c:pt>
                <c:pt idx="13">
                  <c:v>5.8218552223945355E-2</c:v>
                </c:pt>
                <c:pt idx="14">
                  <c:v>5.5825103640152127E-2</c:v>
                </c:pt>
                <c:pt idx="15">
                  <c:v>5.3103435341711247E-2</c:v>
                </c:pt>
                <c:pt idx="16">
                  <c:v>5.0365074969271957E-2</c:v>
                </c:pt>
                <c:pt idx="17">
                  <c:v>4.8685620797602386E-2</c:v>
                </c:pt>
                <c:pt idx="18">
                  <c:v>4.6147628076585054E-2</c:v>
                </c:pt>
                <c:pt idx="19">
                  <c:v>4.3654343407445603E-2</c:v>
                </c:pt>
              </c:numCache>
            </c:numRef>
          </c:val>
          <c:smooth val="0"/>
          <c:extLst>
            <c:ext xmlns:c16="http://schemas.microsoft.com/office/drawing/2014/chart" uri="{C3380CC4-5D6E-409C-BE32-E72D297353CC}">
              <c16:uniqueId val="{00000002-5A87-45DA-BF59-8D0E8142D72F}"/>
            </c:ext>
          </c:extLst>
        </c:ser>
        <c:dLbls>
          <c:showLegendKey val="0"/>
          <c:showVal val="0"/>
          <c:showCatName val="0"/>
          <c:showSerName val="0"/>
          <c:showPercent val="0"/>
          <c:showBubbleSize val="0"/>
        </c:dLbls>
        <c:smooth val="0"/>
        <c:axId val="41066880"/>
        <c:axId val="41068416"/>
      </c:lineChart>
      <c:catAx>
        <c:axId val="41066880"/>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068416"/>
        <c:crosses val="autoZero"/>
        <c:auto val="1"/>
        <c:lblAlgn val="ctr"/>
        <c:lblOffset val="100"/>
        <c:tickLblSkip val="2"/>
        <c:noMultiLvlLbl val="0"/>
      </c:catAx>
      <c:valAx>
        <c:axId val="4106841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06688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∆CI_Loan</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5869984251968503"/>
          <c:y val="0.20786026200873359"/>
          <c:w val="0.67000755905511811"/>
          <c:h val="0.58676821510848254"/>
        </c:manualLayout>
      </c:layout>
      <c:lineChart>
        <c:grouping val="standard"/>
        <c:varyColors val="0"/>
        <c:ser>
          <c:idx val="3"/>
          <c:order val="0"/>
          <c:tx>
            <c:strRef>
              <c:f>Shock1_U!$Q$2</c:f>
              <c:strCache>
                <c:ptCount val="1"/>
                <c:pt idx="0">
                  <c:v>Median</c:v>
                </c:pt>
              </c:strCache>
            </c:strRef>
          </c:tx>
          <c:spPr>
            <a:ln w="19050" cap="rnd">
              <a:solidFill>
                <a:schemeClr val="tx1"/>
              </a:solidFill>
              <a:round/>
            </a:ln>
            <a:effectLst/>
          </c:spPr>
          <c:marker>
            <c:symbol val="none"/>
          </c:marker>
          <c:val>
            <c:numRef>
              <c:f>Shock1_U!$Q$3:$Q$22</c:f>
              <c:numCache>
                <c:formatCode>General</c:formatCode>
                <c:ptCount val="20"/>
                <c:pt idx="0">
                  <c:v>-4.0834056517328454</c:v>
                </c:pt>
                <c:pt idx="1">
                  <c:v>-7.4333888133671593</c:v>
                </c:pt>
                <c:pt idx="2">
                  <c:v>-7.3554692565336302</c:v>
                </c:pt>
                <c:pt idx="3">
                  <c:v>-6.4641844501111798</c:v>
                </c:pt>
                <c:pt idx="4">
                  <c:v>-5.0625324738742501</c:v>
                </c:pt>
                <c:pt idx="5">
                  <c:v>-3.9562173325394752</c:v>
                </c:pt>
                <c:pt idx="6">
                  <c:v>-3.0571759071574052</c:v>
                </c:pt>
                <c:pt idx="7">
                  <c:v>-2.3606482886752147</c:v>
                </c:pt>
                <c:pt idx="8">
                  <c:v>-1.79833278617861</c:v>
                </c:pt>
                <c:pt idx="9">
                  <c:v>-1.3087257303599</c:v>
                </c:pt>
                <c:pt idx="10">
                  <c:v>-0.93577127176779396</c:v>
                </c:pt>
                <c:pt idx="11">
                  <c:v>-0.59036993900529744</c:v>
                </c:pt>
                <c:pt idx="12">
                  <c:v>-0.32580098864349399</c:v>
                </c:pt>
                <c:pt idx="13">
                  <c:v>-0.16869348581239701</c:v>
                </c:pt>
                <c:pt idx="14">
                  <c:v>-6.4736931686512955E-2</c:v>
                </c:pt>
                <c:pt idx="15">
                  <c:v>7.5156215919144152E-3</c:v>
                </c:pt>
                <c:pt idx="16">
                  <c:v>7.3637053322051546E-2</c:v>
                </c:pt>
                <c:pt idx="17">
                  <c:v>0.136920039710896</c:v>
                </c:pt>
                <c:pt idx="18">
                  <c:v>0.18265613996671448</c:v>
                </c:pt>
                <c:pt idx="19">
                  <c:v>0.20216546212171399</c:v>
                </c:pt>
              </c:numCache>
            </c:numRef>
          </c:val>
          <c:smooth val="0"/>
          <c:extLst>
            <c:ext xmlns:c16="http://schemas.microsoft.com/office/drawing/2014/chart" uri="{C3380CC4-5D6E-409C-BE32-E72D297353CC}">
              <c16:uniqueId val="{00000000-450F-4F33-ADAF-F09D839D22D1}"/>
            </c:ext>
          </c:extLst>
        </c:ser>
        <c:ser>
          <c:idx val="4"/>
          <c:order val="1"/>
          <c:tx>
            <c:strRef>
              <c:f>Shock1_U!$R$2</c:f>
              <c:strCache>
                <c:ptCount val="1"/>
                <c:pt idx="0">
                  <c:v>p0.16</c:v>
                </c:pt>
              </c:strCache>
            </c:strRef>
          </c:tx>
          <c:spPr>
            <a:ln w="19050" cap="rnd">
              <a:solidFill>
                <a:schemeClr val="tx1"/>
              </a:solidFill>
              <a:prstDash val="sysDash"/>
              <a:round/>
            </a:ln>
            <a:effectLst/>
          </c:spPr>
          <c:marker>
            <c:symbol val="none"/>
          </c:marker>
          <c:val>
            <c:numRef>
              <c:f>Shock1_U!$R$3:$R$22</c:f>
              <c:numCache>
                <c:formatCode>General</c:formatCode>
                <c:ptCount val="20"/>
                <c:pt idx="0">
                  <c:v>-7.5043564144435502</c:v>
                </c:pt>
                <c:pt idx="1">
                  <c:v>-10.470163403133371</c:v>
                </c:pt>
                <c:pt idx="2">
                  <c:v>-10.196011824462252</c:v>
                </c:pt>
                <c:pt idx="3">
                  <c:v>-9.2811380318848986</c:v>
                </c:pt>
                <c:pt idx="4">
                  <c:v>-8.0078810922043342</c:v>
                </c:pt>
                <c:pt idx="5">
                  <c:v>-6.7583024827556963</c:v>
                </c:pt>
                <c:pt idx="6">
                  <c:v>-5.7513906652027673</c:v>
                </c:pt>
                <c:pt idx="7">
                  <c:v>-4.8538342484720252</c:v>
                </c:pt>
                <c:pt idx="8">
                  <c:v>-4.0817176344413983</c:v>
                </c:pt>
                <c:pt idx="9">
                  <c:v>-3.5179763702924367</c:v>
                </c:pt>
                <c:pt idx="10">
                  <c:v>-2.9870923669126319</c:v>
                </c:pt>
                <c:pt idx="11">
                  <c:v>-2.6172112078342895</c:v>
                </c:pt>
                <c:pt idx="12">
                  <c:v>-2.2455110504427571</c:v>
                </c:pt>
                <c:pt idx="13">
                  <c:v>-1.9373099043054225</c:v>
                </c:pt>
                <c:pt idx="14">
                  <c:v>-1.5847757154685007</c:v>
                </c:pt>
                <c:pt idx="15">
                  <c:v>-1.4306592191158525</c:v>
                </c:pt>
                <c:pt idx="16">
                  <c:v>-1.1915107457644316</c:v>
                </c:pt>
                <c:pt idx="17">
                  <c:v>-1.0154890155704801</c:v>
                </c:pt>
                <c:pt idx="18">
                  <c:v>-0.9282138667277281</c:v>
                </c:pt>
                <c:pt idx="19">
                  <c:v>-0.79675526358935667</c:v>
                </c:pt>
              </c:numCache>
            </c:numRef>
          </c:val>
          <c:smooth val="0"/>
          <c:extLst>
            <c:ext xmlns:c16="http://schemas.microsoft.com/office/drawing/2014/chart" uri="{C3380CC4-5D6E-409C-BE32-E72D297353CC}">
              <c16:uniqueId val="{00000001-450F-4F33-ADAF-F09D839D22D1}"/>
            </c:ext>
          </c:extLst>
        </c:ser>
        <c:ser>
          <c:idx val="5"/>
          <c:order val="2"/>
          <c:tx>
            <c:strRef>
              <c:f>Shock1_U!$S$2</c:f>
              <c:strCache>
                <c:ptCount val="1"/>
                <c:pt idx="0">
                  <c:v>p0.84</c:v>
                </c:pt>
              </c:strCache>
            </c:strRef>
          </c:tx>
          <c:spPr>
            <a:ln w="19050" cap="rnd">
              <a:solidFill>
                <a:schemeClr val="tx1"/>
              </a:solidFill>
              <a:prstDash val="sysDash"/>
              <a:round/>
            </a:ln>
            <a:effectLst/>
          </c:spPr>
          <c:marker>
            <c:symbol val="none"/>
          </c:marker>
          <c:val>
            <c:numRef>
              <c:f>Shock1_U!$S$3:$S$22</c:f>
              <c:numCache>
                <c:formatCode>General</c:formatCode>
                <c:ptCount val="20"/>
                <c:pt idx="0">
                  <c:v>-1.2034789136728066</c:v>
                </c:pt>
                <c:pt idx="1">
                  <c:v>-4.1595735260994857</c:v>
                </c:pt>
                <c:pt idx="2">
                  <c:v>-4.3333717806020404</c:v>
                </c:pt>
                <c:pt idx="3">
                  <c:v>-3.6825297762859583</c:v>
                </c:pt>
                <c:pt idx="4">
                  <c:v>-2.7758775090098355</c:v>
                </c:pt>
                <c:pt idx="5">
                  <c:v>-1.8227697350131802</c:v>
                </c:pt>
                <c:pt idx="6">
                  <c:v>-1.030262224575363</c:v>
                </c:pt>
                <c:pt idx="7">
                  <c:v>-0.45609540134197585</c:v>
                </c:pt>
                <c:pt idx="8">
                  <c:v>7.7348293916029529E-2</c:v>
                </c:pt>
                <c:pt idx="9">
                  <c:v>0.41593711694805346</c:v>
                </c:pt>
                <c:pt idx="10">
                  <c:v>0.72531496198661549</c:v>
                </c:pt>
                <c:pt idx="11">
                  <c:v>0.85649500422077907</c:v>
                </c:pt>
                <c:pt idx="12">
                  <c:v>1.0029281404148866</c:v>
                </c:pt>
                <c:pt idx="13">
                  <c:v>1.1579151384700901</c:v>
                </c:pt>
                <c:pt idx="14">
                  <c:v>1.180633426387407</c:v>
                </c:pt>
                <c:pt idx="15">
                  <c:v>1.1770456845439818</c:v>
                </c:pt>
                <c:pt idx="16">
                  <c:v>1.1954563832694984</c:v>
                </c:pt>
                <c:pt idx="17">
                  <c:v>1.1663002185400853</c:v>
                </c:pt>
                <c:pt idx="18">
                  <c:v>1.1630819271833766</c:v>
                </c:pt>
                <c:pt idx="19">
                  <c:v>1.1473091295884084</c:v>
                </c:pt>
              </c:numCache>
            </c:numRef>
          </c:val>
          <c:smooth val="0"/>
          <c:extLst>
            <c:ext xmlns:c16="http://schemas.microsoft.com/office/drawing/2014/chart" uri="{C3380CC4-5D6E-409C-BE32-E72D297353CC}">
              <c16:uniqueId val="{00000002-450F-4F33-ADAF-F09D839D22D1}"/>
            </c:ext>
          </c:extLst>
        </c:ser>
        <c:dLbls>
          <c:showLegendKey val="0"/>
          <c:showVal val="0"/>
          <c:showCatName val="0"/>
          <c:showSerName val="0"/>
          <c:showPercent val="0"/>
          <c:showBubbleSize val="0"/>
        </c:dLbls>
        <c:smooth val="0"/>
        <c:axId val="147202432"/>
        <c:axId val="147203968"/>
      </c:lineChart>
      <c:catAx>
        <c:axId val="147202432"/>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47203968"/>
        <c:crosses val="autoZero"/>
        <c:auto val="1"/>
        <c:lblAlgn val="ctr"/>
        <c:lblOffset val="100"/>
        <c:tickLblSkip val="2"/>
        <c:noMultiLvlLbl val="0"/>
      </c:catAx>
      <c:valAx>
        <c:axId val="147203968"/>
        <c:scaling>
          <c:orientation val="minMax"/>
        </c:scaling>
        <c:delete val="0"/>
        <c:axPos val="l"/>
        <c:majorGridlines>
          <c:spPr>
            <a:ln w="9525" cap="flat" cmpd="sng" algn="ctr">
              <a:no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47202432"/>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200" i="1"/>
              <a:t>logVRP</a:t>
            </a:r>
            <a:endParaRPr lang="zh-TW" sz="1200" i="1"/>
          </a:p>
        </c:rich>
      </c:tx>
      <c:layout>
        <c:manualLayout>
          <c:xMode val="edge"/>
          <c:yMode val="edge"/>
          <c:x val="0.3881248593925759"/>
          <c:y val="5.2173913043478258E-2"/>
        </c:manualLayout>
      </c:layout>
      <c:overlay val="0"/>
      <c:spPr>
        <a:noFill/>
        <a:ln>
          <a:noFill/>
        </a:ln>
        <a:effectLst/>
      </c:spPr>
    </c:title>
    <c:autoTitleDeleted val="0"/>
    <c:plotArea>
      <c:layout>
        <c:manualLayout>
          <c:layoutTarget val="inner"/>
          <c:xMode val="edge"/>
          <c:yMode val="edge"/>
          <c:x val="0.25107761529808775"/>
          <c:y val="0.23304347826086952"/>
          <c:w val="0.69045781777277837"/>
          <c:h val="0.57728996918863407"/>
        </c:manualLayout>
      </c:layout>
      <c:lineChart>
        <c:grouping val="standard"/>
        <c:varyColors val="0"/>
        <c:ser>
          <c:idx val="0"/>
          <c:order val="0"/>
          <c:tx>
            <c:strRef>
              <c:f>Shock2_M!$B$2</c:f>
              <c:strCache>
                <c:ptCount val="1"/>
                <c:pt idx="0">
                  <c:v>Median</c:v>
                </c:pt>
              </c:strCache>
            </c:strRef>
          </c:tx>
          <c:spPr>
            <a:ln w="19050" cap="rnd">
              <a:solidFill>
                <a:schemeClr val="tx1"/>
              </a:solidFill>
              <a:round/>
            </a:ln>
            <a:effectLst/>
          </c:spPr>
          <c:marker>
            <c:symbol val="none"/>
          </c:marker>
          <c:val>
            <c:numRef>
              <c:f>Shock2_M!$B$3:$B$22</c:f>
              <c:numCache>
                <c:formatCode>General</c:formatCode>
                <c:ptCount val="20"/>
                <c:pt idx="0">
                  <c:v>0.1894381008750535</c:v>
                </c:pt>
                <c:pt idx="1">
                  <c:v>0.1710221507020345</c:v>
                </c:pt>
                <c:pt idx="2">
                  <c:v>0.1324603547796005</c:v>
                </c:pt>
                <c:pt idx="3">
                  <c:v>0.10529814646805799</c:v>
                </c:pt>
                <c:pt idx="4">
                  <c:v>8.4974680293186597E-2</c:v>
                </c:pt>
                <c:pt idx="5">
                  <c:v>6.7648057764918806E-2</c:v>
                </c:pt>
                <c:pt idx="6">
                  <c:v>5.398228857008975E-2</c:v>
                </c:pt>
                <c:pt idx="7">
                  <c:v>4.3202733451479847E-2</c:v>
                </c:pt>
                <c:pt idx="8">
                  <c:v>3.3652556625381552E-2</c:v>
                </c:pt>
                <c:pt idx="9">
                  <c:v>2.5935038213153051E-2</c:v>
                </c:pt>
                <c:pt idx="10">
                  <c:v>2.0548247411935699E-2</c:v>
                </c:pt>
                <c:pt idx="11">
                  <c:v>1.6116501388793503E-2</c:v>
                </c:pt>
                <c:pt idx="12">
                  <c:v>1.2332869286431951E-2</c:v>
                </c:pt>
                <c:pt idx="13">
                  <c:v>9.5384689299597147E-3</c:v>
                </c:pt>
                <c:pt idx="14">
                  <c:v>7.0767322098925648E-3</c:v>
                </c:pt>
                <c:pt idx="15">
                  <c:v>5.3686525420793153E-3</c:v>
                </c:pt>
                <c:pt idx="16">
                  <c:v>3.9139931370120052E-3</c:v>
                </c:pt>
                <c:pt idx="17">
                  <c:v>2.8161037752619002E-3</c:v>
                </c:pt>
                <c:pt idx="18">
                  <c:v>1.6550172894607348E-3</c:v>
                </c:pt>
                <c:pt idx="19">
                  <c:v>1.0418999899400399E-3</c:v>
                </c:pt>
              </c:numCache>
            </c:numRef>
          </c:val>
          <c:smooth val="0"/>
          <c:extLst>
            <c:ext xmlns:c16="http://schemas.microsoft.com/office/drawing/2014/chart" uri="{C3380CC4-5D6E-409C-BE32-E72D297353CC}">
              <c16:uniqueId val="{00000000-67F7-4971-B14D-4A7EB6FB6912}"/>
            </c:ext>
          </c:extLst>
        </c:ser>
        <c:ser>
          <c:idx val="1"/>
          <c:order val="1"/>
          <c:tx>
            <c:strRef>
              <c:f>Shock2_M!$C$2</c:f>
              <c:strCache>
                <c:ptCount val="1"/>
                <c:pt idx="0">
                  <c:v>p0.16</c:v>
                </c:pt>
              </c:strCache>
            </c:strRef>
          </c:tx>
          <c:spPr>
            <a:ln w="19050" cap="rnd">
              <a:solidFill>
                <a:schemeClr val="tx1"/>
              </a:solidFill>
              <a:prstDash val="sysDash"/>
              <a:round/>
            </a:ln>
            <a:effectLst/>
          </c:spPr>
          <c:marker>
            <c:symbol val="none"/>
          </c:marker>
          <c:val>
            <c:numRef>
              <c:f>Shock2_M!$C$3:$C$22</c:f>
              <c:numCache>
                <c:formatCode>General</c:formatCode>
                <c:ptCount val="20"/>
                <c:pt idx="0">
                  <c:v>9.9214252281419266E-2</c:v>
                </c:pt>
                <c:pt idx="1">
                  <c:v>0.10485141501218136</c:v>
                </c:pt>
                <c:pt idx="2">
                  <c:v>7.4092282837328369E-2</c:v>
                </c:pt>
                <c:pt idx="3">
                  <c:v>5.4673447471398171E-2</c:v>
                </c:pt>
                <c:pt idx="4">
                  <c:v>3.7590303363937802E-2</c:v>
                </c:pt>
                <c:pt idx="5">
                  <c:v>2.6673135916719975E-2</c:v>
                </c:pt>
                <c:pt idx="6">
                  <c:v>1.8380885283419062E-2</c:v>
                </c:pt>
                <c:pt idx="7">
                  <c:v>1.1559021447500371E-2</c:v>
                </c:pt>
                <c:pt idx="8">
                  <c:v>6.4608676251296116E-3</c:v>
                </c:pt>
                <c:pt idx="9">
                  <c:v>2.1411530780588743E-3</c:v>
                </c:pt>
                <c:pt idx="10">
                  <c:v>-1.6731098078907342E-3</c:v>
                </c:pt>
                <c:pt idx="11">
                  <c:v>-3.1760624025515189E-3</c:v>
                </c:pt>
                <c:pt idx="12">
                  <c:v>-4.7737935140154536E-3</c:v>
                </c:pt>
                <c:pt idx="13">
                  <c:v>-6.034510420852326E-3</c:v>
                </c:pt>
                <c:pt idx="14">
                  <c:v>-6.4367436342114923E-3</c:v>
                </c:pt>
                <c:pt idx="15">
                  <c:v>-7.3366047280769373E-3</c:v>
                </c:pt>
                <c:pt idx="16">
                  <c:v>-8.6041103451313834E-3</c:v>
                </c:pt>
                <c:pt idx="17">
                  <c:v>-8.7835463368096754E-3</c:v>
                </c:pt>
                <c:pt idx="18">
                  <c:v>-9.8339085922247368E-3</c:v>
                </c:pt>
                <c:pt idx="19">
                  <c:v>-1.1557646997093803E-2</c:v>
                </c:pt>
              </c:numCache>
            </c:numRef>
          </c:val>
          <c:smooth val="0"/>
          <c:extLst>
            <c:ext xmlns:c16="http://schemas.microsoft.com/office/drawing/2014/chart" uri="{C3380CC4-5D6E-409C-BE32-E72D297353CC}">
              <c16:uniqueId val="{00000001-67F7-4971-B14D-4A7EB6FB6912}"/>
            </c:ext>
          </c:extLst>
        </c:ser>
        <c:ser>
          <c:idx val="2"/>
          <c:order val="2"/>
          <c:tx>
            <c:strRef>
              <c:f>Shock2_M!$D$2</c:f>
              <c:strCache>
                <c:ptCount val="1"/>
                <c:pt idx="0">
                  <c:v>p0.84</c:v>
                </c:pt>
              </c:strCache>
            </c:strRef>
          </c:tx>
          <c:spPr>
            <a:ln w="19050" cap="rnd">
              <a:solidFill>
                <a:schemeClr val="tx1"/>
              </a:solidFill>
              <a:prstDash val="sysDash"/>
              <a:round/>
            </a:ln>
            <a:effectLst/>
          </c:spPr>
          <c:marker>
            <c:symbol val="none"/>
          </c:marker>
          <c:val>
            <c:numRef>
              <c:f>Shock2_M!$D$3:$D$22</c:f>
              <c:numCache>
                <c:formatCode>General</c:formatCode>
                <c:ptCount val="20"/>
                <c:pt idx="0">
                  <c:v>0.2818786979869814</c:v>
                </c:pt>
                <c:pt idx="1">
                  <c:v>0.23719678383971154</c:v>
                </c:pt>
                <c:pt idx="2">
                  <c:v>0.18789603807470157</c:v>
                </c:pt>
                <c:pt idx="3">
                  <c:v>0.15700198341572533</c:v>
                </c:pt>
                <c:pt idx="4">
                  <c:v>0.13481390805893853</c:v>
                </c:pt>
                <c:pt idx="5">
                  <c:v>0.11518475560465087</c:v>
                </c:pt>
                <c:pt idx="6">
                  <c:v>9.8330140162802615E-2</c:v>
                </c:pt>
                <c:pt idx="7">
                  <c:v>8.4976198545238024E-2</c:v>
                </c:pt>
                <c:pt idx="8">
                  <c:v>7.4916527399886704E-2</c:v>
                </c:pt>
                <c:pt idx="9">
                  <c:v>6.4845539860278384E-2</c:v>
                </c:pt>
                <c:pt idx="10">
                  <c:v>5.9037310658495275E-2</c:v>
                </c:pt>
                <c:pt idx="11">
                  <c:v>5.0136015850584505E-2</c:v>
                </c:pt>
                <c:pt idx="12">
                  <c:v>4.376312199225639E-2</c:v>
                </c:pt>
                <c:pt idx="13">
                  <c:v>3.8374910483555874E-2</c:v>
                </c:pt>
                <c:pt idx="14">
                  <c:v>3.3430893162128307E-2</c:v>
                </c:pt>
                <c:pt idx="15">
                  <c:v>2.9182511621602625E-2</c:v>
                </c:pt>
                <c:pt idx="16">
                  <c:v>2.5696594212091192E-2</c:v>
                </c:pt>
                <c:pt idx="17">
                  <c:v>2.3006327814489285E-2</c:v>
                </c:pt>
                <c:pt idx="18">
                  <c:v>2.0783001724034401E-2</c:v>
                </c:pt>
                <c:pt idx="19">
                  <c:v>1.8629824032106761E-2</c:v>
                </c:pt>
              </c:numCache>
            </c:numRef>
          </c:val>
          <c:smooth val="0"/>
          <c:extLst>
            <c:ext xmlns:c16="http://schemas.microsoft.com/office/drawing/2014/chart" uri="{C3380CC4-5D6E-409C-BE32-E72D297353CC}">
              <c16:uniqueId val="{00000002-67F7-4971-B14D-4A7EB6FB6912}"/>
            </c:ext>
          </c:extLst>
        </c:ser>
        <c:dLbls>
          <c:showLegendKey val="0"/>
          <c:showVal val="0"/>
          <c:showCatName val="0"/>
          <c:showSerName val="0"/>
          <c:showPercent val="0"/>
          <c:showBubbleSize val="0"/>
        </c:dLbls>
        <c:smooth val="0"/>
        <c:axId val="147235200"/>
        <c:axId val="147236736"/>
      </c:lineChart>
      <c:catAx>
        <c:axId val="147235200"/>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47236736"/>
        <c:crosses val="autoZero"/>
        <c:auto val="1"/>
        <c:lblAlgn val="ctr"/>
        <c:lblOffset val="100"/>
        <c:tickLblSkip val="2"/>
        <c:noMultiLvlLbl val="0"/>
      </c:catAx>
      <c:valAx>
        <c:axId val="14723673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4723520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sz="1200" i="1"/>
              <a:t>GDP</a:t>
            </a:r>
            <a:endParaRPr lang="zh-TW" sz="1200" i="1"/>
          </a:p>
        </c:rich>
      </c:tx>
      <c:overlay val="0"/>
      <c:spPr>
        <a:noFill/>
        <a:ln>
          <a:noFill/>
        </a:ln>
        <a:effectLst/>
      </c:spPr>
    </c:title>
    <c:autoTitleDeleted val="0"/>
    <c:plotArea>
      <c:layout>
        <c:manualLayout>
          <c:layoutTarget val="inner"/>
          <c:xMode val="edge"/>
          <c:yMode val="edge"/>
          <c:x val="0.26935529610522824"/>
          <c:y val="0.23304347826086952"/>
          <c:w val="0.66560593718888583"/>
          <c:h val="0.57728996918863407"/>
        </c:manualLayout>
      </c:layout>
      <c:lineChart>
        <c:grouping val="standard"/>
        <c:varyColors val="0"/>
        <c:ser>
          <c:idx val="0"/>
          <c:order val="0"/>
          <c:tx>
            <c:strRef>
              <c:f>Shock2_M!$E$2</c:f>
              <c:strCache>
                <c:ptCount val="1"/>
                <c:pt idx="0">
                  <c:v>Median</c:v>
                </c:pt>
              </c:strCache>
            </c:strRef>
          </c:tx>
          <c:spPr>
            <a:ln w="19050" cap="rnd">
              <a:solidFill>
                <a:schemeClr val="tx1"/>
              </a:solidFill>
              <a:round/>
            </a:ln>
            <a:effectLst/>
          </c:spPr>
          <c:marker>
            <c:symbol val="none"/>
          </c:marker>
          <c:val>
            <c:numRef>
              <c:f>Shock2_M!$E$3:$E$22</c:f>
              <c:numCache>
                <c:formatCode>General</c:formatCode>
                <c:ptCount val="20"/>
                <c:pt idx="0">
                  <c:v>-6.2058154488313949E-2</c:v>
                </c:pt>
                <c:pt idx="1">
                  <c:v>-5.0844889995988754E-2</c:v>
                </c:pt>
                <c:pt idx="2">
                  <c:v>-3.59094621417776E-2</c:v>
                </c:pt>
                <c:pt idx="3">
                  <c:v>-2.6979747910180298E-2</c:v>
                </c:pt>
                <c:pt idx="4">
                  <c:v>-2.0604995155786499E-2</c:v>
                </c:pt>
                <c:pt idx="5">
                  <c:v>-1.5182471495319549E-2</c:v>
                </c:pt>
                <c:pt idx="6">
                  <c:v>-1.3362228640585751E-2</c:v>
                </c:pt>
                <c:pt idx="7">
                  <c:v>-1.056778128424945E-2</c:v>
                </c:pt>
                <c:pt idx="8">
                  <c:v>-8.1653722571441451E-3</c:v>
                </c:pt>
                <c:pt idx="9">
                  <c:v>-6.9387407187298748E-3</c:v>
                </c:pt>
                <c:pt idx="10">
                  <c:v>-6.1109047410882302E-3</c:v>
                </c:pt>
                <c:pt idx="11">
                  <c:v>-5.2145843356372346E-3</c:v>
                </c:pt>
                <c:pt idx="12">
                  <c:v>-4.4351478594208404E-3</c:v>
                </c:pt>
                <c:pt idx="13">
                  <c:v>-3.1489120753364899E-3</c:v>
                </c:pt>
                <c:pt idx="14">
                  <c:v>-2.7051212715851697E-3</c:v>
                </c:pt>
                <c:pt idx="15">
                  <c:v>-2.603964573008205E-3</c:v>
                </c:pt>
                <c:pt idx="16">
                  <c:v>-2.2591683612483201E-3</c:v>
                </c:pt>
                <c:pt idx="17">
                  <c:v>-1.7807608745732599E-3</c:v>
                </c:pt>
                <c:pt idx="18">
                  <c:v>-1.4811551111805401E-3</c:v>
                </c:pt>
                <c:pt idx="19">
                  <c:v>-1.3759456152711499E-3</c:v>
                </c:pt>
              </c:numCache>
            </c:numRef>
          </c:val>
          <c:smooth val="0"/>
          <c:extLst>
            <c:ext xmlns:c16="http://schemas.microsoft.com/office/drawing/2014/chart" uri="{C3380CC4-5D6E-409C-BE32-E72D297353CC}">
              <c16:uniqueId val="{00000000-5B7F-4978-BBA5-5E72DCE852AB}"/>
            </c:ext>
          </c:extLst>
        </c:ser>
        <c:ser>
          <c:idx val="1"/>
          <c:order val="1"/>
          <c:tx>
            <c:strRef>
              <c:f>Shock2_M!$F$2</c:f>
              <c:strCache>
                <c:ptCount val="1"/>
                <c:pt idx="0">
                  <c:v>p0.16</c:v>
                </c:pt>
              </c:strCache>
            </c:strRef>
          </c:tx>
          <c:spPr>
            <a:ln w="19050" cap="rnd">
              <a:solidFill>
                <a:schemeClr val="tx1"/>
              </a:solidFill>
              <a:prstDash val="sysDash"/>
              <a:round/>
            </a:ln>
            <a:effectLst/>
          </c:spPr>
          <c:marker>
            <c:symbol val="none"/>
          </c:marker>
          <c:val>
            <c:numRef>
              <c:f>Shock2_M!$F$3:$F$22</c:f>
              <c:numCache>
                <c:formatCode>General</c:formatCode>
                <c:ptCount val="20"/>
                <c:pt idx="0">
                  <c:v>-0.1401595102787338</c:v>
                </c:pt>
                <c:pt idx="1">
                  <c:v>-0.10880841568501567</c:v>
                </c:pt>
                <c:pt idx="2">
                  <c:v>-9.5550708136681012E-2</c:v>
                </c:pt>
                <c:pt idx="3">
                  <c:v>-8.2109102162411685E-2</c:v>
                </c:pt>
                <c:pt idx="4">
                  <c:v>-6.899971055373931E-2</c:v>
                </c:pt>
                <c:pt idx="5">
                  <c:v>-5.7181632974748625E-2</c:v>
                </c:pt>
                <c:pt idx="6">
                  <c:v>-4.9719129502414174E-2</c:v>
                </c:pt>
                <c:pt idx="7">
                  <c:v>-4.4960508911000702E-2</c:v>
                </c:pt>
                <c:pt idx="8">
                  <c:v>-3.9709904777354296E-2</c:v>
                </c:pt>
                <c:pt idx="9">
                  <c:v>-3.5414014004769151E-2</c:v>
                </c:pt>
                <c:pt idx="10">
                  <c:v>-3.0424848127916418E-2</c:v>
                </c:pt>
                <c:pt idx="11">
                  <c:v>-2.6457324837127653E-2</c:v>
                </c:pt>
                <c:pt idx="12">
                  <c:v>-2.406082299055427E-2</c:v>
                </c:pt>
                <c:pt idx="13">
                  <c:v>-2.1860306666868022E-2</c:v>
                </c:pt>
                <c:pt idx="14">
                  <c:v>-2.0478034687623669E-2</c:v>
                </c:pt>
                <c:pt idx="15">
                  <c:v>-1.9357350627760551E-2</c:v>
                </c:pt>
                <c:pt idx="16">
                  <c:v>-1.7871865410038299E-2</c:v>
                </c:pt>
                <c:pt idx="17">
                  <c:v>-1.6814922214750269E-2</c:v>
                </c:pt>
                <c:pt idx="18">
                  <c:v>-1.5347772524278963E-2</c:v>
                </c:pt>
                <c:pt idx="19">
                  <c:v>-1.4279722221572857E-2</c:v>
                </c:pt>
              </c:numCache>
            </c:numRef>
          </c:val>
          <c:smooth val="0"/>
          <c:extLst>
            <c:ext xmlns:c16="http://schemas.microsoft.com/office/drawing/2014/chart" uri="{C3380CC4-5D6E-409C-BE32-E72D297353CC}">
              <c16:uniqueId val="{00000001-5B7F-4978-BBA5-5E72DCE852AB}"/>
            </c:ext>
          </c:extLst>
        </c:ser>
        <c:ser>
          <c:idx val="2"/>
          <c:order val="2"/>
          <c:tx>
            <c:strRef>
              <c:f>Shock2_M!$G$2</c:f>
              <c:strCache>
                <c:ptCount val="1"/>
                <c:pt idx="0">
                  <c:v>p0.84</c:v>
                </c:pt>
              </c:strCache>
            </c:strRef>
          </c:tx>
          <c:spPr>
            <a:ln w="19050" cap="rnd">
              <a:solidFill>
                <a:schemeClr val="tx1"/>
              </a:solidFill>
              <a:prstDash val="sysDash"/>
              <a:round/>
            </a:ln>
            <a:effectLst/>
          </c:spPr>
          <c:marker>
            <c:symbol val="none"/>
          </c:marker>
          <c:val>
            <c:numRef>
              <c:f>Shock2_M!$G$3:$G$22</c:f>
              <c:numCache>
                <c:formatCode>General</c:formatCode>
                <c:ptCount val="20"/>
                <c:pt idx="0">
                  <c:v>-1.5547964646507033E-2</c:v>
                </c:pt>
                <c:pt idx="1">
                  <c:v>1.4469283293367146E-2</c:v>
                </c:pt>
                <c:pt idx="2">
                  <c:v>2.8633524706878053E-2</c:v>
                </c:pt>
                <c:pt idx="3">
                  <c:v>2.9723492680473144E-2</c:v>
                </c:pt>
                <c:pt idx="4">
                  <c:v>2.6817455546094229E-2</c:v>
                </c:pt>
                <c:pt idx="5">
                  <c:v>2.3753858423836979E-2</c:v>
                </c:pt>
                <c:pt idx="6">
                  <c:v>2.0137278482772199E-2</c:v>
                </c:pt>
                <c:pt idx="7">
                  <c:v>1.6873836820579514E-2</c:v>
                </c:pt>
                <c:pt idx="8">
                  <c:v>1.6041258383014213E-2</c:v>
                </c:pt>
                <c:pt idx="9">
                  <c:v>1.5141552703337377E-2</c:v>
                </c:pt>
                <c:pt idx="10">
                  <c:v>1.2971808123533162E-2</c:v>
                </c:pt>
                <c:pt idx="11">
                  <c:v>1.1199626513242857E-2</c:v>
                </c:pt>
                <c:pt idx="12">
                  <c:v>9.8759102049465006E-3</c:v>
                </c:pt>
                <c:pt idx="13">
                  <c:v>8.8532831256487362E-3</c:v>
                </c:pt>
                <c:pt idx="14">
                  <c:v>8.0566338860982353E-3</c:v>
                </c:pt>
                <c:pt idx="15">
                  <c:v>7.1162508541555581E-3</c:v>
                </c:pt>
                <c:pt idx="16">
                  <c:v>6.5427237746739191E-3</c:v>
                </c:pt>
                <c:pt idx="17">
                  <c:v>6.0108060185316402E-3</c:v>
                </c:pt>
                <c:pt idx="18">
                  <c:v>5.8635382782704516E-3</c:v>
                </c:pt>
                <c:pt idx="19">
                  <c:v>5.4810613458116265E-3</c:v>
                </c:pt>
              </c:numCache>
            </c:numRef>
          </c:val>
          <c:smooth val="0"/>
          <c:extLst>
            <c:ext xmlns:c16="http://schemas.microsoft.com/office/drawing/2014/chart" uri="{C3380CC4-5D6E-409C-BE32-E72D297353CC}">
              <c16:uniqueId val="{00000002-5B7F-4978-BBA5-5E72DCE852AB}"/>
            </c:ext>
          </c:extLst>
        </c:ser>
        <c:dLbls>
          <c:showLegendKey val="0"/>
          <c:showVal val="0"/>
          <c:showCatName val="0"/>
          <c:showSerName val="0"/>
          <c:showPercent val="0"/>
          <c:showBubbleSize val="0"/>
        </c:dLbls>
        <c:smooth val="0"/>
        <c:axId val="147358080"/>
        <c:axId val="147359616"/>
      </c:lineChart>
      <c:catAx>
        <c:axId val="147358080"/>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47359616"/>
        <c:crosses val="autoZero"/>
        <c:auto val="1"/>
        <c:lblAlgn val="ctr"/>
        <c:lblOffset val="100"/>
        <c:tickLblSkip val="2"/>
        <c:noMultiLvlLbl val="0"/>
      </c:catAx>
      <c:valAx>
        <c:axId val="14735961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4735808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sz="1200" i="1"/>
              <a:t>CPI</a:t>
            </a:r>
            <a:endParaRPr lang="zh-TW" sz="1200" i="1"/>
          </a:p>
        </c:rich>
      </c:tx>
      <c:overlay val="0"/>
      <c:spPr>
        <a:noFill/>
        <a:ln>
          <a:noFill/>
        </a:ln>
        <a:effectLst/>
      </c:spPr>
    </c:title>
    <c:autoTitleDeleted val="0"/>
    <c:plotArea>
      <c:layout>
        <c:manualLayout>
          <c:layoutTarget val="inner"/>
          <c:xMode val="edge"/>
          <c:yMode val="edge"/>
          <c:x val="0.28120692913385825"/>
          <c:y val="0.23928571428571424"/>
          <c:w val="0.65023748031496065"/>
          <c:h val="0.56596737907761541"/>
        </c:manualLayout>
      </c:layout>
      <c:lineChart>
        <c:grouping val="standard"/>
        <c:varyColors val="0"/>
        <c:ser>
          <c:idx val="0"/>
          <c:order val="0"/>
          <c:tx>
            <c:strRef>
              <c:f>Shock2_M!$H$2</c:f>
              <c:strCache>
                <c:ptCount val="1"/>
                <c:pt idx="0">
                  <c:v>Median</c:v>
                </c:pt>
              </c:strCache>
            </c:strRef>
          </c:tx>
          <c:spPr>
            <a:ln w="19050" cap="rnd">
              <a:solidFill>
                <a:schemeClr val="tx1"/>
              </a:solidFill>
              <a:round/>
            </a:ln>
            <a:effectLst/>
          </c:spPr>
          <c:marker>
            <c:symbol val="none"/>
          </c:marker>
          <c:val>
            <c:numRef>
              <c:f>Shock2_M!$H$3:$H$22</c:f>
              <c:numCache>
                <c:formatCode>General</c:formatCode>
                <c:ptCount val="20"/>
                <c:pt idx="0">
                  <c:v>-0.1813981754458695</c:v>
                </c:pt>
                <c:pt idx="1">
                  <c:v>-1.7591775592983852E-3</c:v>
                </c:pt>
                <c:pt idx="2">
                  <c:v>-1.1252478614052449E-2</c:v>
                </c:pt>
                <c:pt idx="3">
                  <c:v>-2.37197491953038E-3</c:v>
                </c:pt>
                <c:pt idx="4">
                  <c:v>-9.6559697463842703E-4</c:v>
                </c:pt>
                <c:pt idx="5">
                  <c:v>7.8590081660592057E-6</c:v>
                </c:pt>
                <c:pt idx="6">
                  <c:v>2.6719355481623851E-4</c:v>
                </c:pt>
                <c:pt idx="7">
                  <c:v>2.1939652615433799E-5</c:v>
                </c:pt>
                <c:pt idx="8">
                  <c:v>-2.6811052727438199E-4</c:v>
                </c:pt>
                <c:pt idx="9">
                  <c:v>-7.31674344908977E-4</c:v>
                </c:pt>
                <c:pt idx="10">
                  <c:v>-1.30433618813477E-3</c:v>
                </c:pt>
                <c:pt idx="11">
                  <c:v>-1.8659389628996599E-3</c:v>
                </c:pt>
                <c:pt idx="12">
                  <c:v>-2.128023921318555E-3</c:v>
                </c:pt>
                <c:pt idx="13">
                  <c:v>-2.4227786854666552E-3</c:v>
                </c:pt>
                <c:pt idx="14">
                  <c:v>-2.6783736141008452E-3</c:v>
                </c:pt>
                <c:pt idx="15">
                  <c:v>-3.0720949158072903E-3</c:v>
                </c:pt>
                <c:pt idx="16">
                  <c:v>-3.3803143400518596E-3</c:v>
                </c:pt>
                <c:pt idx="17">
                  <c:v>-3.7540234320755849E-3</c:v>
                </c:pt>
                <c:pt idx="18">
                  <c:v>-4.0065799638945446E-3</c:v>
                </c:pt>
                <c:pt idx="19">
                  <c:v>-4.0933943403703554E-3</c:v>
                </c:pt>
              </c:numCache>
            </c:numRef>
          </c:val>
          <c:smooth val="0"/>
          <c:extLst>
            <c:ext xmlns:c16="http://schemas.microsoft.com/office/drawing/2014/chart" uri="{C3380CC4-5D6E-409C-BE32-E72D297353CC}">
              <c16:uniqueId val="{00000000-DDCD-47B0-8A2C-98A47428543F}"/>
            </c:ext>
          </c:extLst>
        </c:ser>
        <c:ser>
          <c:idx val="1"/>
          <c:order val="1"/>
          <c:tx>
            <c:strRef>
              <c:f>Shock2_M!$I$2</c:f>
              <c:strCache>
                <c:ptCount val="1"/>
                <c:pt idx="0">
                  <c:v>p0.16</c:v>
                </c:pt>
              </c:strCache>
            </c:strRef>
          </c:tx>
          <c:spPr>
            <a:ln w="19050" cap="rnd">
              <a:solidFill>
                <a:schemeClr val="tx1"/>
              </a:solidFill>
              <a:prstDash val="sysDash"/>
              <a:round/>
            </a:ln>
            <a:effectLst/>
          </c:spPr>
          <c:marker>
            <c:symbol val="none"/>
          </c:marker>
          <c:val>
            <c:numRef>
              <c:f>Shock2_M!$I$3:$I$22</c:f>
              <c:numCache>
                <c:formatCode>General</c:formatCode>
                <c:ptCount val="20"/>
                <c:pt idx="0">
                  <c:v>-0.34458465193306026</c:v>
                </c:pt>
                <c:pt idx="1">
                  <c:v>-4.9828522821902491E-2</c:v>
                </c:pt>
                <c:pt idx="2">
                  <c:v>-4.0533090091249738E-2</c:v>
                </c:pt>
                <c:pt idx="3">
                  <c:v>-2.6403037128578093E-2</c:v>
                </c:pt>
                <c:pt idx="4">
                  <c:v>-2.1532233451651353E-2</c:v>
                </c:pt>
                <c:pt idx="5">
                  <c:v>-1.7167009658914666E-2</c:v>
                </c:pt>
                <c:pt idx="6">
                  <c:v>-1.5021616452267284E-2</c:v>
                </c:pt>
                <c:pt idx="7">
                  <c:v>-1.4947162170661828E-2</c:v>
                </c:pt>
                <c:pt idx="8">
                  <c:v>-1.4550091346752517E-2</c:v>
                </c:pt>
                <c:pt idx="9">
                  <c:v>-1.5796126429360995E-2</c:v>
                </c:pt>
                <c:pt idx="10">
                  <c:v>-1.5810979148884335E-2</c:v>
                </c:pt>
                <c:pt idx="11">
                  <c:v>-1.6697808588787506E-2</c:v>
                </c:pt>
                <c:pt idx="12">
                  <c:v>-1.7318561873531858E-2</c:v>
                </c:pt>
                <c:pt idx="13">
                  <c:v>-1.8084931448927664E-2</c:v>
                </c:pt>
                <c:pt idx="14">
                  <c:v>-1.7997462591823912E-2</c:v>
                </c:pt>
                <c:pt idx="15">
                  <c:v>-1.7522638410454896E-2</c:v>
                </c:pt>
                <c:pt idx="16">
                  <c:v>-1.718988922906238E-2</c:v>
                </c:pt>
                <c:pt idx="17">
                  <c:v>-1.6594503764458535E-2</c:v>
                </c:pt>
                <c:pt idx="18">
                  <c:v>-1.6544005274560649E-2</c:v>
                </c:pt>
                <c:pt idx="19">
                  <c:v>-1.63669335942596E-2</c:v>
                </c:pt>
              </c:numCache>
            </c:numRef>
          </c:val>
          <c:smooth val="0"/>
          <c:extLst>
            <c:ext xmlns:c16="http://schemas.microsoft.com/office/drawing/2014/chart" uri="{C3380CC4-5D6E-409C-BE32-E72D297353CC}">
              <c16:uniqueId val="{00000001-DDCD-47B0-8A2C-98A47428543F}"/>
            </c:ext>
          </c:extLst>
        </c:ser>
        <c:ser>
          <c:idx val="2"/>
          <c:order val="2"/>
          <c:tx>
            <c:strRef>
              <c:f>Shock2_M!$J$2</c:f>
              <c:strCache>
                <c:ptCount val="1"/>
                <c:pt idx="0">
                  <c:v>p0.84</c:v>
                </c:pt>
              </c:strCache>
            </c:strRef>
          </c:tx>
          <c:spPr>
            <a:ln w="19050" cap="rnd">
              <a:solidFill>
                <a:schemeClr val="tx1"/>
              </a:solidFill>
              <a:prstDash val="sysDash"/>
              <a:round/>
            </a:ln>
            <a:effectLst/>
          </c:spPr>
          <c:marker>
            <c:symbol val="none"/>
          </c:marker>
          <c:val>
            <c:numRef>
              <c:f>Shock2_M!$J$3:$J$22</c:f>
              <c:numCache>
                <c:formatCode>General</c:formatCode>
                <c:ptCount val="20"/>
                <c:pt idx="0">
                  <c:v>-6.0195149428280734E-2</c:v>
                </c:pt>
                <c:pt idx="1">
                  <c:v>4.6708480738216103E-2</c:v>
                </c:pt>
                <c:pt idx="2">
                  <c:v>1.3948945008939556E-2</c:v>
                </c:pt>
                <c:pt idx="3">
                  <c:v>1.8906344077788149E-2</c:v>
                </c:pt>
                <c:pt idx="4">
                  <c:v>1.8025496355282344E-2</c:v>
                </c:pt>
                <c:pt idx="5">
                  <c:v>1.7299600240053916E-2</c:v>
                </c:pt>
                <c:pt idx="6">
                  <c:v>1.6014571808835122E-2</c:v>
                </c:pt>
                <c:pt idx="7">
                  <c:v>1.4636784763952099E-2</c:v>
                </c:pt>
                <c:pt idx="8">
                  <c:v>1.312837470698127E-2</c:v>
                </c:pt>
                <c:pt idx="9">
                  <c:v>1.1828690385949683E-2</c:v>
                </c:pt>
                <c:pt idx="10">
                  <c:v>1.0710825096280199E-2</c:v>
                </c:pt>
                <c:pt idx="11">
                  <c:v>9.792788493701644E-3</c:v>
                </c:pt>
                <c:pt idx="12">
                  <c:v>8.7642266002541155E-3</c:v>
                </c:pt>
                <c:pt idx="13">
                  <c:v>7.8217157899367808E-3</c:v>
                </c:pt>
                <c:pt idx="14">
                  <c:v>6.630752938528342E-3</c:v>
                </c:pt>
                <c:pt idx="15">
                  <c:v>5.9171661461646374E-3</c:v>
                </c:pt>
                <c:pt idx="16">
                  <c:v>5.1438667688698805E-3</c:v>
                </c:pt>
                <c:pt idx="17">
                  <c:v>4.8237724923892791E-3</c:v>
                </c:pt>
                <c:pt idx="18">
                  <c:v>4.3969670554888218E-3</c:v>
                </c:pt>
                <c:pt idx="19">
                  <c:v>3.9087086847950682E-3</c:v>
                </c:pt>
              </c:numCache>
            </c:numRef>
          </c:val>
          <c:smooth val="0"/>
          <c:extLst>
            <c:ext xmlns:c16="http://schemas.microsoft.com/office/drawing/2014/chart" uri="{C3380CC4-5D6E-409C-BE32-E72D297353CC}">
              <c16:uniqueId val="{00000002-DDCD-47B0-8A2C-98A47428543F}"/>
            </c:ext>
          </c:extLst>
        </c:ser>
        <c:dLbls>
          <c:showLegendKey val="0"/>
          <c:showVal val="0"/>
          <c:showCatName val="0"/>
          <c:showSerName val="0"/>
          <c:showPercent val="0"/>
          <c:showBubbleSize val="0"/>
        </c:dLbls>
        <c:smooth val="0"/>
        <c:axId val="150344064"/>
        <c:axId val="150345600"/>
      </c:lineChart>
      <c:catAx>
        <c:axId val="150344064"/>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345600"/>
        <c:crosses val="autoZero"/>
        <c:auto val="1"/>
        <c:lblAlgn val="ctr"/>
        <c:lblOffset val="100"/>
        <c:tickLblSkip val="2"/>
        <c:noMultiLvlLbl val="0"/>
      </c:catAx>
      <c:valAx>
        <c:axId val="150345600"/>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344064"/>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sz="1200" i="1"/>
              <a:t>FF_Rate</a:t>
            </a:r>
            <a:endParaRPr lang="zh-TW" sz="1200" i="1"/>
          </a:p>
        </c:rich>
      </c:tx>
      <c:layout>
        <c:manualLayout>
          <c:xMode val="edge"/>
          <c:yMode val="edge"/>
          <c:x val="0.39767829021372331"/>
          <c:y val="5.1948051948051951E-2"/>
        </c:manualLayout>
      </c:layout>
      <c:overlay val="0"/>
      <c:spPr>
        <a:noFill/>
        <a:ln>
          <a:noFill/>
        </a:ln>
        <a:effectLst/>
      </c:spPr>
    </c:title>
    <c:autoTitleDeleted val="0"/>
    <c:plotArea>
      <c:layout>
        <c:manualLayout>
          <c:layoutTarget val="inner"/>
          <c:xMode val="edge"/>
          <c:yMode val="edge"/>
          <c:x val="0.25107761529808775"/>
          <c:y val="0.23203463203463198"/>
          <c:w val="0.68285095613048374"/>
          <c:h val="0.57911988274192994"/>
        </c:manualLayout>
      </c:layout>
      <c:lineChart>
        <c:grouping val="standard"/>
        <c:varyColors val="0"/>
        <c:ser>
          <c:idx val="0"/>
          <c:order val="0"/>
          <c:tx>
            <c:strRef>
              <c:f>Shock2_M!$K$2</c:f>
              <c:strCache>
                <c:ptCount val="1"/>
                <c:pt idx="0">
                  <c:v>Median</c:v>
                </c:pt>
              </c:strCache>
            </c:strRef>
          </c:tx>
          <c:spPr>
            <a:ln w="19050" cap="rnd">
              <a:solidFill>
                <a:schemeClr val="tx1"/>
              </a:solidFill>
              <a:round/>
            </a:ln>
            <a:effectLst/>
          </c:spPr>
          <c:marker>
            <c:symbol val="none"/>
          </c:marker>
          <c:val>
            <c:numRef>
              <c:f>Shock2_M!$K$3:$K$22</c:f>
              <c:numCache>
                <c:formatCode>General</c:formatCode>
                <c:ptCount val="20"/>
                <c:pt idx="0">
                  <c:v>9.0506226401756498E-2</c:v>
                </c:pt>
                <c:pt idx="1">
                  <c:v>3.1695205323827851E-2</c:v>
                </c:pt>
                <c:pt idx="2">
                  <c:v>-1.1101072801893701E-2</c:v>
                </c:pt>
                <c:pt idx="3">
                  <c:v>-4.2343013917894745E-2</c:v>
                </c:pt>
                <c:pt idx="4">
                  <c:v>-6.8660648503073962E-2</c:v>
                </c:pt>
                <c:pt idx="5">
                  <c:v>-8.6557371098054892E-2</c:v>
                </c:pt>
                <c:pt idx="6">
                  <c:v>-9.8076184321480353E-2</c:v>
                </c:pt>
                <c:pt idx="7">
                  <c:v>-0.108052287335063</c:v>
                </c:pt>
                <c:pt idx="8">
                  <c:v>-0.11359179406426601</c:v>
                </c:pt>
                <c:pt idx="9">
                  <c:v>-0.11988300920584349</c:v>
                </c:pt>
                <c:pt idx="10">
                  <c:v>-0.11795347889871899</c:v>
                </c:pt>
                <c:pt idx="11">
                  <c:v>-0.11767895301836651</c:v>
                </c:pt>
                <c:pt idx="12">
                  <c:v>-0.11626010779707549</c:v>
                </c:pt>
                <c:pt idx="13">
                  <c:v>-0.113986985412442</c:v>
                </c:pt>
                <c:pt idx="14">
                  <c:v>-0.10893478953590199</c:v>
                </c:pt>
                <c:pt idx="15">
                  <c:v>-0.10410307192076901</c:v>
                </c:pt>
                <c:pt idx="16">
                  <c:v>-0.103578901587546</c:v>
                </c:pt>
                <c:pt idx="17">
                  <c:v>-9.9205637049377904E-2</c:v>
                </c:pt>
                <c:pt idx="18">
                  <c:v>-9.6202147511401451E-2</c:v>
                </c:pt>
                <c:pt idx="19">
                  <c:v>-9.1944754461479206E-2</c:v>
                </c:pt>
              </c:numCache>
            </c:numRef>
          </c:val>
          <c:smooth val="0"/>
          <c:extLst>
            <c:ext xmlns:c16="http://schemas.microsoft.com/office/drawing/2014/chart" uri="{C3380CC4-5D6E-409C-BE32-E72D297353CC}">
              <c16:uniqueId val="{00000000-AF45-479C-9A38-B613592A0AA8}"/>
            </c:ext>
          </c:extLst>
        </c:ser>
        <c:ser>
          <c:idx val="1"/>
          <c:order val="1"/>
          <c:tx>
            <c:strRef>
              <c:f>Shock2_M!$L$2</c:f>
              <c:strCache>
                <c:ptCount val="1"/>
                <c:pt idx="0">
                  <c:v>p0.16</c:v>
                </c:pt>
              </c:strCache>
            </c:strRef>
          </c:tx>
          <c:spPr>
            <a:ln w="19050" cap="rnd">
              <a:solidFill>
                <a:schemeClr val="tx1"/>
              </a:solidFill>
              <a:prstDash val="sysDash"/>
              <a:round/>
            </a:ln>
            <a:effectLst/>
          </c:spPr>
          <c:marker>
            <c:symbol val="none"/>
          </c:marker>
          <c:val>
            <c:numRef>
              <c:f>Shock2_M!$L$3:$L$22</c:f>
              <c:numCache>
                <c:formatCode>General</c:formatCode>
                <c:ptCount val="20"/>
                <c:pt idx="0">
                  <c:v>2.7080505291458393E-2</c:v>
                </c:pt>
                <c:pt idx="1">
                  <c:v>-4.582819800411192E-2</c:v>
                </c:pt>
                <c:pt idx="2">
                  <c:v>-0.1087460135382368</c:v>
                </c:pt>
                <c:pt idx="3">
                  <c:v>-0.15406898370412114</c:v>
                </c:pt>
                <c:pt idx="4">
                  <c:v>-0.18962053646449972</c:v>
                </c:pt>
                <c:pt idx="5">
                  <c:v>-0.21660701131227647</c:v>
                </c:pt>
                <c:pt idx="6">
                  <c:v>-0.2368073734272442</c:v>
                </c:pt>
                <c:pt idx="7">
                  <c:v>-0.24565196526992258</c:v>
                </c:pt>
                <c:pt idx="8">
                  <c:v>-0.26252202992894735</c:v>
                </c:pt>
                <c:pt idx="9">
                  <c:v>-0.26445231676078129</c:v>
                </c:pt>
                <c:pt idx="10">
                  <c:v>-0.27561171299603887</c:v>
                </c:pt>
                <c:pt idx="11">
                  <c:v>-0.28064981404924483</c:v>
                </c:pt>
                <c:pt idx="12">
                  <c:v>-0.2815618656010796</c:v>
                </c:pt>
                <c:pt idx="13">
                  <c:v>-0.27698402977119774</c:v>
                </c:pt>
                <c:pt idx="14">
                  <c:v>-0.27054795478681204</c:v>
                </c:pt>
                <c:pt idx="15">
                  <c:v>-0.26397998981712967</c:v>
                </c:pt>
                <c:pt idx="16">
                  <c:v>-0.25960353389532914</c:v>
                </c:pt>
                <c:pt idx="17">
                  <c:v>-0.25767185583182622</c:v>
                </c:pt>
                <c:pt idx="18">
                  <c:v>-0.25971448078988146</c:v>
                </c:pt>
                <c:pt idx="19">
                  <c:v>-0.25696085798540452</c:v>
                </c:pt>
              </c:numCache>
            </c:numRef>
          </c:val>
          <c:smooth val="0"/>
          <c:extLst>
            <c:ext xmlns:c16="http://schemas.microsoft.com/office/drawing/2014/chart" uri="{C3380CC4-5D6E-409C-BE32-E72D297353CC}">
              <c16:uniqueId val="{00000001-AF45-479C-9A38-B613592A0AA8}"/>
            </c:ext>
          </c:extLst>
        </c:ser>
        <c:ser>
          <c:idx val="2"/>
          <c:order val="2"/>
          <c:tx>
            <c:strRef>
              <c:f>Shock2_M!$M$2</c:f>
              <c:strCache>
                <c:ptCount val="1"/>
                <c:pt idx="0">
                  <c:v>p0.84</c:v>
                </c:pt>
              </c:strCache>
            </c:strRef>
          </c:tx>
          <c:spPr>
            <a:ln w="19050" cap="rnd">
              <a:solidFill>
                <a:schemeClr val="tx1"/>
              </a:solidFill>
              <a:prstDash val="sysDash"/>
              <a:round/>
            </a:ln>
            <a:effectLst/>
          </c:spPr>
          <c:marker>
            <c:symbol val="none"/>
          </c:marker>
          <c:val>
            <c:numRef>
              <c:f>Shock2_M!$M$3:$M$22</c:f>
              <c:numCache>
                <c:formatCode>General</c:formatCode>
                <c:ptCount val="20"/>
                <c:pt idx="0">
                  <c:v>0.19699342437510159</c:v>
                </c:pt>
                <c:pt idx="1">
                  <c:v>0.14243539728615404</c:v>
                </c:pt>
                <c:pt idx="2">
                  <c:v>0.1001010100218354</c:v>
                </c:pt>
                <c:pt idx="3">
                  <c:v>8.0220405702042072E-2</c:v>
                </c:pt>
                <c:pt idx="4">
                  <c:v>7.2213707413098321E-2</c:v>
                </c:pt>
                <c:pt idx="5">
                  <c:v>6.3411403303178182E-2</c:v>
                </c:pt>
                <c:pt idx="6">
                  <c:v>6.5898721612465905E-2</c:v>
                </c:pt>
                <c:pt idx="7">
                  <c:v>5.6176120147549483E-2</c:v>
                </c:pt>
                <c:pt idx="8">
                  <c:v>4.9981264827767838E-2</c:v>
                </c:pt>
                <c:pt idx="9">
                  <c:v>4.6106593116719198E-2</c:v>
                </c:pt>
                <c:pt idx="10">
                  <c:v>4.5165089579936868E-2</c:v>
                </c:pt>
                <c:pt idx="11">
                  <c:v>4.2383127001708237E-2</c:v>
                </c:pt>
                <c:pt idx="12">
                  <c:v>4.3882406795392633E-2</c:v>
                </c:pt>
                <c:pt idx="13">
                  <c:v>4.0289556712872453E-2</c:v>
                </c:pt>
                <c:pt idx="14">
                  <c:v>3.7294288759340093E-2</c:v>
                </c:pt>
                <c:pt idx="15">
                  <c:v>3.6237532958729481E-2</c:v>
                </c:pt>
                <c:pt idx="16">
                  <c:v>4.0458611833022233E-2</c:v>
                </c:pt>
                <c:pt idx="17">
                  <c:v>3.8745581476405624E-2</c:v>
                </c:pt>
                <c:pt idx="18">
                  <c:v>3.7395823221989866E-2</c:v>
                </c:pt>
                <c:pt idx="19">
                  <c:v>3.7441907203309206E-2</c:v>
                </c:pt>
              </c:numCache>
            </c:numRef>
          </c:val>
          <c:smooth val="0"/>
          <c:extLst>
            <c:ext xmlns:c16="http://schemas.microsoft.com/office/drawing/2014/chart" uri="{C3380CC4-5D6E-409C-BE32-E72D297353CC}">
              <c16:uniqueId val="{00000002-AF45-479C-9A38-B613592A0AA8}"/>
            </c:ext>
          </c:extLst>
        </c:ser>
        <c:dLbls>
          <c:showLegendKey val="0"/>
          <c:showVal val="0"/>
          <c:showCatName val="0"/>
          <c:showSerName val="0"/>
          <c:showPercent val="0"/>
          <c:showBubbleSize val="0"/>
        </c:dLbls>
        <c:smooth val="0"/>
        <c:axId val="150380928"/>
        <c:axId val="150382464"/>
      </c:lineChart>
      <c:catAx>
        <c:axId val="150380928"/>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382464"/>
        <c:crosses val="autoZero"/>
        <c:auto val="1"/>
        <c:lblAlgn val="ctr"/>
        <c:lblOffset val="100"/>
        <c:tickLblSkip val="2"/>
        <c:noMultiLvlLbl val="0"/>
      </c:catAx>
      <c:valAx>
        <c:axId val="150382464"/>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380928"/>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200" i="1"/>
              <a:t>Loan_Spr</a:t>
            </a:r>
            <a:endParaRPr lang="zh-TW" sz="1200" i="1"/>
          </a:p>
        </c:rich>
      </c:tx>
      <c:layout>
        <c:manualLayout>
          <c:xMode val="edge"/>
          <c:yMode val="edge"/>
          <c:x val="0.37240057989141251"/>
          <c:y val="6.0606060606060608E-2"/>
        </c:manualLayout>
      </c:layout>
      <c:overlay val="0"/>
      <c:spPr>
        <a:noFill/>
        <a:ln>
          <a:noFill/>
        </a:ln>
        <a:effectLst/>
      </c:spPr>
    </c:title>
    <c:autoTitleDeleted val="0"/>
    <c:plotArea>
      <c:layout>
        <c:manualLayout>
          <c:layoutTarget val="inner"/>
          <c:xMode val="edge"/>
          <c:yMode val="edge"/>
          <c:x val="0.26935529610522824"/>
          <c:y val="0.23203463203463198"/>
          <c:w val="0.66560593718888583"/>
          <c:h val="0.57911988274192994"/>
        </c:manualLayout>
      </c:layout>
      <c:lineChart>
        <c:grouping val="standard"/>
        <c:varyColors val="0"/>
        <c:ser>
          <c:idx val="0"/>
          <c:order val="0"/>
          <c:tx>
            <c:strRef>
              <c:f>Shock2_M!$N$2</c:f>
              <c:strCache>
                <c:ptCount val="1"/>
                <c:pt idx="0">
                  <c:v>Median</c:v>
                </c:pt>
              </c:strCache>
            </c:strRef>
          </c:tx>
          <c:spPr>
            <a:ln w="19050" cap="rnd">
              <a:solidFill>
                <a:schemeClr val="tx1"/>
              </a:solidFill>
              <a:round/>
            </a:ln>
            <a:effectLst/>
          </c:spPr>
          <c:marker>
            <c:symbol val="none"/>
          </c:marker>
          <c:val>
            <c:numRef>
              <c:f>Shock2_M!$N$3:$N$22</c:f>
              <c:numCache>
                <c:formatCode>General</c:formatCode>
                <c:ptCount val="20"/>
                <c:pt idx="0">
                  <c:v>-3.929383229352745E-3</c:v>
                </c:pt>
                <c:pt idx="1">
                  <c:v>2.0120598666278751E-2</c:v>
                </c:pt>
                <c:pt idx="2">
                  <c:v>3.9498548060160552E-2</c:v>
                </c:pt>
                <c:pt idx="3">
                  <c:v>4.6529942595854745E-2</c:v>
                </c:pt>
                <c:pt idx="4">
                  <c:v>4.8859828965509652E-2</c:v>
                </c:pt>
                <c:pt idx="5">
                  <c:v>4.8707548670624649E-2</c:v>
                </c:pt>
                <c:pt idx="6">
                  <c:v>4.8350092863950603E-2</c:v>
                </c:pt>
                <c:pt idx="7">
                  <c:v>4.4673060995309752E-2</c:v>
                </c:pt>
                <c:pt idx="8">
                  <c:v>4.2322298945445147E-2</c:v>
                </c:pt>
                <c:pt idx="9">
                  <c:v>3.9471444510952899E-2</c:v>
                </c:pt>
                <c:pt idx="10">
                  <c:v>3.5423399192043299E-2</c:v>
                </c:pt>
                <c:pt idx="11">
                  <c:v>3.2761652702767846E-2</c:v>
                </c:pt>
                <c:pt idx="12">
                  <c:v>3.0417869187893451E-2</c:v>
                </c:pt>
                <c:pt idx="13">
                  <c:v>2.780548977041095E-2</c:v>
                </c:pt>
                <c:pt idx="14">
                  <c:v>2.5399852215321501E-2</c:v>
                </c:pt>
                <c:pt idx="15">
                  <c:v>2.3405293610165849E-2</c:v>
                </c:pt>
                <c:pt idx="16">
                  <c:v>2.1261597404758852E-2</c:v>
                </c:pt>
                <c:pt idx="17">
                  <c:v>1.8760423040431698E-2</c:v>
                </c:pt>
                <c:pt idx="18">
                  <c:v>1.6895485202213352E-2</c:v>
                </c:pt>
                <c:pt idx="19">
                  <c:v>1.5771982027357599E-2</c:v>
                </c:pt>
              </c:numCache>
            </c:numRef>
          </c:val>
          <c:smooth val="0"/>
          <c:extLst>
            <c:ext xmlns:c16="http://schemas.microsoft.com/office/drawing/2014/chart" uri="{C3380CC4-5D6E-409C-BE32-E72D297353CC}">
              <c16:uniqueId val="{00000000-09ED-4D0C-BA68-E2ECC550240F}"/>
            </c:ext>
          </c:extLst>
        </c:ser>
        <c:ser>
          <c:idx val="1"/>
          <c:order val="1"/>
          <c:tx>
            <c:strRef>
              <c:f>Shock2_M!$O$2</c:f>
              <c:strCache>
                <c:ptCount val="1"/>
                <c:pt idx="0">
                  <c:v>p0.16</c:v>
                </c:pt>
              </c:strCache>
            </c:strRef>
          </c:tx>
          <c:spPr>
            <a:ln w="19050" cap="rnd">
              <a:solidFill>
                <a:schemeClr val="tx1"/>
              </a:solidFill>
              <a:prstDash val="sysDash"/>
              <a:round/>
            </a:ln>
            <a:effectLst/>
          </c:spPr>
          <c:marker>
            <c:symbol val="none"/>
          </c:marker>
          <c:val>
            <c:numRef>
              <c:f>Shock2_M!$O$3:$O$22</c:f>
              <c:numCache>
                <c:formatCode>General</c:formatCode>
                <c:ptCount val="20"/>
                <c:pt idx="0">
                  <c:v>-8.24823903175496E-2</c:v>
                </c:pt>
                <c:pt idx="1">
                  <c:v>-4.6481845915148749E-2</c:v>
                </c:pt>
                <c:pt idx="2">
                  <c:v>-2.2425605927431848E-2</c:v>
                </c:pt>
                <c:pt idx="3">
                  <c:v>-1.1894134131168724E-2</c:v>
                </c:pt>
                <c:pt idx="4">
                  <c:v>-7.4749989130363983E-3</c:v>
                </c:pt>
                <c:pt idx="5">
                  <c:v>-4.7107331448139967E-3</c:v>
                </c:pt>
                <c:pt idx="6">
                  <c:v>-3.7085640714747477E-3</c:v>
                </c:pt>
                <c:pt idx="7">
                  <c:v>-2.9465804744347132E-3</c:v>
                </c:pt>
                <c:pt idx="8">
                  <c:v>-3.4052594456303524E-3</c:v>
                </c:pt>
                <c:pt idx="9">
                  <c:v>-3.3099690664807561E-3</c:v>
                </c:pt>
                <c:pt idx="10">
                  <c:v>-2.6509665375793849E-3</c:v>
                </c:pt>
                <c:pt idx="11">
                  <c:v>-3.9141753104985477E-3</c:v>
                </c:pt>
                <c:pt idx="12">
                  <c:v>-3.6352939424334576E-3</c:v>
                </c:pt>
                <c:pt idx="13">
                  <c:v>-3.2800619027735524E-3</c:v>
                </c:pt>
                <c:pt idx="14">
                  <c:v>-4.3304921648595887E-3</c:v>
                </c:pt>
                <c:pt idx="15">
                  <c:v>-5.1590035797254748E-3</c:v>
                </c:pt>
                <c:pt idx="16">
                  <c:v>-5.3829206519004349E-3</c:v>
                </c:pt>
                <c:pt idx="17">
                  <c:v>-5.8660331155440462E-3</c:v>
                </c:pt>
                <c:pt idx="18">
                  <c:v>-5.8350042446809018E-3</c:v>
                </c:pt>
                <c:pt idx="19">
                  <c:v>-5.6587817937621392E-3</c:v>
                </c:pt>
              </c:numCache>
            </c:numRef>
          </c:val>
          <c:smooth val="0"/>
          <c:extLst>
            <c:ext xmlns:c16="http://schemas.microsoft.com/office/drawing/2014/chart" uri="{C3380CC4-5D6E-409C-BE32-E72D297353CC}">
              <c16:uniqueId val="{00000001-09ED-4D0C-BA68-E2ECC550240F}"/>
            </c:ext>
          </c:extLst>
        </c:ser>
        <c:ser>
          <c:idx val="2"/>
          <c:order val="2"/>
          <c:tx>
            <c:strRef>
              <c:f>Shock2_M!$P$2</c:f>
              <c:strCache>
                <c:ptCount val="1"/>
                <c:pt idx="0">
                  <c:v>p0.84</c:v>
                </c:pt>
              </c:strCache>
            </c:strRef>
          </c:tx>
          <c:spPr>
            <a:ln w="19050" cap="rnd">
              <a:solidFill>
                <a:schemeClr val="tx1"/>
              </a:solidFill>
              <a:prstDash val="sysDash"/>
              <a:round/>
            </a:ln>
            <a:effectLst/>
          </c:spPr>
          <c:marker>
            <c:symbol val="none"/>
          </c:marker>
          <c:val>
            <c:numRef>
              <c:f>Shock2_M!$P$3:$P$22</c:f>
              <c:numCache>
                <c:formatCode>General</c:formatCode>
                <c:ptCount val="20"/>
                <c:pt idx="0">
                  <c:v>7.0944744744561333E-2</c:v>
                </c:pt>
                <c:pt idx="1">
                  <c:v>6.9699626170695486E-2</c:v>
                </c:pt>
                <c:pt idx="2">
                  <c:v>8.597761049733528E-2</c:v>
                </c:pt>
                <c:pt idx="3">
                  <c:v>9.3461154195036811E-2</c:v>
                </c:pt>
                <c:pt idx="4">
                  <c:v>9.4525893276672254E-2</c:v>
                </c:pt>
                <c:pt idx="5">
                  <c:v>9.4002307689780171E-2</c:v>
                </c:pt>
                <c:pt idx="6">
                  <c:v>9.2399877864171309E-2</c:v>
                </c:pt>
                <c:pt idx="7">
                  <c:v>8.8804677985328942E-2</c:v>
                </c:pt>
                <c:pt idx="8">
                  <c:v>8.4788402340299482E-2</c:v>
                </c:pt>
                <c:pt idx="9">
                  <c:v>8.0537390278892812E-2</c:v>
                </c:pt>
                <c:pt idx="10">
                  <c:v>7.6825054677454749E-2</c:v>
                </c:pt>
                <c:pt idx="11">
                  <c:v>7.326825488354155E-2</c:v>
                </c:pt>
                <c:pt idx="12">
                  <c:v>7.095362104423697E-2</c:v>
                </c:pt>
                <c:pt idx="13">
                  <c:v>6.7548593487887651E-2</c:v>
                </c:pt>
                <c:pt idx="14">
                  <c:v>6.4710066862515223E-2</c:v>
                </c:pt>
                <c:pt idx="15">
                  <c:v>6.2752880544818257E-2</c:v>
                </c:pt>
                <c:pt idx="16">
                  <c:v>6.1078632668728969E-2</c:v>
                </c:pt>
                <c:pt idx="17">
                  <c:v>5.7901810116654802E-2</c:v>
                </c:pt>
                <c:pt idx="18">
                  <c:v>5.5325978029475399E-2</c:v>
                </c:pt>
                <c:pt idx="19">
                  <c:v>5.1983521859999979E-2</c:v>
                </c:pt>
              </c:numCache>
            </c:numRef>
          </c:val>
          <c:smooth val="0"/>
          <c:extLst>
            <c:ext xmlns:c16="http://schemas.microsoft.com/office/drawing/2014/chart" uri="{C3380CC4-5D6E-409C-BE32-E72D297353CC}">
              <c16:uniqueId val="{00000002-09ED-4D0C-BA68-E2ECC550240F}"/>
            </c:ext>
          </c:extLst>
        </c:ser>
        <c:dLbls>
          <c:showLegendKey val="0"/>
          <c:showVal val="0"/>
          <c:showCatName val="0"/>
          <c:showSerName val="0"/>
          <c:showPercent val="0"/>
          <c:showBubbleSize val="0"/>
        </c:dLbls>
        <c:smooth val="0"/>
        <c:axId val="150417792"/>
        <c:axId val="150419328"/>
      </c:lineChart>
      <c:catAx>
        <c:axId val="150417792"/>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419328"/>
        <c:crosses val="autoZero"/>
        <c:auto val="1"/>
        <c:lblAlgn val="ctr"/>
        <c:lblOffset val="100"/>
        <c:tickLblSkip val="2"/>
        <c:noMultiLvlLbl val="0"/>
      </c:catAx>
      <c:valAx>
        <c:axId val="150419328"/>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417792"/>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sz="1200" b="0" i="1" baseline="0">
                <a:effectLst/>
              </a:rPr>
              <a:t>∆CI_Loan</a:t>
            </a:r>
            <a:endParaRPr lang="zh-TW" altLang="zh-TW" sz="1200">
              <a:effectLst/>
            </a:endParaRPr>
          </a:p>
        </c:rich>
      </c:tx>
      <c:layout>
        <c:manualLayout>
          <c:xMode val="edge"/>
          <c:yMode val="edge"/>
          <c:x val="0.36951044162957891"/>
          <c:y val="5.1948051948051951E-2"/>
        </c:manualLayout>
      </c:layout>
      <c:overlay val="0"/>
      <c:spPr>
        <a:noFill/>
        <a:ln>
          <a:noFill/>
        </a:ln>
        <a:effectLst/>
      </c:spPr>
    </c:title>
    <c:autoTitleDeleted val="0"/>
    <c:plotArea>
      <c:layout>
        <c:manualLayout>
          <c:layoutTarget val="inner"/>
          <c:xMode val="edge"/>
          <c:yMode val="edge"/>
          <c:x val="0.20920692913385827"/>
          <c:y val="0.22337662337662334"/>
          <c:w val="0.72179275590551184"/>
          <c:h val="0.58777789139993875"/>
        </c:manualLayout>
      </c:layout>
      <c:lineChart>
        <c:grouping val="standard"/>
        <c:varyColors val="0"/>
        <c:ser>
          <c:idx val="0"/>
          <c:order val="0"/>
          <c:tx>
            <c:strRef>
              <c:f>Shock2_M!$Q$2</c:f>
              <c:strCache>
                <c:ptCount val="1"/>
                <c:pt idx="0">
                  <c:v>Median</c:v>
                </c:pt>
              </c:strCache>
            </c:strRef>
          </c:tx>
          <c:spPr>
            <a:ln w="19050" cap="rnd">
              <a:solidFill>
                <a:schemeClr val="tx1"/>
              </a:solidFill>
              <a:round/>
            </a:ln>
            <a:effectLst/>
          </c:spPr>
          <c:marker>
            <c:symbol val="none"/>
          </c:marker>
          <c:val>
            <c:numRef>
              <c:f>Shock2_M!$Q$3:$Q$22</c:f>
              <c:numCache>
                <c:formatCode>General</c:formatCode>
                <c:ptCount val="20"/>
                <c:pt idx="0">
                  <c:v>2.068558692516405</c:v>
                </c:pt>
                <c:pt idx="1">
                  <c:v>-1.84015272639322</c:v>
                </c:pt>
                <c:pt idx="2">
                  <c:v>-2.9772734084458401</c:v>
                </c:pt>
                <c:pt idx="3">
                  <c:v>-3.67398772826887</c:v>
                </c:pt>
                <c:pt idx="4">
                  <c:v>-3.7179266885415401</c:v>
                </c:pt>
                <c:pt idx="5">
                  <c:v>-3.4035294768014452</c:v>
                </c:pt>
                <c:pt idx="6">
                  <c:v>-3.0878267327901652</c:v>
                </c:pt>
                <c:pt idx="7">
                  <c:v>-2.723265288537565</c:v>
                </c:pt>
                <c:pt idx="8">
                  <c:v>-2.385717627841605</c:v>
                </c:pt>
                <c:pt idx="9">
                  <c:v>-2.0157096319384653</c:v>
                </c:pt>
                <c:pt idx="10">
                  <c:v>-1.659118261962405</c:v>
                </c:pt>
                <c:pt idx="11">
                  <c:v>-1.3850832683988301</c:v>
                </c:pt>
                <c:pt idx="12">
                  <c:v>-1.1563318016728701</c:v>
                </c:pt>
                <c:pt idx="13">
                  <c:v>-0.90933900669943002</c:v>
                </c:pt>
                <c:pt idx="14">
                  <c:v>-0.71336179669744848</c:v>
                </c:pt>
                <c:pt idx="15">
                  <c:v>-0.54529178054302596</c:v>
                </c:pt>
                <c:pt idx="16">
                  <c:v>-0.43831223796349</c:v>
                </c:pt>
                <c:pt idx="17">
                  <c:v>-0.32577155484553955</c:v>
                </c:pt>
                <c:pt idx="18">
                  <c:v>-0.271738395384026</c:v>
                </c:pt>
                <c:pt idx="19">
                  <c:v>-0.17476985895682451</c:v>
                </c:pt>
              </c:numCache>
            </c:numRef>
          </c:val>
          <c:smooth val="0"/>
          <c:extLst>
            <c:ext xmlns:c16="http://schemas.microsoft.com/office/drawing/2014/chart" uri="{C3380CC4-5D6E-409C-BE32-E72D297353CC}">
              <c16:uniqueId val="{00000000-63A6-446E-98EF-1126078B38DA}"/>
            </c:ext>
          </c:extLst>
        </c:ser>
        <c:ser>
          <c:idx val="1"/>
          <c:order val="1"/>
          <c:tx>
            <c:strRef>
              <c:f>Shock2_M!$R$2</c:f>
              <c:strCache>
                <c:ptCount val="1"/>
                <c:pt idx="0">
                  <c:v>p0.16</c:v>
                </c:pt>
              </c:strCache>
            </c:strRef>
          </c:tx>
          <c:spPr>
            <a:ln w="19050" cap="rnd">
              <a:solidFill>
                <a:schemeClr val="tx1"/>
              </a:solidFill>
              <a:prstDash val="sysDash"/>
              <a:round/>
            </a:ln>
            <a:effectLst/>
          </c:spPr>
          <c:marker>
            <c:symbol val="none"/>
          </c:marker>
          <c:val>
            <c:numRef>
              <c:f>Shock2_M!$R$3:$R$22</c:f>
              <c:numCache>
                <c:formatCode>General</c:formatCode>
                <c:ptCount val="20"/>
                <c:pt idx="0">
                  <c:v>-3.3904435300387799</c:v>
                </c:pt>
                <c:pt idx="1">
                  <c:v>-6.2982764720092534</c:v>
                </c:pt>
                <c:pt idx="2">
                  <c:v>-6.8225132585260475</c:v>
                </c:pt>
                <c:pt idx="3">
                  <c:v>-6.8321258855603286</c:v>
                </c:pt>
                <c:pt idx="4">
                  <c:v>-6.4168525439313111</c:v>
                </c:pt>
                <c:pt idx="5">
                  <c:v>-6.2141390685588291</c:v>
                </c:pt>
                <c:pt idx="6">
                  <c:v>-5.81193406250833</c:v>
                </c:pt>
                <c:pt idx="7">
                  <c:v>-5.2384969041585583</c:v>
                </c:pt>
                <c:pt idx="8">
                  <c:v>-4.7457060771355124</c:v>
                </c:pt>
                <c:pt idx="9">
                  <c:v>-4.2555435552121583</c:v>
                </c:pt>
                <c:pt idx="10">
                  <c:v>-3.8405193589653002</c:v>
                </c:pt>
                <c:pt idx="11">
                  <c:v>-3.3492163038160405</c:v>
                </c:pt>
                <c:pt idx="12">
                  <c:v>-3.0124139178892921</c:v>
                </c:pt>
                <c:pt idx="13">
                  <c:v>-2.5729895933370495</c:v>
                </c:pt>
                <c:pt idx="14">
                  <c:v>-2.3280770032240787</c:v>
                </c:pt>
                <c:pt idx="15">
                  <c:v>-2.0805031891511367</c:v>
                </c:pt>
                <c:pt idx="16">
                  <c:v>-1.9026002376389581</c:v>
                </c:pt>
                <c:pt idx="17">
                  <c:v>-1.7302522680294039</c:v>
                </c:pt>
                <c:pt idx="18">
                  <c:v>-1.5293226807755265</c:v>
                </c:pt>
                <c:pt idx="19">
                  <c:v>-1.2671121276656885</c:v>
                </c:pt>
              </c:numCache>
            </c:numRef>
          </c:val>
          <c:smooth val="0"/>
          <c:extLst>
            <c:ext xmlns:c16="http://schemas.microsoft.com/office/drawing/2014/chart" uri="{C3380CC4-5D6E-409C-BE32-E72D297353CC}">
              <c16:uniqueId val="{00000001-63A6-446E-98EF-1126078B38DA}"/>
            </c:ext>
          </c:extLst>
        </c:ser>
        <c:ser>
          <c:idx val="2"/>
          <c:order val="2"/>
          <c:tx>
            <c:strRef>
              <c:f>Shock2_M!$S$2</c:f>
              <c:strCache>
                <c:ptCount val="1"/>
                <c:pt idx="0">
                  <c:v>p0.84</c:v>
                </c:pt>
              </c:strCache>
            </c:strRef>
          </c:tx>
          <c:spPr>
            <a:ln w="19050" cap="rnd">
              <a:solidFill>
                <a:schemeClr val="tx1"/>
              </a:solidFill>
              <a:prstDash val="sysDash"/>
              <a:round/>
            </a:ln>
            <a:effectLst/>
          </c:spPr>
          <c:marker>
            <c:symbol val="none"/>
          </c:marker>
          <c:val>
            <c:numRef>
              <c:f>Shock2_M!$S$3:$S$22</c:f>
              <c:numCache>
                <c:formatCode>General</c:formatCode>
                <c:ptCount val="20"/>
                <c:pt idx="0">
                  <c:v>6.8445256754687795</c:v>
                </c:pt>
                <c:pt idx="1">
                  <c:v>2.8578740550135753</c:v>
                </c:pt>
                <c:pt idx="2">
                  <c:v>1.0512672232579365</c:v>
                </c:pt>
                <c:pt idx="3">
                  <c:v>2.6846291225292584E-2</c:v>
                </c:pt>
                <c:pt idx="4">
                  <c:v>-0.56618656954425317</c:v>
                </c:pt>
                <c:pt idx="5">
                  <c:v>-0.81868899234339765</c:v>
                </c:pt>
                <c:pt idx="6">
                  <c:v>-0.84726880912145963</c:v>
                </c:pt>
                <c:pt idx="7">
                  <c:v>-0.66649073936521719</c:v>
                </c:pt>
                <c:pt idx="8">
                  <c:v>-0.59661321833796133</c:v>
                </c:pt>
                <c:pt idx="9">
                  <c:v>-0.40170715146134184</c:v>
                </c:pt>
                <c:pt idx="10">
                  <c:v>-0.27008150413970827</c:v>
                </c:pt>
                <c:pt idx="11">
                  <c:v>-7.5784416059524656E-2</c:v>
                </c:pt>
                <c:pt idx="12">
                  <c:v>1.8270582415893202E-2</c:v>
                </c:pt>
                <c:pt idx="13">
                  <c:v>0.15725678768501752</c:v>
                </c:pt>
                <c:pt idx="14">
                  <c:v>0.22328216353877886</c:v>
                </c:pt>
                <c:pt idx="15">
                  <c:v>0.31329739625773445</c:v>
                </c:pt>
                <c:pt idx="16">
                  <c:v>0.40951757420578971</c:v>
                </c:pt>
                <c:pt idx="17">
                  <c:v>0.47838737992703978</c:v>
                </c:pt>
                <c:pt idx="18">
                  <c:v>0.49509625763143406</c:v>
                </c:pt>
                <c:pt idx="19">
                  <c:v>0.56196150711219417</c:v>
                </c:pt>
              </c:numCache>
            </c:numRef>
          </c:val>
          <c:smooth val="0"/>
          <c:extLst>
            <c:ext xmlns:c16="http://schemas.microsoft.com/office/drawing/2014/chart" uri="{C3380CC4-5D6E-409C-BE32-E72D297353CC}">
              <c16:uniqueId val="{00000002-63A6-446E-98EF-1126078B38DA}"/>
            </c:ext>
          </c:extLst>
        </c:ser>
        <c:dLbls>
          <c:showLegendKey val="0"/>
          <c:showVal val="0"/>
          <c:showCatName val="0"/>
          <c:showSerName val="0"/>
          <c:showPercent val="0"/>
          <c:showBubbleSize val="0"/>
        </c:dLbls>
        <c:smooth val="0"/>
        <c:axId val="150454656"/>
        <c:axId val="150456192"/>
      </c:lineChart>
      <c:catAx>
        <c:axId val="150454656"/>
        <c:scaling>
          <c:orientation val="minMax"/>
        </c:scaling>
        <c:delete val="0"/>
        <c:axPos val="b"/>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456192"/>
        <c:crosses val="autoZero"/>
        <c:auto val="1"/>
        <c:lblAlgn val="ctr"/>
        <c:lblOffset val="100"/>
        <c:tickLblSkip val="2"/>
        <c:noMultiLvlLbl val="0"/>
      </c:catAx>
      <c:valAx>
        <c:axId val="150456192"/>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150454656"/>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1"/>
          <c:order val="3"/>
          <c:spPr>
            <a:solidFill>
              <a:schemeClr val="bg1">
                <a:lumMod val="85000"/>
              </a:schemeClr>
            </a:solidFill>
            <a:ln>
              <a:noFill/>
            </a:ln>
            <a:effectLst/>
          </c:spPr>
          <c:invertIfNegative val="0"/>
          <c:val>
            <c:numRef>
              <c:f>'Cover quarter'!$F$2:$F$105</c:f>
              <c:numCache>
                <c:formatCode>General</c:formatCode>
                <c:ptCount val="104"/>
                <c:pt idx="2">
                  <c:v>5</c:v>
                </c:pt>
                <c:pt idx="3">
                  <c:v>5</c:v>
                </c:pt>
                <c:pt idx="4">
                  <c:v>5</c:v>
                </c:pt>
                <c:pt idx="44">
                  <c:v>5</c:v>
                </c:pt>
                <c:pt idx="45">
                  <c:v>5</c:v>
                </c:pt>
                <c:pt idx="46">
                  <c:v>5</c:v>
                </c:pt>
                <c:pt idx="47">
                  <c:v>5</c:v>
                </c:pt>
                <c:pt idx="71">
                  <c:v>5</c:v>
                </c:pt>
                <c:pt idx="72">
                  <c:v>5</c:v>
                </c:pt>
                <c:pt idx="73">
                  <c:v>5</c:v>
                </c:pt>
                <c:pt idx="74">
                  <c:v>5</c:v>
                </c:pt>
                <c:pt idx="75">
                  <c:v>5</c:v>
                </c:pt>
                <c:pt idx="76">
                  <c:v>5</c:v>
                </c:pt>
                <c:pt idx="77">
                  <c:v>5</c:v>
                </c:pt>
              </c:numCache>
            </c:numRef>
          </c:val>
          <c:extLst>
            <c:ext xmlns:c16="http://schemas.microsoft.com/office/drawing/2014/chart" uri="{C3380CC4-5D6E-409C-BE32-E72D297353CC}">
              <c16:uniqueId val="{00000000-F44D-4B25-BF63-8FE7BE40C437}"/>
            </c:ext>
          </c:extLst>
        </c:ser>
        <c:dLbls>
          <c:showLegendKey val="0"/>
          <c:showVal val="0"/>
          <c:showCatName val="0"/>
          <c:showSerName val="0"/>
          <c:showPercent val="0"/>
          <c:showBubbleSize val="0"/>
        </c:dLbls>
        <c:gapWidth val="0"/>
        <c:axId val="40125952"/>
        <c:axId val="40123776"/>
      </c:barChart>
      <c:lineChart>
        <c:grouping val="standard"/>
        <c:varyColors val="0"/>
        <c:ser>
          <c:idx val="0"/>
          <c:order val="0"/>
          <c:tx>
            <c:strRef>
              <c:f>'Cover quarter'!$B$1</c:f>
              <c:strCache>
                <c:ptCount val="1"/>
                <c:pt idx="0">
                  <c:v>Standard_LM</c:v>
                </c:pt>
              </c:strCache>
            </c:strRef>
          </c:tx>
          <c:spPr>
            <a:ln w="12700" cap="rnd">
              <a:solidFill>
                <a:schemeClr val="bg1">
                  <a:lumMod val="65000"/>
                </a:schemeClr>
              </a:solidFill>
              <a:round/>
            </a:ln>
            <a:effectLst/>
          </c:spPr>
          <c:marker>
            <c:symbol val="none"/>
          </c:marker>
          <c:cat>
            <c:strRef>
              <c:f>'Cover quarter'!$A$2:$A$105</c:f>
              <c:strCache>
                <c:ptCount val="104"/>
                <c:pt idx="0">
                  <c:v>1990Q1</c:v>
                </c:pt>
                <c:pt idx="1">
                  <c:v>1990Q2</c:v>
                </c:pt>
                <c:pt idx="2">
                  <c:v>1990Q3</c:v>
                </c:pt>
                <c:pt idx="3">
                  <c:v>1990Q4</c:v>
                </c:pt>
                <c:pt idx="4">
                  <c:v>1991Q1</c:v>
                </c:pt>
                <c:pt idx="5">
                  <c:v>1991Q2</c:v>
                </c:pt>
                <c:pt idx="6">
                  <c:v>1991Q3</c:v>
                </c:pt>
                <c:pt idx="7">
                  <c:v>1991Q4</c:v>
                </c:pt>
                <c:pt idx="8">
                  <c:v>1992Q1</c:v>
                </c:pt>
                <c:pt idx="9">
                  <c:v>1992Q2</c:v>
                </c:pt>
                <c:pt idx="10">
                  <c:v>1992Q3</c:v>
                </c:pt>
                <c:pt idx="11">
                  <c:v>1992Q4</c:v>
                </c:pt>
                <c:pt idx="12">
                  <c:v>1993Q1</c:v>
                </c:pt>
                <c:pt idx="13">
                  <c:v>1993Q2</c:v>
                </c:pt>
                <c:pt idx="14">
                  <c:v>1993Q3</c:v>
                </c:pt>
                <c:pt idx="15">
                  <c:v>1993Q4</c:v>
                </c:pt>
                <c:pt idx="16">
                  <c:v>1994Q1</c:v>
                </c:pt>
                <c:pt idx="17">
                  <c:v>1994Q2</c:v>
                </c:pt>
                <c:pt idx="18">
                  <c:v>1994Q3</c:v>
                </c:pt>
                <c:pt idx="19">
                  <c:v>1994Q4</c:v>
                </c:pt>
                <c:pt idx="20">
                  <c:v>1995Q1</c:v>
                </c:pt>
                <c:pt idx="21">
                  <c:v>1995Q2</c:v>
                </c:pt>
                <c:pt idx="22">
                  <c:v>1995Q3</c:v>
                </c:pt>
                <c:pt idx="23">
                  <c:v>1995Q4</c:v>
                </c:pt>
                <c:pt idx="24">
                  <c:v>1996Q1</c:v>
                </c:pt>
                <c:pt idx="25">
                  <c:v>1996Q2</c:v>
                </c:pt>
                <c:pt idx="26">
                  <c:v>1996Q3</c:v>
                </c:pt>
                <c:pt idx="27">
                  <c:v>1996Q4</c:v>
                </c:pt>
                <c:pt idx="28">
                  <c:v>1997Q1</c:v>
                </c:pt>
                <c:pt idx="29">
                  <c:v>1997Q2</c:v>
                </c:pt>
                <c:pt idx="30">
                  <c:v>1997Q3</c:v>
                </c:pt>
                <c:pt idx="31">
                  <c:v>1997Q4</c:v>
                </c:pt>
                <c:pt idx="32">
                  <c:v>1998Q1</c:v>
                </c:pt>
                <c:pt idx="33">
                  <c:v>1998Q2</c:v>
                </c:pt>
                <c:pt idx="34">
                  <c:v>1998Q3</c:v>
                </c:pt>
                <c:pt idx="35">
                  <c:v>1998Q4</c:v>
                </c:pt>
                <c:pt idx="36">
                  <c:v>1999Q1</c:v>
                </c:pt>
                <c:pt idx="37">
                  <c:v>1999Q2</c:v>
                </c:pt>
                <c:pt idx="38">
                  <c:v>1999Q3</c:v>
                </c:pt>
                <c:pt idx="39">
                  <c:v>1999Q4</c:v>
                </c:pt>
                <c:pt idx="40">
                  <c:v>2000Q1</c:v>
                </c:pt>
                <c:pt idx="41">
                  <c:v>2000Q2</c:v>
                </c:pt>
                <c:pt idx="42">
                  <c:v>2000Q3</c:v>
                </c:pt>
                <c:pt idx="43">
                  <c:v>2000Q4</c:v>
                </c:pt>
                <c:pt idx="44">
                  <c:v>2001Q1</c:v>
                </c:pt>
                <c:pt idx="45">
                  <c:v>2001Q2</c:v>
                </c:pt>
                <c:pt idx="46">
                  <c:v>2001Q3</c:v>
                </c:pt>
                <c:pt idx="47">
                  <c:v>2001Q4</c:v>
                </c:pt>
                <c:pt idx="48">
                  <c:v>2002Q1</c:v>
                </c:pt>
                <c:pt idx="49">
                  <c:v>2002Q2</c:v>
                </c:pt>
                <c:pt idx="50">
                  <c:v>2002Q3</c:v>
                </c:pt>
                <c:pt idx="51">
                  <c:v>2002Q4</c:v>
                </c:pt>
                <c:pt idx="52">
                  <c:v>2003Q1</c:v>
                </c:pt>
                <c:pt idx="53">
                  <c:v>2003Q2</c:v>
                </c:pt>
                <c:pt idx="54">
                  <c:v>2003Q3</c:v>
                </c:pt>
                <c:pt idx="55">
                  <c:v>2003Q4</c:v>
                </c:pt>
                <c:pt idx="56">
                  <c:v>2004Q1</c:v>
                </c:pt>
                <c:pt idx="57">
                  <c:v>2004Q2</c:v>
                </c:pt>
                <c:pt idx="58">
                  <c:v>2004Q3</c:v>
                </c:pt>
                <c:pt idx="59">
                  <c:v>2004Q4</c:v>
                </c:pt>
                <c:pt idx="60">
                  <c:v>2005Q1</c:v>
                </c:pt>
                <c:pt idx="61">
                  <c:v>2005Q2</c:v>
                </c:pt>
                <c:pt idx="62">
                  <c:v>2005Q3</c:v>
                </c:pt>
                <c:pt idx="63">
                  <c:v>2005Q4</c:v>
                </c:pt>
                <c:pt idx="64">
                  <c:v>2006Q1</c:v>
                </c:pt>
                <c:pt idx="65">
                  <c:v>2006Q2</c:v>
                </c:pt>
                <c:pt idx="66">
                  <c:v>2006Q3</c:v>
                </c:pt>
                <c:pt idx="67">
                  <c:v>2006Q4</c:v>
                </c:pt>
                <c:pt idx="68">
                  <c:v>2007Q1</c:v>
                </c:pt>
                <c:pt idx="69">
                  <c:v>2007Q2</c:v>
                </c:pt>
                <c:pt idx="70">
                  <c:v>2007Q3</c:v>
                </c:pt>
                <c:pt idx="71">
                  <c:v>2007Q4</c:v>
                </c:pt>
                <c:pt idx="72">
                  <c:v>2008Q1</c:v>
                </c:pt>
                <c:pt idx="73">
                  <c:v>2008Q2</c:v>
                </c:pt>
                <c:pt idx="74">
                  <c:v>2008Q3</c:v>
                </c:pt>
                <c:pt idx="75">
                  <c:v>2008Q4</c:v>
                </c:pt>
                <c:pt idx="76">
                  <c:v>2009Q1</c:v>
                </c:pt>
                <c:pt idx="77">
                  <c:v>2009Q2</c:v>
                </c:pt>
                <c:pt idx="78">
                  <c:v>2009Q3</c:v>
                </c:pt>
                <c:pt idx="79">
                  <c:v>2009Q4</c:v>
                </c:pt>
                <c:pt idx="80">
                  <c:v>2010Q1</c:v>
                </c:pt>
                <c:pt idx="81">
                  <c:v>2010Q2</c:v>
                </c:pt>
                <c:pt idx="82">
                  <c:v>2010Q3</c:v>
                </c:pt>
                <c:pt idx="83">
                  <c:v>2010Q4</c:v>
                </c:pt>
                <c:pt idx="84">
                  <c:v>2011Q1</c:v>
                </c:pt>
                <c:pt idx="85">
                  <c:v>2011Q2</c:v>
                </c:pt>
                <c:pt idx="86">
                  <c:v>2011Q3</c:v>
                </c:pt>
                <c:pt idx="87">
                  <c:v>2011Q4</c:v>
                </c:pt>
                <c:pt idx="88">
                  <c:v>2012Q1</c:v>
                </c:pt>
                <c:pt idx="89">
                  <c:v>2012Q2</c:v>
                </c:pt>
                <c:pt idx="90">
                  <c:v>2012Q3</c:v>
                </c:pt>
                <c:pt idx="91">
                  <c:v>2012Q4</c:v>
                </c:pt>
                <c:pt idx="92">
                  <c:v>2013Q1</c:v>
                </c:pt>
                <c:pt idx="93">
                  <c:v>2013Q2</c:v>
                </c:pt>
                <c:pt idx="94">
                  <c:v>2013Q3</c:v>
                </c:pt>
                <c:pt idx="95">
                  <c:v>2013Q4</c:v>
                </c:pt>
                <c:pt idx="96">
                  <c:v>2014Q1</c:v>
                </c:pt>
                <c:pt idx="97">
                  <c:v>2014Q2</c:v>
                </c:pt>
                <c:pt idx="98">
                  <c:v>2014Q3</c:v>
                </c:pt>
                <c:pt idx="99">
                  <c:v>2014Q4</c:v>
                </c:pt>
                <c:pt idx="100">
                  <c:v>2015Q1</c:v>
                </c:pt>
                <c:pt idx="101">
                  <c:v>2015Q2</c:v>
                </c:pt>
                <c:pt idx="102">
                  <c:v>2015Q3</c:v>
                </c:pt>
                <c:pt idx="103">
                  <c:v>2015Q4</c:v>
                </c:pt>
              </c:strCache>
            </c:strRef>
          </c:cat>
          <c:val>
            <c:numRef>
              <c:f>'Cover quarter'!$B$2:$B$105</c:f>
              <c:numCache>
                <c:formatCode>General</c:formatCode>
                <c:ptCount val="104"/>
                <c:pt idx="0">
                  <c:v>56.9</c:v>
                </c:pt>
                <c:pt idx="1">
                  <c:v>39.5</c:v>
                </c:pt>
                <c:pt idx="2">
                  <c:v>48.9</c:v>
                </c:pt>
                <c:pt idx="3">
                  <c:v>36</c:v>
                </c:pt>
                <c:pt idx="4">
                  <c:v>15.5</c:v>
                </c:pt>
                <c:pt idx="5">
                  <c:v>12.3</c:v>
                </c:pt>
                <c:pt idx="6">
                  <c:v>9</c:v>
                </c:pt>
                <c:pt idx="7">
                  <c:v>5.3</c:v>
                </c:pt>
                <c:pt idx="8">
                  <c:v>0.9</c:v>
                </c:pt>
                <c:pt idx="9">
                  <c:v>-1.7</c:v>
                </c:pt>
                <c:pt idx="10">
                  <c:v>4.4000000000000004</c:v>
                </c:pt>
                <c:pt idx="11">
                  <c:v>2.7</c:v>
                </c:pt>
                <c:pt idx="12">
                  <c:v>-7.9</c:v>
                </c:pt>
                <c:pt idx="13">
                  <c:v>-19.5</c:v>
                </c:pt>
                <c:pt idx="14">
                  <c:v>-17.8</c:v>
                </c:pt>
                <c:pt idx="15">
                  <c:v>-13</c:v>
                </c:pt>
                <c:pt idx="16">
                  <c:v>-12.2</c:v>
                </c:pt>
                <c:pt idx="17">
                  <c:v>-7</c:v>
                </c:pt>
                <c:pt idx="18">
                  <c:v>-17.399999999999999</c:v>
                </c:pt>
                <c:pt idx="19">
                  <c:v>-6.9</c:v>
                </c:pt>
                <c:pt idx="20">
                  <c:v>-5.9</c:v>
                </c:pt>
                <c:pt idx="21">
                  <c:v>-6.1</c:v>
                </c:pt>
                <c:pt idx="22">
                  <c:v>-3.5</c:v>
                </c:pt>
                <c:pt idx="23">
                  <c:v>7</c:v>
                </c:pt>
                <c:pt idx="24">
                  <c:v>-0.9</c:v>
                </c:pt>
                <c:pt idx="25">
                  <c:v>-3.7</c:v>
                </c:pt>
                <c:pt idx="26">
                  <c:v>-7.8</c:v>
                </c:pt>
                <c:pt idx="27">
                  <c:v>-5.5</c:v>
                </c:pt>
                <c:pt idx="28">
                  <c:v>-7</c:v>
                </c:pt>
                <c:pt idx="29">
                  <c:v>-5.7</c:v>
                </c:pt>
                <c:pt idx="30">
                  <c:v>-7</c:v>
                </c:pt>
                <c:pt idx="31">
                  <c:v>1.8</c:v>
                </c:pt>
                <c:pt idx="32">
                  <c:v>-7.1</c:v>
                </c:pt>
                <c:pt idx="33">
                  <c:v>0</c:v>
                </c:pt>
                <c:pt idx="34">
                  <c:v>36.4</c:v>
                </c:pt>
                <c:pt idx="35">
                  <c:v>7.4</c:v>
                </c:pt>
                <c:pt idx="36">
                  <c:v>10</c:v>
                </c:pt>
                <c:pt idx="37">
                  <c:v>5.4</c:v>
                </c:pt>
                <c:pt idx="38">
                  <c:v>9.1</c:v>
                </c:pt>
                <c:pt idx="39">
                  <c:v>10.9</c:v>
                </c:pt>
                <c:pt idx="40">
                  <c:v>24.6</c:v>
                </c:pt>
                <c:pt idx="41">
                  <c:v>33.9</c:v>
                </c:pt>
                <c:pt idx="42">
                  <c:v>43.8</c:v>
                </c:pt>
                <c:pt idx="43">
                  <c:v>59.7</c:v>
                </c:pt>
                <c:pt idx="44">
                  <c:v>50.9</c:v>
                </c:pt>
                <c:pt idx="45">
                  <c:v>40.4</c:v>
                </c:pt>
                <c:pt idx="46">
                  <c:v>50.9</c:v>
                </c:pt>
                <c:pt idx="47">
                  <c:v>45.4</c:v>
                </c:pt>
                <c:pt idx="48">
                  <c:v>25</c:v>
                </c:pt>
                <c:pt idx="49">
                  <c:v>21.4</c:v>
                </c:pt>
                <c:pt idx="50">
                  <c:v>20</c:v>
                </c:pt>
                <c:pt idx="51">
                  <c:v>22</c:v>
                </c:pt>
                <c:pt idx="52">
                  <c:v>8.9</c:v>
                </c:pt>
                <c:pt idx="53">
                  <c:v>3.5</c:v>
                </c:pt>
                <c:pt idx="54">
                  <c:v>0</c:v>
                </c:pt>
                <c:pt idx="55">
                  <c:v>-17.899999999999999</c:v>
                </c:pt>
                <c:pt idx="56">
                  <c:v>-22.8</c:v>
                </c:pt>
                <c:pt idx="57">
                  <c:v>-20</c:v>
                </c:pt>
                <c:pt idx="58">
                  <c:v>-21.1</c:v>
                </c:pt>
                <c:pt idx="59">
                  <c:v>-23.6</c:v>
                </c:pt>
                <c:pt idx="60">
                  <c:v>-24.1</c:v>
                </c:pt>
                <c:pt idx="61">
                  <c:v>-16.7</c:v>
                </c:pt>
                <c:pt idx="62">
                  <c:v>-8.8000000000000007</c:v>
                </c:pt>
                <c:pt idx="63">
                  <c:v>-10.7</c:v>
                </c:pt>
                <c:pt idx="64">
                  <c:v>-12.3</c:v>
                </c:pt>
                <c:pt idx="65">
                  <c:v>-8.9</c:v>
                </c:pt>
                <c:pt idx="66">
                  <c:v>0</c:v>
                </c:pt>
                <c:pt idx="67">
                  <c:v>0</c:v>
                </c:pt>
                <c:pt idx="68">
                  <c:v>-3.7</c:v>
                </c:pt>
                <c:pt idx="69">
                  <c:v>7.5</c:v>
                </c:pt>
                <c:pt idx="70">
                  <c:v>19.2</c:v>
                </c:pt>
                <c:pt idx="71">
                  <c:v>32.200000000000003</c:v>
                </c:pt>
                <c:pt idx="72">
                  <c:v>55.4</c:v>
                </c:pt>
                <c:pt idx="73">
                  <c:v>57.6</c:v>
                </c:pt>
                <c:pt idx="74">
                  <c:v>83.6</c:v>
                </c:pt>
                <c:pt idx="75">
                  <c:v>64.2</c:v>
                </c:pt>
                <c:pt idx="76">
                  <c:v>39.6</c:v>
                </c:pt>
                <c:pt idx="77">
                  <c:v>31.5</c:v>
                </c:pt>
                <c:pt idx="78">
                  <c:v>14</c:v>
                </c:pt>
                <c:pt idx="79">
                  <c:v>-5.5</c:v>
                </c:pt>
                <c:pt idx="80">
                  <c:v>-7.1</c:v>
                </c:pt>
                <c:pt idx="81">
                  <c:v>-8.8000000000000007</c:v>
                </c:pt>
                <c:pt idx="82">
                  <c:v>-10.5</c:v>
                </c:pt>
                <c:pt idx="83">
                  <c:v>-10.5</c:v>
                </c:pt>
                <c:pt idx="84">
                  <c:v>-16.399999999999999</c:v>
                </c:pt>
                <c:pt idx="85">
                  <c:v>-21.8</c:v>
                </c:pt>
                <c:pt idx="86">
                  <c:v>-5.9</c:v>
                </c:pt>
                <c:pt idx="87">
                  <c:v>5.4</c:v>
                </c:pt>
                <c:pt idx="88">
                  <c:v>-6.9</c:v>
                </c:pt>
                <c:pt idx="89">
                  <c:v>-9.5</c:v>
                </c:pt>
                <c:pt idx="90">
                  <c:v>-7.6</c:v>
                </c:pt>
                <c:pt idx="91">
                  <c:v>-7.4</c:v>
                </c:pt>
                <c:pt idx="92">
                  <c:v>-19.100000000000001</c:v>
                </c:pt>
                <c:pt idx="93">
                  <c:v>-18.100000000000001</c:v>
                </c:pt>
                <c:pt idx="94">
                  <c:v>-8.3000000000000007</c:v>
                </c:pt>
                <c:pt idx="95">
                  <c:v>-13.7</c:v>
                </c:pt>
                <c:pt idx="96">
                  <c:v>-11.1</c:v>
                </c:pt>
                <c:pt idx="97">
                  <c:v>-10.7</c:v>
                </c:pt>
                <c:pt idx="98">
                  <c:v>-10.5</c:v>
                </c:pt>
                <c:pt idx="99">
                  <c:v>-5.5</c:v>
                </c:pt>
                <c:pt idx="100">
                  <c:v>-5.3</c:v>
                </c:pt>
                <c:pt idx="101">
                  <c:v>-7</c:v>
                </c:pt>
                <c:pt idx="102">
                  <c:v>7.4</c:v>
                </c:pt>
                <c:pt idx="103">
                  <c:v>8.1999999999999993</c:v>
                </c:pt>
              </c:numCache>
            </c:numRef>
          </c:val>
          <c:smooth val="0"/>
          <c:extLst>
            <c:ext xmlns:c16="http://schemas.microsoft.com/office/drawing/2014/chart" uri="{C3380CC4-5D6E-409C-BE32-E72D297353CC}">
              <c16:uniqueId val="{00000001-F44D-4B25-BF63-8FE7BE40C437}"/>
            </c:ext>
          </c:extLst>
        </c:ser>
        <c:ser>
          <c:idx val="2"/>
          <c:order val="1"/>
          <c:tx>
            <c:strRef>
              <c:f>'Cover quarter'!$D$1</c:f>
              <c:strCache>
                <c:ptCount val="1"/>
                <c:pt idx="0">
                  <c:v>Demand_LM</c:v>
                </c:pt>
              </c:strCache>
            </c:strRef>
          </c:tx>
          <c:spPr>
            <a:ln w="15875" cap="rnd">
              <a:solidFill>
                <a:schemeClr val="tx1"/>
              </a:solidFill>
              <a:prstDash val="sysDot"/>
              <a:round/>
            </a:ln>
            <a:effectLst/>
          </c:spPr>
          <c:marker>
            <c:symbol val="none"/>
          </c:marker>
          <c:cat>
            <c:strRef>
              <c:f>'Cover quarter'!$A$2:$A$105</c:f>
              <c:strCache>
                <c:ptCount val="104"/>
                <c:pt idx="0">
                  <c:v>1990Q1</c:v>
                </c:pt>
                <c:pt idx="1">
                  <c:v>1990Q2</c:v>
                </c:pt>
                <c:pt idx="2">
                  <c:v>1990Q3</c:v>
                </c:pt>
                <c:pt idx="3">
                  <c:v>1990Q4</c:v>
                </c:pt>
                <c:pt idx="4">
                  <c:v>1991Q1</c:v>
                </c:pt>
                <c:pt idx="5">
                  <c:v>1991Q2</c:v>
                </c:pt>
                <c:pt idx="6">
                  <c:v>1991Q3</c:v>
                </c:pt>
                <c:pt idx="7">
                  <c:v>1991Q4</c:v>
                </c:pt>
                <c:pt idx="8">
                  <c:v>1992Q1</c:v>
                </c:pt>
                <c:pt idx="9">
                  <c:v>1992Q2</c:v>
                </c:pt>
                <c:pt idx="10">
                  <c:v>1992Q3</c:v>
                </c:pt>
                <c:pt idx="11">
                  <c:v>1992Q4</c:v>
                </c:pt>
                <c:pt idx="12">
                  <c:v>1993Q1</c:v>
                </c:pt>
                <c:pt idx="13">
                  <c:v>1993Q2</c:v>
                </c:pt>
                <c:pt idx="14">
                  <c:v>1993Q3</c:v>
                </c:pt>
                <c:pt idx="15">
                  <c:v>1993Q4</c:v>
                </c:pt>
                <c:pt idx="16">
                  <c:v>1994Q1</c:v>
                </c:pt>
                <c:pt idx="17">
                  <c:v>1994Q2</c:v>
                </c:pt>
                <c:pt idx="18">
                  <c:v>1994Q3</c:v>
                </c:pt>
                <c:pt idx="19">
                  <c:v>1994Q4</c:v>
                </c:pt>
                <c:pt idx="20">
                  <c:v>1995Q1</c:v>
                </c:pt>
                <c:pt idx="21">
                  <c:v>1995Q2</c:v>
                </c:pt>
                <c:pt idx="22">
                  <c:v>1995Q3</c:v>
                </c:pt>
                <c:pt idx="23">
                  <c:v>1995Q4</c:v>
                </c:pt>
                <c:pt idx="24">
                  <c:v>1996Q1</c:v>
                </c:pt>
                <c:pt idx="25">
                  <c:v>1996Q2</c:v>
                </c:pt>
                <c:pt idx="26">
                  <c:v>1996Q3</c:v>
                </c:pt>
                <c:pt idx="27">
                  <c:v>1996Q4</c:v>
                </c:pt>
                <c:pt idx="28">
                  <c:v>1997Q1</c:v>
                </c:pt>
                <c:pt idx="29">
                  <c:v>1997Q2</c:v>
                </c:pt>
                <c:pt idx="30">
                  <c:v>1997Q3</c:v>
                </c:pt>
                <c:pt idx="31">
                  <c:v>1997Q4</c:v>
                </c:pt>
                <c:pt idx="32">
                  <c:v>1998Q1</c:v>
                </c:pt>
                <c:pt idx="33">
                  <c:v>1998Q2</c:v>
                </c:pt>
                <c:pt idx="34">
                  <c:v>1998Q3</c:v>
                </c:pt>
                <c:pt idx="35">
                  <c:v>1998Q4</c:v>
                </c:pt>
                <c:pt idx="36">
                  <c:v>1999Q1</c:v>
                </c:pt>
                <c:pt idx="37">
                  <c:v>1999Q2</c:v>
                </c:pt>
                <c:pt idx="38">
                  <c:v>1999Q3</c:v>
                </c:pt>
                <c:pt idx="39">
                  <c:v>1999Q4</c:v>
                </c:pt>
                <c:pt idx="40">
                  <c:v>2000Q1</c:v>
                </c:pt>
                <c:pt idx="41">
                  <c:v>2000Q2</c:v>
                </c:pt>
                <c:pt idx="42">
                  <c:v>2000Q3</c:v>
                </c:pt>
                <c:pt idx="43">
                  <c:v>2000Q4</c:v>
                </c:pt>
                <c:pt idx="44">
                  <c:v>2001Q1</c:v>
                </c:pt>
                <c:pt idx="45">
                  <c:v>2001Q2</c:v>
                </c:pt>
                <c:pt idx="46">
                  <c:v>2001Q3</c:v>
                </c:pt>
                <c:pt idx="47">
                  <c:v>2001Q4</c:v>
                </c:pt>
                <c:pt idx="48">
                  <c:v>2002Q1</c:v>
                </c:pt>
                <c:pt idx="49">
                  <c:v>2002Q2</c:v>
                </c:pt>
                <c:pt idx="50">
                  <c:v>2002Q3</c:v>
                </c:pt>
                <c:pt idx="51">
                  <c:v>2002Q4</c:v>
                </c:pt>
                <c:pt idx="52">
                  <c:v>2003Q1</c:v>
                </c:pt>
                <c:pt idx="53">
                  <c:v>2003Q2</c:v>
                </c:pt>
                <c:pt idx="54">
                  <c:v>2003Q3</c:v>
                </c:pt>
                <c:pt idx="55">
                  <c:v>2003Q4</c:v>
                </c:pt>
                <c:pt idx="56">
                  <c:v>2004Q1</c:v>
                </c:pt>
                <c:pt idx="57">
                  <c:v>2004Q2</c:v>
                </c:pt>
                <c:pt idx="58">
                  <c:v>2004Q3</c:v>
                </c:pt>
                <c:pt idx="59">
                  <c:v>2004Q4</c:v>
                </c:pt>
                <c:pt idx="60">
                  <c:v>2005Q1</c:v>
                </c:pt>
                <c:pt idx="61">
                  <c:v>2005Q2</c:v>
                </c:pt>
                <c:pt idx="62">
                  <c:v>2005Q3</c:v>
                </c:pt>
                <c:pt idx="63">
                  <c:v>2005Q4</c:v>
                </c:pt>
                <c:pt idx="64">
                  <c:v>2006Q1</c:v>
                </c:pt>
                <c:pt idx="65">
                  <c:v>2006Q2</c:v>
                </c:pt>
                <c:pt idx="66">
                  <c:v>2006Q3</c:v>
                </c:pt>
                <c:pt idx="67">
                  <c:v>2006Q4</c:v>
                </c:pt>
                <c:pt idx="68">
                  <c:v>2007Q1</c:v>
                </c:pt>
                <c:pt idx="69">
                  <c:v>2007Q2</c:v>
                </c:pt>
                <c:pt idx="70">
                  <c:v>2007Q3</c:v>
                </c:pt>
                <c:pt idx="71">
                  <c:v>2007Q4</c:v>
                </c:pt>
                <c:pt idx="72">
                  <c:v>2008Q1</c:v>
                </c:pt>
                <c:pt idx="73">
                  <c:v>2008Q2</c:v>
                </c:pt>
                <c:pt idx="74">
                  <c:v>2008Q3</c:v>
                </c:pt>
                <c:pt idx="75">
                  <c:v>2008Q4</c:v>
                </c:pt>
                <c:pt idx="76">
                  <c:v>2009Q1</c:v>
                </c:pt>
                <c:pt idx="77">
                  <c:v>2009Q2</c:v>
                </c:pt>
                <c:pt idx="78">
                  <c:v>2009Q3</c:v>
                </c:pt>
                <c:pt idx="79">
                  <c:v>2009Q4</c:v>
                </c:pt>
                <c:pt idx="80">
                  <c:v>2010Q1</c:v>
                </c:pt>
                <c:pt idx="81">
                  <c:v>2010Q2</c:v>
                </c:pt>
                <c:pt idx="82">
                  <c:v>2010Q3</c:v>
                </c:pt>
                <c:pt idx="83">
                  <c:v>2010Q4</c:v>
                </c:pt>
                <c:pt idx="84">
                  <c:v>2011Q1</c:v>
                </c:pt>
                <c:pt idx="85">
                  <c:v>2011Q2</c:v>
                </c:pt>
                <c:pt idx="86">
                  <c:v>2011Q3</c:v>
                </c:pt>
                <c:pt idx="87">
                  <c:v>2011Q4</c:v>
                </c:pt>
                <c:pt idx="88">
                  <c:v>2012Q1</c:v>
                </c:pt>
                <c:pt idx="89">
                  <c:v>2012Q2</c:v>
                </c:pt>
                <c:pt idx="90">
                  <c:v>2012Q3</c:v>
                </c:pt>
                <c:pt idx="91">
                  <c:v>2012Q4</c:v>
                </c:pt>
                <c:pt idx="92">
                  <c:v>2013Q1</c:v>
                </c:pt>
                <c:pt idx="93">
                  <c:v>2013Q2</c:v>
                </c:pt>
                <c:pt idx="94">
                  <c:v>2013Q3</c:v>
                </c:pt>
                <c:pt idx="95">
                  <c:v>2013Q4</c:v>
                </c:pt>
                <c:pt idx="96">
                  <c:v>2014Q1</c:v>
                </c:pt>
                <c:pt idx="97">
                  <c:v>2014Q2</c:v>
                </c:pt>
                <c:pt idx="98">
                  <c:v>2014Q3</c:v>
                </c:pt>
                <c:pt idx="99">
                  <c:v>2014Q4</c:v>
                </c:pt>
                <c:pt idx="100">
                  <c:v>2015Q1</c:v>
                </c:pt>
                <c:pt idx="101">
                  <c:v>2015Q2</c:v>
                </c:pt>
                <c:pt idx="102">
                  <c:v>2015Q3</c:v>
                </c:pt>
                <c:pt idx="103">
                  <c:v>2015Q4</c:v>
                </c:pt>
              </c:strCache>
            </c:strRef>
          </c:cat>
          <c:val>
            <c:numRef>
              <c:f>'Cover quarter'!$D$2:$D$105</c:f>
              <c:numCache>
                <c:formatCode>General</c:formatCode>
                <c:ptCount val="104"/>
                <c:pt idx="6">
                  <c:v>-29.7</c:v>
                </c:pt>
                <c:pt idx="7">
                  <c:v>-26.5</c:v>
                </c:pt>
                <c:pt idx="8">
                  <c:v>6.3</c:v>
                </c:pt>
                <c:pt idx="9">
                  <c:v>-8.6</c:v>
                </c:pt>
                <c:pt idx="10">
                  <c:v>6.2</c:v>
                </c:pt>
                <c:pt idx="11">
                  <c:v>20.2</c:v>
                </c:pt>
                <c:pt idx="12">
                  <c:v>-0.1</c:v>
                </c:pt>
                <c:pt idx="13">
                  <c:v>18.100000000000001</c:v>
                </c:pt>
                <c:pt idx="14">
                  <c:v>9.3000000000000007</c:v>
                </c:pt>
                <c:pt idx="15">
                  <c:v>26.1</c:v>
                </c:pt>
                <c:pt idx="16">
                  <c:v>38.1</c:v>
                </c:pt>
                <c:pt idx="17">
                  <c:v>31.3</c:v>
                </c:pt>
                <c:pt idx="18">
                  <c:v>31.4</c:v>
                </c:pt>
                <c:pt idx="19">
                  <c:v>35.1</c:v>
                </c:pt>
                <c:pt idx="20">
                  <c:v>28.6</c:v>
                </c:pt>
                <c:pt idx="21">
                  <c:v>4.4000000000000004</c:v>
                </c:pt>
                <c:pt idx="22">
                  <c:v>3.5</c:v>
                </c:pt>
                <c:pt idx="23">
                  <c:v>-3.5</c:v>
                </c:pt>
                <c:pt idx="24">
                  <c:v>10.199999999999999</c:v>
                </c:pt>
                <c:pt idx="25">
                  <c:v>12.1</c:v>
                </c:pt>
                <c:pt idx="26">
                  <c:v>0.9</c:v>
                </c:pt>
                <c:pt idx="27">
                  <c:v>4.7</c:v>
                </c:pt>
                <c:pt idx="28">
                  <c:v>5.4</c:v>
                </c:pt>
                <c:pt idx="29">
                  <c:v>13.4</c:v>
                </c:pt>
                <c:pt idx="30">
                  <c:v>19.3</c:v>
                </c:pt>
                <c:pt idx="31">
                  <c:v>25.9</c:v>
                </c:pt>
                <c:pt idx="32">
                  <c:v>28.5</c:v>
                </c:pt>
                <c:pt idx="33">
                  <c:v>-8.9</c:v>
                </c:pt>
                <c:pt idx="34">
                  <c:v>27.7</c:v>
                </c:pt>
                <c:pt idx="35">
                  <c:v>20.399999999999999</c:v>
                </c:pt>
                <c:pt idx="36">
                  <c:v>0</c:v>
                </c:pt>
                <c:pt idx="37">
                  <c:v>0</c:v>
                </c:pt>
                <c:pt idx="38">
                  <c:v>-1.8</c:v>
                </c:pt>
                <c:pt idx="39">
                  <c:v>9.1</c:v>
                </c:pt>
                <c:pt idx="40">
                  <c:v>-8.8000000000000007</c:v>
                </c:pt>
                <c:pt idx="41">
                  <c:v>-5.3</c:v>
                </c:pt>
                <c:pt idx="42">
                  <c:v>-22.8</c:v>
                </c:pt>
                <c:pt idx="43">
                  <c:v>-50</c:v>
                </c:pt>
                <c:pt idx="44">
                  <c:v>-40</c:v>
                </c:pt>
                <c:pt idx="45">
                  <c:v>-52.7</c:v>
                </c:pt>
                <c:pt idx="46">
                  <c:v>-70.2</c:v>
                </c:pt>
                <c:pt idx="47">
                  <c:v>-54.5</c:v>
                </c:pt>
                <c:pt idx="48">
                  <c:v>-35.700000000000003</c:v>
                </c:pt>
                <c:pt idx="49">
                  <c:v>-44.6</c:v>
                </c:pt>
                <c:pt idx="50">
                  <c:v>-52.7</c:v>
                </c:pt>
                <c:pt idx="51">
                  <c:v>-32.200000000000003</c:v>
                </c:pt>
                <c:pt idx="52">
                  <c:v>-39.299999999999997</c:v>
                </c:pt>
                <c:pt idx="53">
                  <c:v>-22.5</c:v>
                </c:pt>
                <c:pt idx="54">
                  <c:v>-11.6</c:v>
                </c:pt>
                <c:pt idx="55">
                  <c:v>10.7</c:v>
                </c:pt>
                <c:pt idx="56">
                  <c:v>28.1</c:v>
                </c:pt>
                <c:pt idx="57">
                  <c:v>31.4</c:v>
                </c:pt>
                <c:pt idx="58">
                  <c:v>26.3</c:v>
                </c:pt>
                <c:pt idx="59">
                  <c:v>45.5</c:v>
                </c:pt>
                <c:pt idx="60">
                  <c:v>37</c:v>
                </c:pt>
                <c:pt idx="61">
                  <c:v>40.799999999999997</c:v>
                </c:pt>
                <c:pt idx="62">
                  <c:v>14.3</c:v>
                </c:pt>
                <c:pt idx="63">
                  <c:v>16.100000000000001</c:v>
                </c:pt>
                <c:pt idx="64">
                  <c:v>3.5</c:v>
                </c:pt>
                <c:pt idx="65">
                  <c:v>-1.8</c:v>
                </c:pt>
                <c:pt idx="66">
                  <c:v>-3.7</c:v>
                </c:pt>
                <c:pt idx="67">
                  <c:v>-1.8</c:v>
                </c:pt>
                <c:pt idx="68">
                  <c:v>-22.6</c:v>
                </c:pt>
                <c:pt idx="69">
                  <c:v>-19.2</c:v>
                </c:pt>
                <c:pt idx="70">
                  <c:v>-17.3</c:v>
                </c:pt>
                <c:pt idx="71">
                  <c:v>-16.399999999999999</c:v>
                </c:pt>
                <c:pt idx="72">
                  <c:v>0</c:v>
                </c:pt>
                <c:pt idx="73">
                  <c:v>-3.8</c:v>
                </c:pt>
                <c:pt idx="74">
                  <c:v>-16.7</c:v>
                </c:pt>
                <c:pt idx="75">
                  <c:v>-60.4</c:v>
                </c:pt>
                <c:pt idx="76">
                  <c:v>-60.4</c:v>
                </c:pt>
                <c:pt idx="77">
                  <c:v>-44.4</c:v>
                </c:pt>
                <c:pt idx="78">
                  <c:v>-31.6</c:v>
                </c:pt>
                <c:pt idx="79">
                  <c:v>-25.5</c:v>
                </c:pt>
                <c:pt idx="80">
                  <c:v>-7.1</c:v>
                </c:pt>
                <c:pt idx="81">
                  <c:v>1.8</c:v>
                </c:pt>
                <c:pt idx="82">
                  <c:v>-7</c:v>
                </c:pt>
                <c:pt idx="83">
                  <c:v>28.1</c:v>
                </c:pt>
                <c:pt idx="84">
                  <c:v>27.3</c:v>
                </c:pt>
                <c:pt idx="85">
                  <c:v>20</c:v>
                </c:pt>
                <c:pt idx="86">
                  <c:v>-15.7</c:v>
                </c:pt>
                <c:pt idx="87">
                  <c:v>19.600000000000001</c:v>
                </c:pt>
                <c:pt idx="88">
                  <c:v>31</c:v>
                </c:pt>
                <c:pt idx="89">
                  <c:v>7.9</c:v>
                </c:pt>
                <c:pt idx="90">
                  <c:v>-6.2</c:v>
                </c:pt>
                <c:pt idx="91">
                  <c:v>19.100000000000001</c:v>
                </c:pt>
                <c:pt idx="92">
                  <c:v>5.9</c:v>
                </c:pt>
                <c:pt idx="93">
                  <c:v>15.3</c:v>
                </c:pt>
                <c:pt idx="94">
                  <c:v>1.4</c:v>
                </c:pt>
                <c:pt idx="95">
                  <c:v>16.399999999999999</c:v>
                </c:pt>
                <c:pt idx="96">
                  <c:v>13.9</c:v>
                </c:pt>
                <c:pt idx="97">
                  <c:v>30.7</c:v>
                </c:pt>
                <c:pt idx="98">
                  <c:v>15.8</c:v>
                </c:pt>
                <c:pt idx="99">
                  <c:v>17.8</c:v>
                </c:pt>
                <c:pt idx="100">
                  <c:v>0</c:v>
                </c:pt>
                <c:pt idx="101">
                  <c:v>10</c:v>
                </c:pt>
                <c:pt idx="102">
                  <c:v>2.9</c:v>
                </c:pt>
                <c:pt idx="103">
                  <c:v>-11.1</c:v>
                </c:pt>
              </c:numCache>
            </c:numRef>
          </c:val>
          <c:smooth val="0"/>
          <c:extLst>
            <c:ext xmlns:c16="http://schemas.microsoft.com/office/drawing/2014/chart" uri="{C3380CC4-5D6E-409C-BE32-E72D297353CC}">
              <c16:uniqueId val="{00000002-F44D-4B25-BF63-8FE7BE40C437}"/>
            </c:ext>
          </c:extLst>
        </c:ser>
        <c:dLbls>
          <c:showLegendKey val="0"/>
          <c:showVal val="0"/>
          <c:showCatName val="0"/>
          <c:showSerName val="0"/>
          <c:showPercent val="0"/>
          <c:showBubbleSize val="0"/>
        </c:dLbls>
        <c:marker val="1"/>
        <c:smooth val="0"/>
        <c:axId val="40120320"/>
        <c:axId val="40121856"/>
      </c:lineChart>
      <c:lineChart>
        <c:grouping val="standard"/>
        <c:varyColors val="0"/>
        <c:ser>
          <c:idx val="3"/>
          <c:order val="2"/>
          <c:tx>
            <c:strRef>
              <c:f>'Cover quarter'!$E$1</c:f>
              <c:strCache>
                <c:ptCount val="1"/>
                <c:pt idx="0">
                  <c:v>logVRP</c:v>
                </c:pt>
              </c:strCache>
            </c:strRef>
          </c:tx>
          <c:spPr>
            <a:ln w="12700" cap="rnd">
              <a:solidFill>
                <a:schemeClr val="tx1"/>
              </a:solidFill>
              <a:round/>
            </a:ln>
            <a:effectLst/>
          </c:spPr>
          <c:marker>
            <c:symbol val="none"/>
          </c:marker>
          <c:val>
            <c:numRef>
              <c:f>'Cover quarter'!$E$2:$E$105</c:f>
              <c:numCache>
                <c:formatCode>General</c:formatCode>
                <c:ptCount val="104"/>
                <c:pt idx="0">
                  <c:v>3.1972533589999999</c:v>
                </c:pt>
                <c:pt idx="1">
                  <c:v>2.6940436521</c:v>
                </c:pt>
                <c:pt idx="2">
                  <c:v>3.5228651180999999</c:v>
                </c:pt>
                <c:pt idx="3">
                  <c:v>3.5028539756999999</c:v>
                </c:pt>
                <c:pt idx="4">
                  <c:v>2.8455643057</c:v>
                </c:pt>
                <c:pt idx="5">
                  <c:v>2.7291268790999998</c:v>
                </c:pt>
                <c:pt idx="6">
                  <c:v>2.3692447858999999</c:v>
                </c:pt>
                <c:pt idx="7">
                  <c:v>2.7851186817000002</c:v>
                </c:pt>
                <c:pt idx="8">
                  <c:v>2.6208898465999999</c:v>
                </c:pt>
                <c:pt idx="9">
                  <c:v>2.2737812485000002</c:v>
                </c:pt>
                <c:pt idx="10">
                  <c:v>2.2199745690000001</c:v>
                </c:pt>
                <c:pt idx="11">
                  <c:v>2.2405897611999999</c:v>
                </c:pt>
                <c:pt idx="12">
                  <c:v>2.0191797060000001</c:v>
                </c:pt>
                <c:pt idx="13">
                  <c:v>1.9730379349</c:v>
                </c:pt>
                <c:pt idx="14">
                  <c:v>2.0054310056000002</c:v>
                </c:pt>
                <c:pt idx="15">
                  <c:v>2.0312241665999999</c:v>
                </c:pt>
                <c:pt idx="16">
                  <c:v>2.3938339917000002</c:v>
                </c:pt>
                <c:pt idx="17">
                  <c:v>2.1921372179</c:v>
                </c:pt>
                <c:pt idx="18">
                  <c:v>2.0357680479</c:v>
                </c:pt>
                <c:pt idx="19">
                  <c:v>2.3111010193000001</c:v>
                </c:pt>
                <c:pt idx="20">
                  <c:v>2.0319523877000001</c:v>
                </c:pt>
                <c:pt idx="21">
                  <c:v>1.8919212179</c:v>
                </c:pt>
                <c:pt idx="22">
                  <c:v>2.0239404262999998</c:v>
                </c:pt>
                <c:pt idx="23">
                  <c:v>2.0460814601999999</c:v>
                </c:pt>
                <c:pt idx="24">
                  <c:v>2.4064449496</c:v>
                </c:pt>
                <c:pt idx="25">
                  <c:v>2.3696754452</c:v>
                </c:pt>
                <c:pt idx="26">
                  <c:v>2.6709790579999999</c:v>
                </c:pt>
                <c:pt idx="27">
                  <c:v>2.8428109803999999</c:v>
                </c:pt>
                <c:pt idx="28">
                  <c:v>2.9512030292999998</c:v>
                </c:pt>
                <c:pt idx="29">
                  <c:v>2.9391101784</c:v>
                </c:pt>
                <c:pt idx="30">
                  <c:v>3.1700560488999998</c:v>
                </c:pt>
                <c:pt idx="31">
                  <c:v>3.5228869837999999</c:v>
                </c:pt>
                <c:pt idx="32">
                  <c:v>2.9927372977000002</c:v>
                </c:pt>
                <c:pt idx="33">
                  <c:v>2.8568367247999999</c:v>
                </c:pt>
                <c:pt idx="34">
                  <c:v>4.0609350229999999</c:v>
                </c:pt>
                <c:pt idx="35">
                  <c:v>3.3224901425</c:v>
                </c:pt>
                <c:pt idx="36">
                  <c:v>3.4129786153000001</c:v>
                </c:pt>
                <c:pt idx="37">
                  <c:v>3.1183797706999998</c:v>
                </c:pt>
                <c:pt idx="38">
                  <c:v>3.3550922702000001</c:v>
                </c:pt>
                <c:pt idx="39">
                  <c:v>3.2271938843000001</c:v>
                </c:pt>
                <c:pt idx="40">
                  <c:v>2.9859674159999998</c:v>
                </c:pt>
                <c:pt idx="41">
                  <c:v>2.8144986370999998</c:v>
                </c:pt>
                <c:pt idx="42">
                  <c:v>2.9098184654999999</c:v>
                </c:pt>
                <c:pt idx="43">
                  <c:v>3.1388876218999999</c:v>
                </c:pt>
                <c:pt idx="44">
                  <c:v>3.3393896716000002</c:v>
                </c:pt>
                <c:pt idx="45">
                  <c:v>2.8193599917999999</c:v>
                </c:pt>
                <c:pt idx="46">
                  <c:v>3.2947375825999998</c:v>
                </c:pt>
                <c:pt idx="47">
                  <c:v>3.3106204355000002</c:v>
                </c:pt>
                <c:pt idx="48">
                  <c:v>2.9706889447</c:v>
                </c:pt>
                <c:pt idx="49">
                  <c:v>3.1759095182000001</c:v>
                </c:pt>
                <c:pt idx="50">
                  <c:v>4.0344035241</c:v>
                </c:pt>
                <c:pt idx="51">
                  <c:v>3.3080220884</c:v>
                </c:pt>
                <c:pt idx="52">
                  <c:v>3.7359818967999998</c:v>
                </c:pt>
                <c:pt idx="53">
                  <c:v>2.7566662423000001</c:v>
                </c:pt>
                <c:pt idx="54">
                  <c:v>2.8999070506</c:v>
                </c:pt>
                <c:pt idx="55">
                  <c:v>2.5787750191000001</c:v>
                </c:pt>
                <c:pt idx="56">
                  <c:v>2.3854465874000002</c:v>
                </c:pt>
                <c:pt idx="57">
                  <c:v>2.3127110384999998</c:v>
                </c:pt>
                <c:pt idx="58">
                  <c:v>2.2358182820999999</c:v>
                </c:pt>
                <c:pt idx="59">
                  <c:v>2.1905350062000002</c:v>
                </c:pt>
                <c:pt idx="60">
                  <c:v>1.9762332907</c:v>
                </c:pt>
                <c:pt idx="61">
                  <c:v>1.9985846281999999</c:v>
                </c:pt>
                <c:pt idx="62">
                  <c:v>1.7879133410000001</c:v>
                </c:pt>
                <c:pt idx="63">
                  <c:v>1.9689249873000001</c:v>
                </c:pt>
                <c:pt idx="64">
                  <c:v>1.8542482011999999</c:v>
                </c:pt>
                <c:pt idx="65">
                  <c:v>1.8574358558999999</c:v>
                </c:pt>
                <c:pt idx="66">
                  <c:v>1.9477414489</c:v>
                </c:pt>
                <c:pt idx="67">
                  <c:v>1.6858657559000001</c:v>
                </c:pt>
                <c:pt idx="68">
                  <c:v>1.8976974088</c:v>
                </c:pt>
                <c:pt idx="69">
                  <c:v>2.2236849435999999</c:v>
                </c:pt>
                <c:pt idx="70">
                  <c:v>2.8017619164999998</c:v>
                </c:pt>
                <c:pt idx="71">
                  <c:v>2.7964828219000002</c:v>
                </c:pt>
                <c:pt idx="72">
                  <c:v>2.8907514006000001</c:v>
                </c:pt>
                <c:pt idx="73">
                  <c:v>2.8670012961000002</c:v>
                </c:pt>
                <c:pt idx="74">
                  <c:v>3.0770735202999999</c:v>
                </c:pt>
                <c:pt idx="75">
                  <c:v>3.7474517903</c:v>
                </c:pt>
                <c:pt idx="76">
                  <c:v>4.3406761263</c:v>
                </c:pt>
                <c:pt idx="77">
                  <c:v>3.5685382031000001</c:v>
                </c:pt>
                <c:pt idx="78">
                  <c:v>3.3925244689</c:v>
                </c:pt>
                <c:pt idx="79">
                  <c:v>3.3841863699000001</c:v>
                </c:pt>
                <c:pt idx="80">
                  <c:v>2.8896106296999999</c:v>
                </c:pt>
                <c:pt idx="81">
                  <c:v>3.4984506063</c:v>
                </c:pt>
                <c:pt idx="82">
                  <c:v>3.2282128901</c:v>
                </c:pt>
                <c:pt idx="83">
                  <c:v>3.0077267795</c:v>
                </c:pt>
                <c:pt idx="84">
                  <c:v>2.6547707705999999</c:v>
                </c:pt>
                <c:pt idx="85">
                  <c:v>2.1952007483</c:v>
                </c:pt>
                <c:pt idx="86">
                  <c:v>3.3502028528999999</c:v>
                </c:pt>
                <c:pt idx="87">
                  <c:v>3.1800559866999998</c:v>
                </c:pt>
                <c:pt idx="88">
                  <c:v>2.6335920070999999</c:v>
                </c:pt>
                <c:pt idx="89">
                  <c:v>2.6383251964999999</c:v>
                </c:pt>
                <c:pt idx="90">
                  <c:v>2.5692852124000001</c:v>
                </c:pt>
                <c:pt idx="91">
                  <c:v>2.5252545998000002</c:v>
                </c:pt>
                <c:pt idx="92">
                  <c:v>2.1264725658999999</c:v>
                </c:pt>
                <c:pt idx="93">
                  <c:v>2.1739004051999999</c:v>
                </c:pt>
                <c:pt idx="94">
                  <c:v>2.4176300701</c:v>
                </c:pt>
                <c:pt idx="95">
                  <c:v>2.1294458363</c:v>
                </c:pt>
                <c:pt idx="96">
                  <c:v>2.3059442997000001</c:v>
                </c:pt>
                <c:pt idx="97">
                  <c:v>1.8434920524</c:v>
                </c:pt>
                <c:pt idx="98">
                  <c:v>2.3419309254999998</c:v>
                </c:pt>
                <c:pt idx="99">
                  <c:v>1.8925605005999999</c:v>
                </c:pt>
                <c:pt idx="100">
                  <c:v>2.4094831189999999</c:v>
                </c:pt>
                <c:pt idx="101">
                  <c:v>2.3943106635000002</c:v>
                </c:pt>
                <c:pt idx="102">
                  <c:v>2.5222944256000002</c:v>
                </c:pt>
                <c:pt idx="103">
                  <c:v>2.3674963154999999</c:v>
                </c:pt>
              </c:numCache>
            </c:numRef>
          </c:val>
          <c:smooth val="0"/>
          <c:extLst>
            <c:ext xmlns:c16="http://schemas.microsoft.com/office/drawing/2014/chart" uri="{C3380CC4-5D6E-409C-BE32-E72D297353CC}">
              <c16:uniqueId val="{00000003-F44D-4B25-BF63-8FE7BE40C437}"/>
            </c:ext>
          </c:extLst>
        </c:ser>
        <c:dLbls>
          <c:showLegendKey val="0"/>
          <c:showVal val="0"/>
          <c:showCatName val="0"/>
          <c:showSerName val="0"/>
          <c:showPercent val="0"/>
          <c:showBubbleSize val="0"/>
        </c:dLbls>
        <c:marker val="1"/>
        <c:smooth val="0"/>
        <c:axId val="40125952"/>
        <c:axId val="40123776"/>
      </c:lineChart>
      <c:catAx>
        <c:axId val="40120320"/>
        <c:scaling>
          <c:orientation val="minMax"/>
        </c:scaling>
        <c:delete val="0"/>
        <c:axPos val="b"/>
        <c:numFmt formatCode="General" sourceLinked="1"/>
        <c:majorTickMark val="out"/>
        <c:minorTickMark val="none"/>
        <c:tickLblPos val="low"/>
        <c:spPr>
          <a:noFill/>
          <a:ln w="9525" cap="flat" cmpd="sng" algn="ctr">
            <a:solidFill>
              <a:sysClr val="windowText" lastClr="000000">
                <a:lumMod val="50000"/>
                <a:lumOff val="50000"/>
              </a:sysClr>
            </a:solidFill>
            <a:round/>
          </a:ln>
          <a:effectLst/>
        </c:spPr>
        <c:txPr>
          <a:bodyPr rot="-270000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40121856"/>
        <c:crosses val="autoZero"/>
        <c:auto val="1"/>
        <c:lblAlgn val="ctr"/>
        <c:lblOffset val="100"/>
        <c:noMultiLvlLbl val="0"/>
      </c:catAx>
      <c:valAx>
        <c:axId val="40121856"/>
        <c:scaling>
          <c:orientation val="minMax"/>
          <c:max val="100"/>
        </c:scaling>
        <c:delete val="0"/>
        <c:axPos val="l"/>
        <c:majorGridlines>
          <c:spPr>
            <a:ln w="9525" cap="flat" cmpd="sng" algn="ctr">
              <a:no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TW"/>
                  <a:t>Net percentage</a:t>
                </a:r>
                <a:endParaRPr lang="zh-TW" alt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40120320"/>
        <c:crosses val="autoZero"/>
        <c:crossBetween val="between"/>
      </c:valAx>
      <c:valAx>
        <c:axId val="40123776"/>
        <c:scaling>
          <c:orientation val="minMax"/>
          <c:max val="5"/>
        </c:scaling>
        <c:delete val="0"/>
        <c:axPos val="r"/>
        <c:title>
          <c:tx>
            <c:rich>
              <a:bodyPr rot="-5400000" spcFirstLastPara="1" vertOverflow="ellipsis" vert="horz" wrap="square" anchor="ctr" anchorCtr="1"/>
              <a:lstStyle/>
              <a:p>
                <a:pPr>
                  <a:defRPr sz="10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TW" i="1"/>
                  <a:t>logVRP</a:t>
                </a:r>
                <a:endParaRPr lang="zh-TW" altLang="en-US" i="1"/>
              </a:p>
            </c:rich>
          </c:tx>
          <c:overlay val="0"/>
          <c:spPr>
            <a:noFill/>
            <a:ln>
              <a:noFill/>
            </a:ln>
            <a:effectLst/>
          </c:spPr>
        </c:title>
        <c:numFmt formatCode="#,##0.00_ "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crossAx val="40125952"/>
        <c:crosses val="max"/>
        <c:crossBetween val="between"/>
      </c:valAx>
      <c:catAx>
        <c:axId val="40125952"/>
        <c:scaling>
          <c:orientation val="minMax"/>
        </c:scaling>
        <c:delete val="1"/>
        <c:axPos val="b"/>
        <c:majorTickMark val="out"/>
        <c:minorTickMark val="none"/>
        <c:tickLblPos val="nextTo"/>
        <c:crossAx val="40123776"/>
        <c:crosses val="autoZero"/>
        <c:auto val="1"/>
        <c:lblAlgn val="ctr"/>
        <c:lblOffset val="100"/>
        <c:noMultiLvlLbl val="0"/>
      </c:cat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TW"/>
        </a:p>
      </c:txPr>
    </c:legend>
    <c:plotVisOnly val="1"/>
    <c:dispBlanksAs val="gap"/>
    <c:showDLblsOverMax val="0"/>
  </c:chart>
  <c:spPr>
    <a:solidFill>
      <a:schemeClr val="bg1"/>
    </a:solidFill>
    <a:ln w="9525" cap="flat" cmpd="sng" algn="ctr">
      <a:solidFill>
        <a:schemeClr val="tx1"/>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TW"/>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logVRP</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503702836401956"/>
          <c:y val="0.24270931326434619"/>
          <c:w val="0.6486567338933934"/>
          <c:h val="0.53607676980170516"/>
        </c:manualLayout>
      </c:layout>
      <c:lineChart>
        <c:grouping val="standard"/>
        <c:varyColors val="0"/>
        <c:ser>
          <c:idx val="3"/>
          <c:order val="0"/>
          <c:tx>
            <c:strRef>
              <c:f>Shock1_U!$B$2</c:f>
              <c:strCache>
                <c:ptCount val="1"/>
                <c:pt idx="0">
                  <c:v>Median</c:v>
                </c:pt>
              </c:strCache>
            </c:strRef>
          </c:tx>
          <c:spPr>
            <a:ln w="19050" cap="rnd">
              <a:solidFill>
                <a:schemeClr val="tx1"/>
              </a:solidFill>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Shock1_U!$B$3:$B$22</c:f>
              <c:numCache>
                <c:formatCode>General</c:formatCode>
                <c:ptCount val="20"/>
                <c:pt idx="0">
                  <c:v>9.4531311451359956E-2</c:v>
                </c:pt>
                <c:pt idx="1">
                  <c:v>6.3823781050770398E-2</c:v>
                </c:pt>
                <c:pt idx="2">
                  <c:v>5.833779246743255E-2</c:v>
                </c:pt>
                <c:pt idx="3">
                  <c:v>2.7834952708794748E-2</c:v>
                </c:pt>
                <c:pt idx="4">
                  <c:v>3.546879096299925E-2</c:v>
                </c:pt>
                <c:pt idx="5">
                  <c:v>1.592013790317735E-2</c:v>
                </c:pt>
                <c:pt idx="6">
                  <c:v>1.539534253551165E-2</c:v>
                </c:pt>
                <c:pt idx="7">
                  <c:v>2.9102336500171902E-3</c:v>
                </c:pt>
                <c:pt idx="8">
                  <c:v>2.6768774374030901E-3</c:v>
                </c:pt>
                <c:pt idx="9">
                  <c:v>-7.868308175403245E-3</c:v>
                </c:pt>
                <c:pt idx="10">
                  <c:v>-7.4485277159915195E-3</c:v>
                </c:pt>
                <c:pt idx="11">
                  <c:v>-1.31502524604225E-2</c:v>
                </c:pt>
                <c:pt idx="12">
                  <c:v>-9.742728165764325E-3</c:v>
                </c:pt>
                <c:pt idx="13">
                  <c:v>-1.2642891656778201E-2</c:v>
                </c:pt>
                <c:pt idx="14">
                  <c:v>-9.4398611749833411E-3</c:v>
                </c:pt>
                <c:pt idx="15">
                  <c:v>-1.07125513286225E-2</c:v>
                </c:pt>
                <c:pt idx="16">
                  <c:v>-8.6656229185717339E-3</c:v>
                </c:pt>
                <c:pt idx="17">
                  <c:v>-9.6328734004270805E-3</c:v>
                </c:pt>
                <c:pt idx="18">
                  <c:v>-6.464859548936875E-3</c:v>
                </c:pt>
                <c:pt idx="19">
                  <c:v>-6.2259576250078344E-3</c:v>
                </c:pt>
              </c:numCache>
            </c:numRef>
          </c:val>
          <c:smooth val="0"/>
          <c:extLst>
            <c:ext xmlns:c16="http://schemas.microsoft.com/office/drawing/2014/chart" uri="{C3380CC4-5D6E-409C-BE32-E72D297353CC}">
              <c16:uniqueId val="{00000000-87C5-4E92-8073-B7FCAB01ACFB}"/>
            </c:ext>
          </c:extLst>
        </c:ser>
        <c:ser>
          <c:idx val="4"/>
          <c:order val="1"/>
          <c:tx>
            <c:strRef>
              <c:f>Shock1_U!$C$2</c:f>
              <c:strCache>
                <c:ptCount val="1"/>
                <c:pt idx="0">
                  <c:v>p0.16</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Shock1_U!$C$3:$C$22</c:f>
              <c:numCache>
                <c:formatCode>General</c:formatCode>
                <c:ptCount val="20"/>
                <c:pt idx="0">
                  <c:v>2.7971234563671576E-2</c:v>
                </c:pt>
                <c:pt idx="1">
                  <c:v>2.186519389052741E-4</c:v>
                </c:pt>
                <c:pt idx="2">
                  <c:v>7.2518478737477639E-3</c:v>
                </c:pt>
                <c:pt idx="3">
                  <c:v>-2.5320171589968091E-2</c:v>
                </c:pt>
                <c:pt idx="4">
                  <c:v>-1.1642616605673187E-2</c:v>
                </c:pt>
                <c:pt idx="5">
                  <c:v>-3.6033184721423292E-2</c:v>
                </c:pt>
                <c:pt idx="6">
                  <c:v>-3.1916042751826974E-2</c:v>
                </c:pt>
                <c:pt idx="7">
                  <c:v>-4.5417404609872133E-2</c:v>
                </c:pt>
                <c:pt idx="8">
                  <c:v>-4.4617295604153971E-2</c:v>
                </c:pt>
                <c:pt idx="9">
                  <c:v>-5.4329875772847841E-2</c:v>
                </c:pt>
                <c:pt idx="10">
                  <c:v>-5.3380033585620899E-2</c:v>
                </c:pt>
                <c:pt idx="11">
                  <c:v>-5.7720264518857381E-2</c:v>
                </c:pt>
                <c:pt idx="12">
                  <c:v>-5.6354141056745237E-2</c:v>
                </c:pt>
                <c:pt idx="13">
                  <c:v>-5.475082202788286E-2</c:v>
                </c:pt>
                <c:pt idx="14">
                  <c:v>-5.28290736668105E-2</c:v>
                </c:pt>
                <c:pt idx="15">
                  <c:v>-4.8954730136180097E-2</c:v>
                </c:pt>
                <c:pt idx="16">
                  <c:v>-4.2642991009131694E-2</c:v>
                </c:pt>
                <c:pt idx="17">
                  <c:v>-4.1439093601273042E-2</c:v>
                </c:pt>
                <c:pt idx="18">
                  <c:v>-3.6584893320979507E-2</c:v>
                </c:pt>
                <c:pt idx="19">
                  <c:v>-3.4360508201869429E-2</c:v>
                </c:pt>
              </c:numCache>
            </c:numRef>
          </c:val>
          <c:smooth val="0"/>
          <c:extLst>
            <c:ext xmlns:c16="http://schemas.microsoft.com/office/drawing/2014/chart" uri="{C3380CC4-5D6E-409C-BE32-E72D297353CC}">
              <c16:uniqueId val="{00000001-87C5-4E92-8073-B7FCAB01ACFB}"/>
            </c:ext>
          </c:extLst>
        </c:ser>
        <c:ser>
          <c:idx val="5"/>
          <c:order val="2"/>
          <c:tx>
            <c:strRef>
              <c:f>Shock1_U!$D$2</c:f>
              <c:strCache>
                <c:ptCount val="1"/>
                <c:pt idx="0">
                  <c:v>p0.84</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Shock1_U!$D$3:$D$22</c:f>
              <c:numCache>
                <c:formatCode>General</c:formatCode>
                <c:ptCount val="20"/>
                <c:pt idx="0">
                  <c:v>0.18567148626068256</c:v>
                </c:pt>
                <c:pt idx="1">
                  <c:v>0.13228031434699222</c:v>
                </c:pt>
                <c:pt idx="2">
                  <c:v>0.12830066209320168</c:v>
                </c:pt>
                <c:pt idx="3">
                  <c:v>8.761207938046954E-2</c:v>
                </c:pt>
                <c:pt idx="4">
                  <c:v>8.7984154027515915E-2</c:v>
                </c:pt>
                <c:pt idx="5">
                  <c:v>6.5938412810678929E-2</c:v>
                </c:pt>
                <c:pt idx="6">
                  <c:v>6.398459649394457E-2</c:v>
                </c:pt>
                <c:pt idx="7">
                  <c:v>4.9295558086086169E-2</c:v>
                </c:pt>
                <c:pt idx="8">
                  <c:v>4.7223871773931163E-2</c:v>
                </c:pt>
                <c:pt idx="9">
                  <c:v>4.0031715723976118E-2</c:v>
                </c:pt>
                <c:pt idx="10">
                  <c:v>3.9727854755707538E-2</c:v>
                </c:pt>
                <c:pt idx="11">
                  <c:v>3.0116992098103652E-2</c:v>
                </c:pt>
                <c:pt idx="12">
                  <c:v>2.9877731247860827E-2</c:v>
                </c:pt>
                <c:pt idx="13">
                  <c:v>2.646334597704247E-2</c:v>
                </c:pt>
                <c:pt idx="14">
                  <c:v>2.4028665674910098E-2</c:v>
                </c:pt>
                <c:pt idx="15">
                  <c:v>1.9741743406738999E-2</c:v>
                </c:pt>
                <c:pt idx="16">
                  <c:v>2.2639339173614065E-2</c:v>
                </c:pt>
                <c:pt idx="17">
                  <c:v>1.940939253130335E-2</c:v>
                </c:pt>
                <c:pt idx="18">
                  <c:v>2.1063930589799953E-2</c:v>
                </c:pt>
                <c:pt idx="19">
                  <c:v>1.9783390864167995E-2</c:v>
                </c:pt>
              </c:numCache>
            </c:numRef>
          </c:val>
          <c:smooth val="0"/>
          <c:extLst>
            <c:ext xmlns:c16="http://schemas.microsoft.com/office/drawing/2014/chart" uri="{C3380CC4-5D6E-409C-BE32-E72D297353CC}">
              <c16:uniqueId val="{00000002-87C5-4E92-8073-B7FCAB01ACFB}"/>
            </c:ext>
          </c:extLst>
        </c:ser>
        <c:dLbls>
          <c:showLegendKey val="0"/>
          <c:showVal val="0"/>
          <c:showCatName val="0"/>
          <c:showSerName val="0"/>
          <c:showPercent val="0"/>
          <c:showBubbleSize val="0"/>
        </c:dLbls>
        <c:smooth val="0"/>
        <c:axId val="40165760"/>
        <c:axId val="40167296"/>
      </c:lineChart>
      <c:catAx>
        <c:axId val="40165760"/>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167296"/>
        <c:crosses val="autoZero"/>
        <c:auto val="1"/>
        <c:lblAlgn val="ctr"/>
        <c:lblOffset val="100"/>
        <c:tickLblSkip val="2"/>
        <c:noMultiLvlLbl val="0"/>
      </c:catAx>
      <c:valAx>
        <c:axId val="4016729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16576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GDP</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398133566637501"/>
          <c:y val="0.24270931326434614"/>
          <c:w val="0.65005307669874601"/>
          <c:h val="0.53607676980170516"/>
        </c:manualLayout>
      </c:layout>
      <c:lineChart>
        <c:grouping val="standard"/>
        <c:varyColors val="0"/>
        <c:ser>
          <c:idx val="3"/>
          <c:order val="0"/>
          <c:tx>
            <c:strRef>
              <c:f>Shock1_U!$E$2</c:f>
              <c:strCache>
                <c:ptCount val="1"/>
                <c:pt idx="0">
                  <c:v>Median</c:v>
                </c:pt>
              </c:strCache>
            </c:strRef>
          </c:tx>
          <c:spPr>
            <a:ln w="19050" cap="rnd">
              <a:solidFill>
                <a:schemeClr val="tx1"/>
              </a:solidFill>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Shock1_U!$E$3:$E$22</c:f>
              <c:numCache>
                <c:formatCode>General</c:formatCode>
                <c:ptCount val="20"/>
                <c:pt idx="0">
                  <c:v>-0.29956230149958352</c:v>
                </c:pt>
                <c:pt idx="1">
                  <c:v>-8.8496215011599461E-2</c:v>
                </c:pt>
                <c:pt idx="2">
                  <c:v>-8.2604859786988644E-2</c:v>
                </c:pt>
                <c:pt idx="3">
                  <c:v>-3.78704979962226E-2</c:v>
                </c:pt>
                <c:pt idx="4">
                  <c:v>-3.2498219577937054E-2</c:v>
                </c:pt>
                <c:pt idx="5">
                  <c:v>-1.29277900277373E-2</c:v>
                </c:pt>
                <c:pt idx="6">
                  <c:v>-1.283207716803385E-2</c:v>
                </c:pt>
                <c:pt idx="7">
                  <c:v>-1.91047276057703E-3</c:v>
                </c:pt>
                <c:pt idx="8">
                  <c:v>-3.4848981131712351E-3</c:v>
                </c:pt>
                <c:pt idx="9">
                  <c:v>1.40423501949483E-3</c:v>
                </c:pt>
                <c:pt idx="10">
                  <c:v>-5.5735919193722252E-4</c:v>
                </c:pt>
                <c:pt idx="11">
                  <c:v>1.7330091894375401E-3</c:v>
                </c:pt>
                <c:pt idx="12">
                  <c:v>-9.066754796180855E-4</c:v>
                </c:pt>
                <c:pt idx="13">
                  <c:v>8.2408218845236598E-4</c:v>
                </c:pt>
                <c:pt idx="14">
                  <c:v>-1.4249757274070502E-3</c:v>
                </c:pt>
                <c:pt idx="15">
                  <c:v>-4.7332244080073248E-4</c:v>
                </c:pt>
                <c:pt idx="16">
                  <c:v>-2.6099102474833099E-3</c:v>
                </c:pt>
                <c:pt idx="17">
                  <c:v>-2.2261356381753049E-3</c:v>
                </c:pt>
                <c:pt idx="18">
                  <c:v>-3.4704758354437201E-3</c:v>
                </c:pt>
                <c:pt idx="19">
                  <c:v>-3.1580442478453949E-3</c:v>
                </c:pt>
              </c:numCache>
            </c:numRef>
          </c:val>
          <c:smooth val="0"/>
          <c:extLst>
            <c:ext xmlns:c16="http://schemas.microsoft.com/office/drawing/2014/chart" uri="{C3380CC4-5D6E-409C-BE32-E72D297353CC}">
              <c16:uniqueId val="{00000000-DC04-4F61-BCA3-D410B8612785}"/>
            </c:ext>
          </c:extLst>
        </c:ser>
        <c:ser>
          <c:idx val="4"/>
          <c:order val="1"/>
          <c:tx>
            <c:strRef>
              <c:f>Shock1_U!$F$2</c:f>
              <c:strCache>
                <c:ptCount val="1"/>
                <c:pt idx="0">
                  <c:v>p0.16</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Shock1_U!$F$3:$F$22</c:f>
              <c:numCache>
                <c:formatCode>General</c:formatCode>
                <c:ptCount val="20"/>
                <c:pt idx="0">
                  <c:v>-0.45718209501125578</c:v>
                </c:pt>
                <c:pt idx="1">
                  <c:v>-0.16884966124677908</c:v>
                </c:pt>
                <c:pt idx="2">
                  <c:v>-0.16504125549790996</c:v>
                </c:pt>
                <c:pt idx="3">
                  <c:v>-9.1233819010813441E-2</c:v>
                </c:pt>
                <c:pt idx="4">
                  <c:v>-8.3573730536764521E-2</c:v>
                </c:pt>
                <c:pt idx="5">
                  <c:v>-5.8614566005048059E-2</c:v>
                </c:pt>
                <c:pt idx="6">
                  <c:v>-5.1753901136049545E-2</c:v>
                </c:pt>
                <c:pt idx="7">
                  <c:v>-3.675506199147132E-2</c:v>
                </c:pt>
                <c:pt idx="8">
                  <c:v>-3.5514636516575868E-2</c:v>
                </c:pt>
                <c:pt idx="9">
                  <c:v>-2.8174667468240953E-2</c:v>
                </c:pt>
                <c:pt idx="10">
                  <c:v>-2.9677678666366589E-2</c:v>
                </c:pt>
                <c:pt idx="11">
                  <c:v>-2.3553069578129516E-2</c:v>
                </c:pt>
                <c:pt idx="12">
                  <c:v>-2.6152532082355937E-2</c:v>
                </c:pt>
                <c:pt idx="13">
                  <c:v>-2.2085409890284232E-2</c:v>
                </c:pt>
                <c:pt idx="14">
                  <c:v>-2.3902522679895202E-2</c:v>
                </c:pt>
                <c:pt idx="15">
                  <c:v>-2.1476455052855375E-2</c:v>
                </c:pt>
                <c:pt idx="16">
                  <c:v>-2.3691715992083865E-2</c:v>
                </c:pt>
                <c:pt idx="17">
                  <c:v>-2.2122834715616106E-2</c:v>
                </c:pt>
                <c:pt idx="18">
                  <c:v>-2.5131409256820468E-2</c:v>
                </c:pt>
                <c:pt idx="19">
                  <c:v>-2.3991277546851625E-2</c:v>
                </c:pt>
              </c:numCache>
            </c:numRef>
          </c:val>
          <c:smooth val="0"/>
          <c:extLst>
            <c:ext xmlns:c16="http://schemas.microsoft.com/office/drawing/2014/chart" uri="{C3380CC4-5D6E-409C-BE32-E72D297353CC}">
              <c16:uniqueId val="{00000001-DC04-4F61-BCA3-D410B8612785}"/>
            </c:ext>
          </c:extLst>
        </c:ser>
        <c:ser>
          <c:idx val="5"/>
          <c:order val="2"/>
          <c:tx>
            <c:strRef>
              <c:f>Shock1_U!$G$2</c:f>
              <c:strCache>
                <c:ptCount val="1"/>
                <c:pt idx="0">
                  <c:v>p0.84</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Shock1_U!$G$3:$G$22</c:f>
              <c:numCache>
                <c:formatCode>General</c:formatCode>
                <c:ptCount val="20"/>
                <c:pt idx="0">
                  <c:v>-0.12669735243141247</c:v>
                </c:pt>
                <c:pt idx="1">
                  <c:v>-1.4201956095045635E-2</c:v>
                </c:pt>
                <c:pt idx="2">
                  <c:v>-6.6164000705600879E-4</c:v>
                </c:pt>
                <c:pt idx="3">
                  <c:v>1.4536937808245033E-2</c:v>
                </c:pt>
                <c:pt idx="4">
                  <c:v>8.833137709435732E-3</c:v>
                </c:pt>
                <c:pt idx="5">
                  <c:v>2.6634735714205618E-2</c:v>
                </c:pt>
                <c:pt idx="6">
                  <c:v>2.5524602587758443E-2</c:v>
                </c:pt>
                <c:pt idx="7">
                  <c:v>3.4090756353586882E-2</c:v>
                </c:pt>
                <c:pt idx="8">
                  <c:v>3.174551042555955E-2</c:v>
                </c:pt>
                <c:pt idx="9">
                  <c:v>3.4448114269762437E-2</c:v>
                </c:pt>
                <c:pt idx="10">
                  <c:v>2.7720731503287063E-2</c:v>
                </c:pt>
                <c:pt idx="11">
                  <c:v>2.9241743252558627E-2</c:v>
                </c:pt>
                <c:pt idx="12">
                  <c:v>2.4637539318251762E-2</c:v>
                </c:pt>
                <c:pt idx="13">
                  <c:v>2.2722758738891336E-2</c:v>
                </c:pt>
                <c:pt idx="14">
                  <c:v>1.8375021593300345E-2</c:v>
                </c:pt>
                <c:pt idx="15">
                  <c:v>1.7434911146495303E-2</c:v>
                </c:pt>
                <c:pt idx="16">
                  <c:v>1.3328457003712499E-2</c:v>
                </c:pt>
                <c:pt idx="17">
                  <c:v>1.3383244686204325E-2</c:v>
                </c:pt>
                <c:pt idx="18">
                  <c:v>1.0933585443549146E-2</c:v>
                </c:pt>
                <c:pt idx="19">
                  <c:v>1.1017622553368295E-2</c:v>
                </c:pt>
              </c:numCache>
            </c:numRef>
          </c:val>
          <c:smooth val="0"/>
          <c:extLst>
            <c:ext xmlns:c16="http://schemas.microsoft.com/office/drawing/2014/chart" uri="{C3380CC4-5D6E-409C-BE32-E72D297353CC}">
              <c16:uniqueId val="{00000002-DC04-4F61-BCA3-D410B8612785}"/>
            </c:ext>
          </c:extLst>
        </c:ser>
        <c:dLbls>
          <c:showLegendKey val="0"/>
          <c:showVal val="0"/>
          <c:showCatName val="0"/>
          <c:showSerName val="0"/>
          <c:showPercent val="0"/>
          <c:showBubbleSize val="0"/>
        </c:dLbls>
        <c:smooth val="0"/>
        <c:axId val="40784256"/>
        <c:axId val="40785792"/>
      </c:lineChart>
      <c:catAx>
        <c:axId val="40784256"/>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785792"/>
        <c:crosses val="autoZero"/>
        <c:auto val="1"/>
        <c:lblAlgn val="ctr"/>
        <c:lblOffset val="100"/>
        <c:tickLblSkip val="2"/>
        <c:noMultiLvlLbl val="0"/>
      </c:catAx>
      <c:valAx>
        <c:axId val="40785792"/>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784256"/>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CPI</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7780782836927992"/>
          <c:y val="0.23330197554092189"/>
          <c:w val="0.62943854844231428"/>
          <c:h val="0.54548410752512944"/>
        </c:manualLayout>
      </c:layout>
      <c:lineChart>
        <c:grouping val="standard"/>
        <c:varyColors val="0"/>
        <c:ser>
          <c:idx val="3"/>
          <c:order val="0"/>
          <c:tx>
            <c:strRef>
              <c:f>Shock1_U!$H$2</c:f>
              <c:strCache>
                <c:ptCount val="1"/>
                <c:pt idx="0">
                  <c:v>Median</c:v>
                </c:pt>
              </c:strCache>
            </c:strRef>
          </c:tx>
          <c:spPr>
            <a:ln w="19050" cap="rnd">
              <a:solidFill>
                <a:schemeClr val="tx1"/>
              </a:solidFill>
              <a:prstDash val="solid"/>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Shock1_U!$H$3:$H$22</c:f>
              <c:numCache>
                <c:formatCode>General</c:formatCode>
                <c:ptCount val="20"/>
                <c:pt idx="0">
                  <c:v>-7.0637804226215045E-2</c:v>
                </c:pt>
                <c:pt idx="1">
                  <c:v>-2.87251914785649E-2</c:v>
                </c:pt>
                <c:pt idx="2">
                  <c:v>9.938998269592051E-3</c:v>
                </c:pt>
                <c:pt idx="3">
                  <c:v>-2.313089748549025E-2</c:v>
                </c:pt>
                <c:pt idx="4">
                  <c:v>-5.300720873376455E-4</c:v>
                </c:pt>
                <c:pt idx="5">
                  <c:v>-1.54250982250362E-2</c:v>
                </c:pt>
                <c:pt idx="6">
                  <c:v>-7.4578059770474803E-4</c:v>
                </c:pt>
                <c:pt idx="7">
                  <c:v>-1.4059313766159799E-2</c:v>
                </c:pt>
                <c:pt idx="8">
                  <c:v>-3.6744235724073147E-3</c:v>
                </c:pt>
                <c:pt idx="9">
                  <c:v>-1.1389010076403749E-2</c:v>
                </c:pt>
                <c:pt idx="10">
                  <c:v>-5.0750923861547399E-3</c:v>
                </c:pt>
                <c:pt idx="11">
                  <c:v>-9.2558090149878099E-3</c:v>
                </c:pt>
                <c:pt idx="12">
                  <c:v>-4.6937098966282047E-3</c:v>
                </c:pt>
                <c:pt idx="13">
                  <c:v>-7.5735257266907052E-3</c:v>
                </c:pt>
                <c:pt idx="14">
                  <c:v>-4.0510848698736002E-3</c:v>
                </c:pt>
                <c:pt idx="15">
                  <c:v>-6.6859405244404854E-3</c:v>
                </c:pt>
                <c:pt idx="16">
                  <c:v>-3.9959477090950445E-3</c:v>
                </c:pt>
                <c:pt idx="17">
                  <c:v>-5.8533049036926851E-3</c:v>
                </c:pt>
                <c:pt idx="18">
                  <c:v>-3.9288195475179356E-3</c:v>
                </c:pt>
                <c:pt idx="19">
                  <c:v>-5.3567360043453097E-3</c:v>
                </c:pt>
              </c:numCache>
            </c:numRef>
          </c:val>
          <c:smooth val="0"/>
          <c:extLst>
            <c:ext xmlns:c16="http://schemas.microsoft.com/office/drawing/2014/chart" uri="{C3380CC4-5D6E-409C-BE32-E72D297353CC}">
              <c16:uniqueId val="{00000000-2A94-4457-B031-852E0E1AE5F3}"/>
            </c:ext>
          </c:extLst>
        </c:ser>
        <c:ser>
          <c:idx val="4"/>
          <c:order val="1"/>
          <c:tx>
            <c:strRef>
              <c:f>Shock1_U!$I$2</c:f>
              <c:strCache>
                <c:ptCount val="1"/>
                <c:pt idx="0">
                  <c:v>p0.16</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Shock1_U!$I$3:$I$22</c:f>
              <c:numCache>
                <c:formatCode>General</c:formatCode>
                <c:ptCount val="20"/>
                <c:pt idx="0">
                  <c:v>-0.345642103382854</c:v>
                </c:pt>
                <c:pt idx="1">
                  <c:v>-9.8570463500784217E-2</c:v>
                </c:pt>
                <c:pt idx="2">
                  <c:v>-5.5882957318735223E-2</c:v>
                </c:pt>
                <c:pt idx="3">
                  <c:v>-6.1508049646649812E-2</c:v>
                </c:pt>
                <c:pt idx="4">
                  <c:v>-3.3330126527370579E-2</c:v>
                </c:pt>
                <c:pt idx="5">
                  <c:v>-4.7126307908173973E-2</c:v>
                </c:pt>
                <c:pt idx="6">
                  <c:v>-2.7138115125003283E-2</c:v>
                </c:pt>
                <c:pt idx="7">
                  <c:v>-3.7494825007540714E-2</c:v>
                </c:pt>
                <c:pt idx="8">
                  <c:v>-2.5576812834658163E-2</c:v>
                </c:pt>
                <c:pt idx="9">
                  <c:v>-3.0682244484639177E-2</c:v>
                </c:pt>
                <c:pt idx="10">
                  <c:v>-2.3936894923708197E-2</c:v>
                </c:pt>
                <c:pt idx="11">
                  <c:v>-2.6948479693647505E-2</c:v>
                </c:pt>
                <c:pt idx="12">
                  <c:v>-2.0983097230256265E-2</c:v>
                </c:pt>
                <c:pt idx="13">
                  <c:v>-2.5006537467961696E-2</c:v>
                </c:pt>
                <c:pt idx="14">
                  <c:v>-1.9712289996975167E-2</c:v>
                </c:pt>
                <c:pt idx="15">
                  <c:v>-2.3768980966414565E-2</c:v>
                </c:pt>
                <c:pt idx="16">
                  <c:v>-2.0052486858035037E-2</c:v>
                </c:pt>
                <c:pt idx="17">
                  <c:v>-2.1844416154270338E-2</c:v>
                </c:pt>
                <c:pt idx="18">
                  <c:v>-1.9209634670976982E-2</c:v>
                </c:pt>
                <c:pt idx="19">
                  <c:v>-2.1053990521784211E-2</c:v>
                </c:pt>
              </c:numCache>
            </c:numRef>
          </c:val>
          <c:smooth val="0"/>
          <c:extLst>
            <c:ext xmlns:c16="http://schemas.microsoft.com/office/drawing/2014/chart" uri="{C3380CC4-5D6E-409C-BE32-E72D297353CC}">
              <c16:uniqueId val="{00000001-2A94-4457-B031-852E0E1AE5F3}"/>
            </c:ext>
          </c:extLst>
        </c:ser>
        <c:ser>
          <c:idx val="5"/>
          <c:order val="2"/>
          <c:tx>
            <c:strRef>
              <c:f>Shock1_U!$J$2</c:f>
              <c:strCache>
                <c:ptCount val="1"/>
                <c:pt idx="0">
                  <c:v>p0.84</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Shock1_U!$J$3:$J$22</c:f>
              <c:numCache>
                <c:formatCode>General</c:formatCode>
                <c:ptCount val="20"/>
                <c:pt idx="0">
                  <c:v>0.20008547438127797</c:v>
                </c:pt>
                <c:pt idx="1">
                  <c:v>3.7116459737415911E-2</c:v>
                </c:pt>
                <c:pt idx="2">
                  <c:v>8.1553905230764542E-2</c:v>
                </c:pt>
                <c:pt idx="3">
                  <c:v>1.3939540743165359E-2</c:v>
                </c:pt>
                <c:pt idx="4">
                  <c:v>3.4744220847339358E-2</c:v>
                </c:pt>
                <c:pt idx="5">
                  <c:v>9.7838423577311165E-3</c:v>
                </c:pt>
                <c:pt idx="6">
                  <c:v>2.2393512450348103E-2</c:v>
                </c:pt>
                <c:pt idx="7">
                  <c:v>5.8145035638366063E-3</c:v>
                </c:pt>
                <c:pt idx="8">
                  <c:v>1.6681912867535675E-2</c:v>
                </c:pt>
                <c:pt idx="9">
                  <c:v>6.188152941164528E-3</c:v>
                </c:pt>
                <c:pt idx="10">
                  <c:v>1.2540300204699123E-2</c:v>
                </c:pt>
                <c:pt idx="11">
                  <c:v>5.9003768593406504E-3</c:v>
                </c:pt>
                <c:pt idx="12">
                  <c:v>1.1535334920197746E-2</c:v>
                </c:pt>
                <c:pt idx="13">
                  <c:v>6.159317585448118E-3</c:v>
                </c:pt>
                <c:pt idx="14">
                  <c:v>1.0601504555037559E-2</c:v>
                </c:pt>
                <c:pt idx="15">
                  <c:v>6.023094421762713E-3</c:v>
                </c:pt>
                <c:pt idx="16">
                  <c:v>8.1692830826948643E-3</c:v>
                </c:pt>
                <c:pt idx="17">
                  <c:v>5.727218030661424E-3</c:v>
                </c:pt>
                <c:pt idx="18">
                  <c:v>7.4058882112227192E-3</c:v>
                </c:pt>
                <c:pt idx="19">
                  <c:v>5.4125824771031816E-3</c:v>
                </c:pt>
              </c:numCache>
            </c:numRef>
          </c:val>
          <c:smooth val="0"/>
          <c:extLst>
            <c:ext xmlns:c16="http://schemas.microsoft.com/office/drawing/2014/chart" uri="{C3380CC4-5D6E-409C-BE32-E72D297353CC}">
              <c16:uniqueId val="{00000002-2A94-4457-B031-852E0E1AE5F3}"/>
            </c:ext>
          </c:extLst>
        </c:ser>
        <c:dLbls>
          <c:showLegendKey val="0"/>
          <c:showVal val="0"/>
          <c:showCatName val="0"/>
          <c:showSerName val="0"/>
          <c:showPercent val="0"/>
          <c:showBubbleSize val="0"/>
        </c:dLbls>
        <c:smooth val="0"/>
        <c:axId val="40825216"/>
        <c:axId val="40826752"/>
      </c:lineChart>
      <c:catAx>
        <c:axId val="40825216"/>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826752"/>
        <c:crosses val="autoZero"/>
        <c:auto val="1"/>
        <c:lblAlgn val="ctr"/>
        <c:lblOffset val="100"/>
        <c:tickLblSkip val="2"/>
        <c:noMultiLvlLbl val="0"/>
      </c:catAx>
      <c:valAx>
        <c:axId val="40826752"/>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825216"/>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TW" i="1">
                <a:solidFill>
                  <a:schemeClr val="tx1"/>
                </a:solidFill>
              </a:rPr>
              <a:t>FF_Rate</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627321956502649"/>
          <c:y val="0.20540540540540542"/>
          <c:w val="0.67189122735122797"/>
          <c:h val="0.56472937504433562"/>
        </c:manualLayout>
      </c:layout>
      <c:lineChart>
        <c:grouping val="standard"/>
        <c:varyColors val="0"/>
        <c:ser>
          <c:idx val="3"/>
          <c:order val="0"/>
          <c:tx>
            <c:strRef>
              <c:f>Shock1_U!$K$2</c:f>
              <c:strCache>
                <c:ptCount val="1"/>
                <c:pt idx="0">
                  <c:v>Median</c:v>
                </c:pt>
              </c:strCache>
            </c:strRef>
          </c:tx>
          <c:spPr>
            <a:ln w="19050" cap="rnd">
              <a:solidFill>
                <a:schemeClr val="tx1"/>
              </a:solidFill>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Shock1_U!$K$3:$K$22</c:f>
              <c:numCache>
                <c:formatCode>General</c:formatCode>
                <c:ptCount val="20"/>
                <c:pt idx="0">
                  <c:v>-9.8016199703625545E-2</c:v>
                </c:pt>
                <c:pt idx="1">
                  <c:v>-0.186063963669688</c:v>
                </c:pt>
                <c:pt idx="2">
                  <c:v>-0.23582302606025501</c:v>
                </c:pt>
                <c:pt idx="3">
                  <c:v>-0.25914912574108601</c:v>
                </c:pt>
                <c:pt idx="4">
                  <c:v>-0.263684872979004</c:v>
                </c:pt>
                <c:pt idx="5">
                  <c:v>-0.2592008049746275</c:v>
                </c:pt>
                <c:pt idx="6">
                  <c:v>-0.2406661206983885</c:v>
                </c:pt>
                <c:pt idx="7">
                  <c:v>-0.22153090571824802</c:v>
                </c:pt>
                <c:pt idx="8">
                  <c:v>-0.20410768896676651</c:v>
                </c:pt>
                <c:pt idx="9">
                  <c:v>-0.17950598283090299</c:v>
                </c:pt>
                <c:pt idx="10">
                  <c:v>-0.15591241565966552</c:v>
                </c:pt>
                <c:pt idx="11">
                  <c:v>-0.14292711172330652</c:v>
                </c:pt>
                <c:pt idx="12">
                  <c:v>-0.1185173943152085</c:v>
                </c:pt>
                <c:pt idx="13">
                  <c:v>-0.104431374458585</c:v>
                </c:pt>
                <c:pt idx="14">
                  <c:v>-8.9830992471480492E-2</c:v>
                </c:pt>
                <c:pt idx="15">
                  <c:v>-8.2601034854212205E-2</c:v>
                </c:pt>
                <c:pt idx="16">
                  <c:v>-7.2215460645578849E-2</c:v>
                </c:pt>
                <c:pt idx="17">
                  <c:v>-6.4468861669142258E-2</c:v>
                </c:pt>
                <c:pt idx="18">
                  <c:v>-5.8676682725990449E-2</c:v>
                </c:pt>
                <c:pt idx="19">
                  <c:v>-5.6817052154737646E-2</c:v>
                </c:pt>
              </c:numCache>
            </c:numRef>
          </c:val>
          <c:smooth val="0"/>
          <c:extLst>
            <c:ext xmlns:c16="http://schemas.microsoft.com/office/drawing/2014/chart" uri="{C3380CC4-5D6E-409C-BE32-E72D297353CC}">
              <c16:uniqueId val="{00000000-71E9-477C-B7D8-C86199D4A720}"/>
            </c:ext>
          </c:extLst>
        </c:ser>
        <c:ser>
          <c:idx val="4"/>
          <c:order val="1"/>
          <c:tx>
            <c:strRef>
              <c:f>Shock1_U!$L$2</c:f>
              <c:strCache>
                <c:ptCount val="1"/>
                <c:pt idx="0">
                  <c:v>p0.16</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Shock1_U!$L$3:$L$22</c:f>
              <c:numCache>
                <c:formatCode>General</c:formatCode>
                <c:ptCount val="20"/>
                <c:pt idx="0">
                  <c:v>-0.20352212291279523</c:v>
                </c:pt>
                <c:pt idx="1">
                  <c:v>-0.36696908230209235</c:v>
                </c:pt>
                <c:pt idx="2">
                  <c:v>-0.43939942963505496</c:v>
                </c:pt>
                <c:pt idx="3">
                  <c:v>-0.48014607294967665</c:v>
                </c:pt>
                <c:pt idx="4">
                  <c:v>-0.49858070194125276</c:v>
                </c:pt>
                <c:pt idx="5">
                  <c:v>-0.47961649673137474</c:v>
                </c:pt>
                <c:pt idx="6">
                  <c:v>-0.4710953916478558</c:v>
                </c:pt>
                <c:pt idx="7">
                  <c:v>-0.44415802952519912</c:v>
                </c:pt>
                <c:pt idx="8">
                  <c:v>-0.40852703092991827</c:v>
                </c:pt>
                <c:pt idx="9">
                  <c:v>-0.38020475666992981</c:v>
                </c:pt>
                <c:pt idx="10">
                  <c:v>-0.35950228792191791</c:v>
                </c:pt>
                <c:pt idx="11">
                  <c:v>-0.34054179005689261</c:v>
                </c:pt>
                <c:pt idx="12">
                  <c:v>-0.3158649459048698</c:v>
                </c:pt>
                <c:pt idx="13">
                  <c:v>-0.3050706294653685</c:v>
                </c:pt>
                <c:pt idx="14">
                  <c:v>-0.28735529084026795</c:v>
                </c:pt>
                <c:pt idx="15">
                  <c:v>-0.26762181985201622</c:v>
                </c:pt>
                <c:pt idx="16">
                  <c:v>-0.25005114762427288</c:v>
                </c:pt>
                <c:pt idx="17">
                  <c:v>-0.24327741582456425</c:v>
                </c:pt>
                <c:pt idx="18">
                  <c:v>-0.23723684977862899</c:v>
                </c:pt>
                <c:pt idx="19">
                  <c:v>-0.22847004618375719</c:v>
                </c:pt>
              </c:numCache>
            </c:numRef>
          </c:val>
          <c:smooth val="0"/>
          <c:extLst>
            <c:ext xmlns:c16="http://schemas.microsoft.com/office/drawing/2014/chart" uri="{C3380CC4-5D6E-409C-BE32-E72D297353CC}">
              <c16:uniqueId val="{00000001-71E9-477C-B7D8-C86199D4A720}"/>
            </c:ext>
          </c:extLst>
        </c:ser>
        <c:ser>
          <c:idx val="5"/>
          <c:order val="2"/>
          <c:tx>
            <c:strRef>
              <c:f>Shock1_U!$M$2</c:f>
              <c:strCache>
                <c:ptCount val="1"/>
                <c:pt idx="0">
                  <c:v>p0.84</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Shock1_U!$M$3:$M$22</c:f>
              <c:numCache>
                <c:formatCode>General</c:formatCode>
                <c:ptCount val="20"/>
                <c:pt idx="0">
                  <c:v>4.3936827593969476E-2</c:v>
                </c:pt>
                <c:pt idx="1">
                  <c:v>2.4557009772058533E-2</c:v>
                </c:pt>
                <c:pt idx="2">
                  <c:v>1.8104986056781715E-2</c:v>
                </c:pt>
                <c:pt idx="3">
                  <c:v>1.0517822101865065E-2</c:v>
                </c:pt>
                <c:pt idx="4">
                  <c:v>8.3351146630716733E-3</c:v>
                </c:pt>
                <c:pt idx="5">
                  <c:v>-3.1215225810561332E-3</c:v>
                </c:pt>
                <c:pt idx="6">
                  <c:v>-9.8361147995007815E-3</c:v>
                </c:pt>
                <c:pt idx="7">
                  <c:v>-1.2736731457339535E-2</c:v>
                </c:pt>
                <c:pt idx="8">
                  <c:v>-4.1135831826452727E-3</c:v>
                </c:pt>
                <c:pt idx="9">
                  <c:v>-1.267961036691546E-3</c:v>
                </c:pt>
                <c:pt idx="10">
                  <c:v>1.7563169554090086E-2</c:v>
                </c:pt>
                <c:pt idx="11">
                  <c:v>3.9299732390347883E-2</c:v>
                </c:pt>
                <c:pt idx="12">
                  <c:v>5.0470270959322001E-2</c:v>
                </c:pt>
                <c:pt idx="13">
                  <c:v>6.0845684368591592E-2</c:v>
                </c:pt>
                <c:pt idx="14">
                  <c:v>6.9018794910908079E-2</c:v>
                </c:pt>
                <c:pt idx="15">
                  <c:v>7.70554438301847E-2</c:v>
                </c:pt>
                <c:pt idx="16">
                  <c:v>7.9980692315557933E-2</c:v>
                </c:pt>
                <c:pt idx="17">
                  <c:v>7.7150718272627414E-2</c:v>
                </c:pt>
                <c:pt idx="18">
                  <c:v>7.2951112452239425E-2</c:v>
                </c:pt>
                <c:pt idx="19">
                  <c:v>7.338210208403638E-2</c:v>
                </c:pt>
              </c:numCache>
            </c:numRef>
          </c:val>
          <c:smooth val="0"/>
          <c:extLst>
            <c:ext xmlns:c16="http://schemas.microsoft.com/office/drawing/2014/chart" uri="{C3380CC4-5D6E-409C-BE32-E72D297353CC}">
              <c16:uniqueId val="{00000002-71E9-477C-B7D8-C86199D4A720}"/>
            </c:ext>
          </c:extLst>
        </c:ser>
        <c:dLbls>
          <c:showLegendKey val="0"/>
          <c:showVal val="0"/>
          <c:showCatName val="0"/>
          <c:showSerName val="0"/>
          <c:showPercent val="0"/>
          <c:showBubbleSize val="0"/>
        </c:dLbls>
        <c:smooth val="0"/>
        <c:axId val="40866176"/>
        <c:axId val="40867712"/>
      </c:lineChart>
      <c:catAx>
        <c:axId val="40866176"/>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867712"/>
        <c:crosses val="autoZero"/>
        <c:auto val="1"/>
        <c:lblAlgn val="ctr"/>
        <c:lblOffset val="100"/>
        <c:tickLblSkip val="2"/>
        <c:noMultiLvlLbl val="0"/>
      </c:catAx>
      <c:valAx>
        <c:axId val="40867712"/>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866176"/>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Spr_Synd</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8398133566637501"/>
          <c:y val="0.21441441441441436"/>
          <c:w val="0.65005307669874601"/>
          <c:h val="0.57373838405334465"/>
        </c:manualLayout>
      </c:layout>
      <c:lineChart>
        <c:grouping val="standard"/>
        <c:varyColors val="0"/>
        <c:ser>
          <c:idx val="3"/>
          <c:order val="0"/>
          <c:tx>
            <c:strRef>
              <c:f>Shock1_U!$N$2</c:f>
              <c:strCache>
                <c:ptCount val="1"/>
                <c:pt idx="0">
                  <c:v>Median</c:v>
                </c:pt>
              </c:strCache>
            </c:strRef>
          </c:tx>
          <c:spPr>
            <a:ln w="19050" cap="rnd">
              <a:solidFill>
                <a:schemeClr val="tx1"/>
              </a:solidFill>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Shock1_U!$N$3:$N$22</c:f>
              <c:numCache>
                <c:formatCode>General</c:formatCode>
                <c:ptCount val="20"/>
                <c:pt idx="0">
                  <c:v>5.3350623270948201E-2</c:v>
                </c:pt>
                <c:pt idx="1">
                  <c:v>8.0301751172148411E-2</c:v>
                </c:pt>
                <c:pt idx="2">
                  <c:v>0.105763522976542</c:v>
                </c:pt>
                <c:pt idx="3">
                  <c:v>9.5840954761790151E-2</c:v>
                </c:pt>
                <c:pt idx="4">
                  <c:v>9.1898664709037403E-2</c:v>
                </c:pt>
                <c:pt idx="5">
                  <c:v>7.7025294105516354E-2</c:v>
                </c:pt>
                <c:pt idx="6">
                  <c:v>6.6546641732296657E-2</c:v>
                </c:pt>
                <c:pt idx="7">
                  <c:v>5.6181497424751051E-2</c:v>
                </c:pt>
                <c:pt idx="8">
                  <c:v>4.7056566420458648E-2</c:v>
                </c:pt>
                <c:pt idx="9">
                  <c:v>4.014712367922945E-2</c:v>
                </c:pt>
                <c:pt idx="10">
                  <c:v>3.1748838320504701E-2</c:v>
                </c:pt>
                <c:pt idx="11">
                  <c:v>2.5229309680945951E-2</c:v>
                </c:pt>
                <c:pt idx="12">
                  <c:v>2.09607422465777E-2</c:v>
                </c:pt>
                <c:pt idx="13">
                  <c:v>1.6117470193887352E-2</c:v>
                </c:pt>
                <c:pt idx="14">
                  <c:v>1.29622439164035E-2</c:v>
                </c:pt>
                <c:pt idx="15">
                  <c:v>9.5941772105908405E-3</c:v>
                </c:pt>
                <c:pt idx="16">
                  <c:v>6.72576858723476E-3</c:v>
                </c:pt>
                <c:pt idx="17">
                  <c:v>5.4809402544332905E-3</c:v>
                </c:pt>
                <c:pt idx="18">
                  <c:v>5.4345483523670799E-3</c:v>
                </c:pt>
                <c:pt idx="19">
                  <c:v>4.7520006207166596E-3</c:v>
                </c:pt>
              </c:numCache>
            </c:numRef>
          </c:val>
          <c:smooth val="0"/>
          <c:extLst>
            <c:ext xmlns:c16="http://schemas.microsoft.com/office/drawing/2014/chart" uri="{C3380CC4-5D6E-409C-BE32-E72D297353CC}">
              <c16:uniqueId val="{00000000-F5FF-4C54-B0CB-ADE4753AF611}"/>
            </c:ext>
          </c:extLst>
        </c:ser>
        <c:ser>
          <c:idx val="4"/>
          <c:order val="1"/>
          <c:tx>
            <c:strRef>
              <c:f>Shock1_U!$O$2</c:f>
              <c:strCache>
                <c:ptCount val="1"/>
                <c:pt idx="0">
                  <c:v>p0.16</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Shock1_U!$O$3:$O$22</c:f>
              <c:numCache>
                <c:formatCode>General</c:formatCode>
                <c:ptCount val="20"/>
                <c:pt idx="0">
                  <c:v>-3.5312705261255621E-2</c:v>
                </c:pt>
                <c:pt idx="1">
                  <c:v>2.3056115533924251E-2</c:v>
                </c:pt>
                <c:pt idx="2">
                  <c:v>4.4477144001388497E-2</c:v>
                </c:pt>
                <c:pt idx="3">
                  <c:v>4.2641093872137027E-2</c:v>
                </c:pt>
                <c:pt idx="4">
                  <c:v>3.2015829765435426E-2</c:v>
                </c:pt>
                <c:pt idx="5">
                  <c:v>2.6537294464658228E-2</c:v>
                </c:pt>
                <c:pt idx="6">
                  <c:v>1.899676626343463E-2</c:v>
                </c:pt>
                <c:pt idx="7">
                  <c:v>6.1313076487563359E-3</c:v>
                </c:pt>
                <c:pt idx="8">
                  <c:v>-2.4801672046362092E-3</c:v>
                </c:pt>
                <c:pt idx="9">
                  <c:v>-1.0586000172429954E-2</c:v>
                </c:pt>
                <c:pt idx="10">
                  <c:v>-1.6483380472883488E-2</c:v>
                </c:pt>
                <c:pt idx="11">
                  <c:v>-2.1832018268171056E-2</c:v>
                </c:pt>
                <c:pt idx="12">
                  <c:v>-2.5557125835809952E-2</c:v>
                </c:pt>
                <c:pt idx="13">
                  <c:v>-2.5862161330609746E-2</c:v>
                </c:pt>
                <c:pt idx="14">
                  <c:v>-3.0166829293499221E-2</c:v>
                </c:pt>
                <c:pt idx="15">
                  <c:v>-2.952372217309537E-2</c:v>
                </c:pt>
                <c:pt idx="16">
                  <c:v>-2.9794818616596514E-2</c:v>
                </c:pt>
                <c:pt idx="17">
                  <c:v>-3.1168350099560149E-2</c:v>
                </c:pt>
                <c:pt idx="18">
                  <c:v>-2.8198157251646188E-2</c:v>
                </c:pt>
                <c:pt idx="19">
                  <c:v>-2.3448745855801773E-2</c:v>
                </c:pt>
              </c:numCache>
            </c:numRef>
          </c:val>
          <c:smooth val="0"/>
          <c:extLst>
            <c:ext xmlns:c16="http://schemas.microsoft.com/office/drawing/2014/chart" uri="{C3380CC4-5D6E-409C-BE32-E72D297353CC}">
              <c16:uniqueId val="{00000001-F5FF-4C54-B0CB-ADE4753AF611}"/>
            </c:ext>
          </c:extLst>
        </c:ser>
        <c:ser>
          <c:idx val="5"/>
          <c:order val="2"/>
          <c:tx>
            <c:strRef>
              <c:f>Shock1_U!$P$2</c:f>
              <c:strCache>
                <c:ptCount val="1"/>
                <c:pt idx="0">
                  <c:v>p0.84</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Shock1_U!$P$3:$P$22</c:f>
              <c:numCache>
                <c:formatCode>General</c:formatCode>
                <c:ptCount val="20"/>
                <c:pt idx="0">
                  <c:v>0.13594467670002366</c:v>
                </c:pt>
                <c:pt idx="1">
                  <c:v>0.13153461349425613</c:v>
                </c:pt>
                <c:pt idx="2">
                  <c:v>0.15778177103555061</c:v>
                </c:pt>
                <c:pt idx="3">
                  <c:v>0.14978379124076133</c:v>
                </c:pt>
                <c:pt idx="4">
                  <c:v>0.15008088761704183</c:v>
                </c:pt>
                <c:pt idx="5">
                  <c:v>0.14159908702330543</c:v>
                </c:pt>
                <c:pt idx="6">
                  <c:v>0.13159416965028486</c:v>
                </c:pt>
                <c:pt idx="7">
                  <c:v>0.12503908048559154</c:v>
                </c:pt>
                <c:pt idx="8">
                  <c:v>0.11116258977275995</c:v>
                </c:pt>
                <c:pt idx="9">
                  <c:v>9.7952926938602983E-2</c:v>
                </c:pt>
                <c:pt idx="10">
                  <c:v>8.8123547627922752E-2</c:v>
                </c:pt>
                <c:pt idx="11">
                  <c:v>7.9173013491595681E-2</c:v>
                </c:pt>
                <c:pt idx="12">
                  <c:v>7.2956479621900411E-2</c:v>
                </c:pt>
                <c:pt idx="13">
                  <c:v>6.697929398265956E-2</c:v>
                </c:pt>
                <c:pt idx="14">
                  <c:v>6.4023296254052842E-2</c:v>
                </c:pt>
                <c:pt idx="15">
                  <c:v>5.8289102153454647E-2</c:v>
                </c:pt>
                <c:pt idx="16">
                  <c:v>5.4342128276447438E-2</c:v>
                </c:pt>
                <c:pt idx="17">
                  <c:v>5.1280468694151517E-2</c:v>
                </c:pt>
                <c:pt idx="18">
                  <c:v>4.9691586043081187E-2</c:v>
                </c:pt>
                <c:pt idx="19">
                  <c:v>4.8229005079924822E-2</c:v>
                </c:pt>
              </c:numCache>
            </c:numRef>
          </c:val>
          <c:smooth val="0"/>
          <c:extLst>
            <c:ext xmlns:c16="http://schemas.microsoft.com/office/drawing/2014/chart" uri="{C3380CC4-5D6E-409C-BE32-E72D297353CC}">
              <c16:uniqueId val="{00000002-F5FF-4C54-B0CB-ADE4753AF611}"/>
            </c:ext>
          </c:extLst>
        </c:ser>
        <c:dLbls>
          <c:showLegendKey val="0"/>
          <c:showVal val="0"/>
          <c:showCatName val="0"/>
          <c:showSerName val="0"/>
          <c:showPercent val="0"/>
          <c:showBubbleSize val="0"/>
        </c:dLbls>
        <c:smooth val="0"/>
        <c:axId val="40984960"/>
        <c:axId val="40986496"/>
      </c:lineChart>
      <c:catAx>
        <c:axId val="40984960"/>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986496"/>
        <c:crosses val="autoZero"/>
        <c:auto val="1"/>
        <c:lblAlgn val="ctr"/>
        <c:lblOffset val="100"/>
        <c:tickLblSkip val="2"/>
        <c:noMultiLvlLbl val="0"/>
      </c:catAx>
      <c:valAx>
        <c:axId val="40986496"/>
        <c:scaling>
          <c:orientation val="minMax"/>
        </c:scaling>
        <c:delete val="0"/>
        <c:axPos val="l"/>
        <c:majorGridlines>
          <c:spPr>
            <a:ln w="9525" cap="flat" cmpd="sng" algn="ctr">
              <a:noFill/>
              <a:round/>
            </a:ln>
            <a:effectLst/>
          </c:spPr>
        </c:majorGridlines>
        <c:numFmt formatCode="#,##0.0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0984960"/>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1"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i="1">
                <a:solidFill>
                  <a:schemeClr val="tx1"/>
                </a:solidFill>
              </a:rPr>
              <a:t>Synd_Loan</a:t>
            </a:r>
            <a:endParaRPr lang="zh-TW" i="1">
              <a:solidFill>
                <a:schemeClr val="tx1"/>
              </a:solidFill>
            </a:endParaRPr>
          </a:p>
        </c:rich>
      </c:tx>
      <c:layout>
        <c:manualLayout>
          <c:xMode val="edge"/>
          <c:yMode val="edge"/>
          <c:x val="0.41412297199222742"/>
          <c:y val="3.3333333333333333E-2"/>
        </c:manualLayout>
      </c:layout>
      <c:overlay val="0"/>
      <c:spPr>
        <a:noFill/>
        <a:ln>
          <a:noFill/>
        </a:ln>
        <a:effectLst/>
      </c:spPr>
    </c:title>
    <c:autoTitleDeleted val="0"/>
    <c:plotArea>
      <c:layout>
        <c:manualLayout>
          <c:layoutTarget val="inner"/>
          <c:xMode val="edge"/>
          <c:yMode val="edge"/>
          <c:x val="0.2053440602533379"/>
          <c:y val="0.20540540540540542"/>
          <c:w val="0.7019023165582563"/>
          <c:h val="0.58274739306235357"/>
        </c:manualLayout>
      </c:layout>
      <c:lineChart>
        <c:grouping val="standard"/>
        <c:varyColors val="0"/>
        <c:ser>
          <c:idx val="3"/>
          <c:order val="0"/>
          <c:tx>
            <c:strRef>
              <c:f>Shock1_U!$Q$2</c:f>
              <c:strCache>
                <c:ptCount val="1"/>
                <c:pt idx="0">
                  <c:v>Median</c:v>
                </c:pt>
              </c:strCache>
            </c:strRef>
          </c:tx>
          <c:spPr>
            <a:ln w="19050" cap="rnd">
              <a:solidFill>
                <a:schemeClr val="tx1"/>
              </a:solidFill>
              <a:prstDash val="solid"/>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Shock1_U!$Q$3:$Q$22</c:f>
              <c:numCache>
                <c:formatCode>General</c:formatCode>
                <c:ptCount val="20"/>
                <c:pt idx="0">
                  <c:v>-18.077100258292401</c:v>
                </c:pt>
                <c:pt idx="1">
                  <c:v>-8.3297674715397498</c:v>
                </c:pt>
                <c:pt idx="2">
                  <c:v>-18.777026161464853</c:v>
                </c:pt>
                <c:pt idx="3">
                  <c:v>-9.0440914253462594</c:v>
                </c:pt>
                <c:pt idx="4">
                  <c:v>-13.16163833281535</c:v>
                </c:pt>
                <c:pt idx="5">
                  <c:v>-6.6857750737915342</c:v>
                </c:pt>
                <c:pt idx="6">
                  <c:v>-7.6390085422306298</c:v>
                </c:pt>
                <c:pt idx="7">
                  <c:v>-2.8196587458422551</c:v>
                </c:pt>
                <c:pt idx="8">
                  <c:v>-2.85178563733347</c:v>
                </c:pt>
                <c:pt idx="9">
                  <c:v>0.278977893702816</c:v>
                </c:pt>
                <c:pt idx="10">
                  <c:v>0.32639227216646349</c:v>
                </c:pt>
                <c:pt idx="11">
                  <c:v>2.982787731544585</c:v>
                </c:pt>
                <c:pt idx="12">
                  <c:v>2.5320312142029699</c:v>
                </c:pt>
                <c:pt idx="13">
                  <c:v>4.2642224025232398</c:v>
                </c:pt>
                <c:pt idx="14">
                  <c:v>3.7322754653622603</c:v>
                </c:pt>
                <c:pt idx="15">
                  <c:v>5.3370837827027504</c:v>
                </c:pt>
                <c:pt idx="16">
                  <c:v>4.5251774282320554</c:v>
                </c:pt>
                <c:pt idx="17">
                  <c:v>5.4877250738617853</c:v>
                </c:pt>
                <c:pt idx="18">
                  <c:v>5.0214954717501854</c:v>
                </c:pt>
                <c:pt idx="19">
                  <c:v>5.3395351024794344</c:v>
                </c:pt>
              </c:numCache>
            </c:numRef>
          </c:val>
          <c:smooth val="0"/>
          <c:extLst>
            <c:ext xmlns:c16="http://schemas.microsoft.com/office/drawing/2014/chart" uri="{C3380CC4-5D6E-409C-BE32-E72D297353CC}">
              <c16:uniqueId val="{00000000-6F54-420C-A395-E55612ACAF6C}"/>
            </c:ext>
          </c:extLst>
        </c:ser>
        <c:ser>
          <c:idx val="4"/>
          <c:order val="1"/>
          <c:tx>
            <c:strRef>
              <c:f>Shock1_U!$R$2</c:f>
              <c:strCache>
                <c:ptCount val="1"/>
                <c:pt idx="0">
                  <c:v>p0.16</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Shock1_U!$R$3:$R$22</c:f>
              <c:numCache>
                <c:formatCode>General</c:formatCode>
                <c:ptCount val="20"/>
                <c:pt idx="0">
                  <c:v>-29.979518772044496</c:v>
                </c:pt>
                <c:pt idx="1">
                  <c:v>-15.129962129976384</c:v>
                </c:pt>
                <c:pt idx="2">
                  <c:v>-27.50804192534045</c:v>
                </c:pt>
                <c:pt idx="3">
                  <c:v>-16.368812156455459</c:v>
                </c:pt>
                <c:pt idx="4">
                  <c:v>-21.649458672372454</c:v>
                </c:pt>
                <c:pt idx="5">
                  <c:v>-13.170716293717923</c:v>
                </c:pt>
                <c:pt idx="6">
                  <c:v>-14.989707781274976</c:v>
                </c:pt>
                <c:pt idx="7">
                  <c:v>-9.1553558105680413</c:v>
                </c:pt>
                <c:pt idx="8">
                  <c:v>-10.855843321278565</c:v>
                </c:pt>
                <c:pt idx="9">
                  <c:v>-7.0063493034708921</c:v>
                </c:pt>
                <c:pt idx="10">
                  <c:v>-8.1067229025062755</c:v>
                </c:pt>
                <c:pt idx="11">
                  <c:v>-5.5749334545268479</c:v>
                </c:pt>
                <c:pt idx="12">
                  <c:v>-6.0479311087426044</c:v>
                </c:pt>
                <c:pt idx="13">
                  <c:v>-4.1199594743698507</c:v>
                </c:pt>
                <c:pt idx="14">
                  <c:v>-4.5261948433847117</c:v>
                </c:pt>
                <c:pt idx="15">
                  <c:v>-3.4287501163226692</c:v>
                </c:pt>
                <c:pt idx="16">
                  <c:v>-3.8733176984454789</c:v>
                </c:pt>
                <c:pt idx="17">
                  <c:v>-3.0329111223080925</c:v>
                </c:pt>
                <c:pt idx="18">
                  <c:v>-3.3067193837321356</c:v>
                </c:pt>
                <c:pt idx="19">
                  <c:v>-2.5578359908980794</c:v>
                </c:pt>
              </c:numCache>
            </c:numRef>
          </c:val>
          <c:smooth val="0"/>
          <c:extLst>
            <c:ext xmlns:c16="http://schemas.microsoft.com/office/drawing/2014/chart" uri="{C3380CC4-5D6E-409C-BE32-E72D297353CC}">
              <c16:uniqueId val="{00000001-6F54-420C-A395-E55612ACAF6C}"/>
            </c:ext>
          </c:extLst>
        </c:ser>
        <c:ser>
          <c:idx val="5"/>
          <c:order val="2"/>
          <c:tx>
            <c:strRef>
              <c:f>Shock1_U!$S$2</c:f>
              <c:strCache>
                <c:ptCount val="1"/>
                <c:pt idx="0">
                  <c:v>p0.84</c:v>
                </c:pt>
              </c:strCache>
            </c:strRef>
          </c:tx>
          <c:spPr>
            <a:ln w="19050" cap="rnd">
              <a:solidFill>
                <a:schemeClr val="tx1"/>
              </a:solidFill>
              <a:prstDash val="sysDash"/>
              <a:round/>
            </a:ln>
            <a:effectLst/>
          </c:spPr>
          <c:marker>
            <c:symbol val="none"/>
          </c:marker>
          <c:cat>
            <c:numRef>
              <c:f>Shock1_U!$A$3:$A$22</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cat>
          <c:val>
            <c:numRef>
              <c:f>Shock1_U!$S$3:$S$22</c:f>
              <c:numCache>
                <c:formatCode>General</c:formatCode>
                <c:ptCount val="20"/>
                <c:pt idx="0">
                  <c:v>-6.834030290028867</c:v>
                </c:pt>
                <c:pt idx="1">
                  <c:v>0.10814885209076963</c:v>
                </c:pt>
                <c:pt idx="2">
                  <c:v>-8.5481332627600679</c:v>
                </c:pt>
                <c:pt idx="3">
                  <c:v>-2.109184662777023</c:v>
                </c:pt>
                <c:pt idx="4">
                  <c:v>-4.3569300174257037</c:v>
                </c:pt>
                <c:pt idx="5">
                  <c:v>1.0070253814562549</c:v>
                </c:pt>
                <c:pt idx="6">
                  <c:v>0.54779193123636261</c:v>
                </c:pt>
                <c:pt idx="7">
                  <c:v>4.8924848184365644</c:v>
                </c:pt>
                <c:pt idx="8">
                  <c:v>4.5632363512055782</c:v>
                </c:pt>
                <c:pt idx="9">
                  <c:v>8.2448983644839249</c:v>
                </c:pt>
                <c:pt idx="10">
                  <c:v>8.9664402779806984</c:v>
                </c:pt>
                <c:pt idx="11">
                  <c:v>11.649159469789774</c:v>
                </c:pt>
                <c:pt idx="12">
                  <c:v>11.552893640627941</c:v>
                </c:pt>
                <c:pt idx="13">
                  <c:v>13.183108725028847</c:v>
                </c:pt>
                <c:pt idx="14">
                  <c:v>13.281738322020791</c:v>
                </c:pt>
                <c:pt idx="15">
                  <c:v>14.292020870822867</c:v>
                </c:pt>
                <c:pt idx="16">
                  <c:v>14.387372287607548</c:v>
                </c:pt>
                <c:pt idx="17">
                  <c:v>14.422667142843267</c:v>
                </c:pt>
                <c:pt idx="18">
                  <c:v>13.877180218696116</c:v>
                </c:pt>
                <c:pt idx="19">
                  <c:v>14.347855434119523</c:v>
                </c:pt>
              </c:numCache>
            </c:numRef>
          </c:val>
          <c:smooth val="0"/>
          <c:extLst>
            <c:ext xmlns:c16="http://schemas.microsoft.com/office/drawing/2014/chart" uri="{C3380CC4-5D6E-409C-BE32-E72D297353CC}">
              <c16:uniqueId val="{00000002-6F54-420C-A395-E55612ACAF6C}"/>
            </c:ext>
          </c:extLst>
        </c:ser>
        <c:dLbls>
          <c:showLegendKey val="0"/>
          <c:showVal val="0"/>
          <c:showCatName val="0"/>
          <c:showSerName val="0"/>
          <c:showPercent val="0"/>
          <c:showBubbleSize val="0"/>
        </c:dLbls>
        <c:smooth val="0"/>
        <c:axId val="41013632"/>
        <c:axId val="41015168"/>
      </c:lineChart>
      <c:catAx>
        <c:axId val="41013632"/>
        <c:scaling>
          <c:orientation val="minMax"/>
        </c:scaling>
        <c:delete val="0"/>
        <c:axPos val="b"/>
        <c:numFmt formatCode="General" sourceLinked="1"/>
        <c:majorTickMark val="in"/>
        <c:minorTickMark val="none"/>
        <c:tickLblPos val="low"/>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015168"/>
        <c:crosses val="autoZero"/>
        <c:auto val="1"/>
        <c:lblAlgn val="ctr"/>
        <c:lblOffset val="100"/>
        <c:tickLblSkip val="2"/>
        <c:noMultiLvlLbl val="0"/>
      </c:catAx>
      <c:valAx>
        <c:axId val="41015168"/>
        <c:scaling>
          <c:orientation val="minMax"/>
        </c:scaling>
        <c:delete val="0"/>
        <c:axPos val="l"/>
        <c:majorGridlines>
          <c:spPr>
            <a:ln w="9525" cap="flat" cmpd="sng" algn="ctr">
              <a:no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TW"/>
          </a:p>
        </c:txPr>
        <c:crossAx val="41013632"/>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sz="1000">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0.12575</cdr:x>
      <cdr:y>0.1414</cdr:y>
    </cdr:from>
    <cdr:to>
      <cdr:x>0.17485</cdr:x>
      <cdr:y>0.2907</cdr:y>
    </cdr:to>
    <cdr:cxnSp macro="">
      <cdr:nvCxnSpPr>
        <cdr:cNvPr id="2" name="Straight Arrow Connector 3"/>
        <cdr:cNvCxnSpPr/>
      </cdr:nvCxnSpPr>
      <cdr:spPr>
        <a:xfrm xmlns:a="http://schemas.openxmlformats.org/drawingml/2006/main" flipH="1">
          <a:off x="666750" y="386080"/>
          <a:ext cx="260350" cy="407670"/>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0.28144</cdr:x>
      <cdr:y>0.2907</cdr:y>
    </cdr:from>
    <cdr:to>
      <cdr:x>0.33174</cdr:x>
      <cdr:y>0.29535</cdr:y>
    </cdr:to>
    <cdr:cxnSp macro="">
      <cdr:nvCxnSpPr>
        <cdr:cNvPr id="3" name="Straight Arrow Connector 4"/>
        <cdr:cNvCxnSpPr/>
      </cdr:nvCxnSpPr>
      <cdr:spPr>
        <a:xfrm xmlns:a="http://schemas.openxmlformats.org/drawingml/2006/main" flipV="1">
          <a:off x="1492250" y="793750"/>
          <a:ext cx="266700" cy="12700"/>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0.31377</cdr:x>
      <cdr:y>0.1186</cdr:y>
    </cdr:from>
    <cdr:to>
      <cdr:x>0.3521</cdr:x>
      <cdr:y>0.2</cdr:y>
    </cdr:to>
    <cdr:cxnSp macro="">
      <cdr:nvCxnSpPr>
        <cdr:cNvPr id="5" name="Straight Arrow Connector 6"/>
        <cdr:cNvCxnSpPr/>
      </cdr:nvCxnSpPr>
      <cdr:spPr>
        <a:xfrm xmlns:a="http://schemas.openxmlformats.org/drawingml/2006/main">
          <a:off x="1663700" y="323850"/>
          <a:ext cx="203200" cy="222250"/>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0.41039</cdr:x>
      <cdr:y>0.23488</cdr:y>
    </cdr:from>
    <cdr:to>
      <cdr:x>0.42972</cdr:x>
      <cdr:y>0.32161</cdr:y>
    </cdr:to>
    <cdr:cxnSp macro="">
      <cdr:nvCxnSpPr>
        <cdr:cNvPr id="9" name="Straight Arrow Connector 9"/>
        <cdr:cNvCxnSpPr/>
      </cdr:nvCxnSpPr>
      <cdr:spPr>
        <a:xfrm xmlns:a="http://schemas.openxmlformats.org/drawingml/2006/main">
          <a:off x="2176016" y="641350"/>
          <a:ext cx="102492" cy="236816"/>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0.48862</cdr:x>
      <cdr:y>0.12061</cdr:y>
    </cdr:from>
    <cdr:to>
      <cdr:x>0.51658</cdr:x>
      <cdr:y>0.19767</cdr:y>
    </cdr:to>
    <cdr:cxnSp macro="">
      <cdr:nvCxnSpPr>
        <cdr:cNvPr id="14" name="Straight Arrow Connector 12"/>
        <cdr:cNvCxnSpPr/>
      </cdr:nvCxnSpPr>
      <cdr:spPr>
        <a:xfrm xmlns:a="http://schemas.openxmlformats.org/drawingml/2006/main" flipH="1">
          <a:off x="2590800" y="329321"/>
          <a:ext cx="148223" cy="210429"/>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0.59521</cdr:x>
      <cdr:y>0.15698</cdr:y>
    </cdr:from>
    <cdr:to>
      <cdr:x>0.67243</cdr:x>
      <cdr:y>0.23023</cdr:y>
    </cdr:to>
    <cdr:cxnSp macro="">
      <cdr:nvCxnSpPr>
        <cdr:cNvPr id="17" name="Straight Arrow Connector 15"/>
        <cdr:cNvCxnSpPr/>
      </cdr:nvCxnSpPr>
      <cdr:spPr>
        <a:xfrm xmlns:a="http://schemas.openxmlformats.org/drawingml/2006/main" flipV="1">
          <a:off x="3155950" y="428626"/>
          <a:ext cx="409459" cy="200024"/>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0.71497</cdr:x>
      <cdr:y>0.12512</cdr:y>
    </cdr:from>
    <cdr:to>
      <cdr:x>0.71617</cdr:x>
      <cdr:y>0.2907</cdr:y>
    </cdr:to>
    <cdr:cxnSp macro="">
      <cdr:nvCxnSpPr>
        <cdr:cNvPr id="22" name="Straight Arrow Connector 14"/>
        <cdr:cNvCxnSpPr/>
      </cdr:nvCxnSpPr>
      <cdr:spPr>
        <a:xfrm xmlns:a="http://schemas.openxmlformats.org/drawingml/2006/main">
          <a:off x="3790950" y="341630"/>
          <a:ext cx="6352" cy="452120"/>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0.7584</cdr:x>
      <cdr:y>0.25349</cdr:y>
    </cdr:from>
    <cdr:to>
      <cdr:x>0.76766</cdr:x>
      <cdr:y>0.31851</cdr:y>
    </cdr:to>
    <cdr:cxnSp macro="">
      <cdr:nvCxnSpPr>
        <cdr:cNvPr id="24" name="Straight Arrow Connector 9"/>
        <cdr:cNvCxnSpPr/>
      </cdr:nvCxnSpPr>
      <cdr:spPr>
        <a:xfrm xmlns:a="http://schemas.openxmlformats.org/drawingml/2006/main" flipH="1">
          <a:off x="4021216" y="692150"/>
          <a:ext cx="49134" cy="177554"/>
        </a:xfrm>
        <a:prstGeom xmlns:a="http://schemas.openxmlformats.org/drawingml/2006/main" prst="straightConnector1">
          <a:avLst/>
        </a:prstGeom>
        <a:ln xmlns:a="http://schemas.openxmlformats.org/drawingml/2006/main">
          <a:solidFill>
            <a:schemeClr val="tx1">
              <a:lumMod val="50000"/>
              <a:lumOff val="50000"/>
            </a:schemeClr>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2D47-B8DD-4FE7-ACCC-B60906A6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56</Pages>
  <Words>12507</Words>
  <Characters>71291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public</dc:creator>
  <cp:lastModifiedBy>Devin Wu</cp:lastModifiedBy>
  <cp:revision>63</cp:revision>
  <cp:lastPrinted>2018-07-17T07:55:00Z</cp:lastPrinted>
  <dcterms:created xsi:type="dcterms:W3CDTF">2019-08-23T09:42:00Z</dcterms:created>
  <dcterms:modified xsi:type="dcterms:W3CDTF">2019-08-26T04:42:00Z</dcterms:modified>
</cp:coreProperties>
</file>