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501" w:rsidRDefault="009D3501" w:rsidP="009D3501">
      <w:pPr>
        <w:spacing w:after="160" w:line="480" w:lineRule="auto"/>
        <w:jc w:val="both"/>
      </w:pPr>
      <w:bookmarkStart w:id="0" w:name="_GoBack"/>
      <w:bookmarkEnd w:id="0"/>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0"/>
        <w:gridCol w:w="1134"/>
        <w:gridCol w:w="972"/>
        <w:gridCol w:w="1223"/>
        <w:gridCol w:w="1222"/>
        <w:gridCol w:w="1223"/>
        <w:gridCol w:w="813"/>
        <w:gridCol w:w="1095"/>
      </w:tblGrid>
      <w:tr w:rsidR="009D3501" w:rsidRPr="00E25697" w:rsidTr="00253B06">
        <w:trPr>
          <w:jc w:val="center"/>
        </w:trPr>
        <w:tc>
          <w:tcPr>
            <w:tcW w:w="1560" w:type="dxa"/>
            <w:vMerge w:val="restart"/>
            <w:tcBorders>
              <w:left w:val="nil"/>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Economy</w:t>
            </w:r>
          </w:p>
        </w:tc>
        <w:tc>
          <w:tcPr>
            <w:tcW w:w="1134" w:type="dxa"/>
            <w:vMerge w:val="restart"/>
            <w:tcBorders>
              <w:left w:val="nil"/>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Start</w:t>
            </w:r>
          </w:p>
        </w:tc>
        <w:tc>
          <w:tcPr>
            <w:tcW w:w="972" w:type="dxa"/>
            <w:vMerge w:val="restart"/>
            <w:tcBorders>
              <w:left w:val="nil"/>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End</w:t>
            </w:r>
          </w:p>
        </w:tc>
        <w:tc>
          <w:tcPr>
            <w:tcW w:w="1223" w:type="dxa"/>
            <w:vMerge w:val="restart"/>
            <w:tcBorders>
              <w:left w:val="nil"/>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Number of months</w:t>
            </w:r>
          </w:p>
        </w:tc>
        <w:tc>
          <w:tcPr>
            <w:tcW w:w="3258" w:type="dxa"/>
            <w:gridSpan w:val="3"/>
            <w:tcBorders>
              <w:left w:val="nil"/>
              <w:bottom w:val="single" w:sz="4" w:space="0" w:color="auto"/>
              <w:right w:val="nil"/>
            </w:tcBorders>
            <w:vAlign w:val="center"/>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No of forecasters</w:t>
            </w:r>
          </w:p>
        </w:tc>
        <w:tc>
          <w:tcPr>
            <w:tcW w:w="1095" w:type="dxa"/>
            <w:vMerge w:val="restart"/>
            <w:tcBorders>
              <w:left w:val="nil"/>
              <w:right w:val="nil"/>
            </w:tcBorders>
          </w:tcPr>
          <w:p w:rsidR="009D3501" w:rsidRPr="00D80A06" w:rsidRDefault="009D3501" w:rsidP="00253B06">
            <w:pPr>
              <w:pStyle w:val="TableRowHeading"/>
              <w:keepNext/>
              <w:keepLines/>
              <w:tabs>
                <w:tab w:val="clear" w:pos="397"/>
                <w:tab w:val="clear" w:pos="794"/>
                <w:tab w:val="clear" w:pos="1191"/>
              </w:tabs>
              <w:spacing w:before="30" w:after="30"/>
              <w:jc w:val="center"/>
              <w:rPr>
                <w:rFonts w:ascii="Times New Roman" w:hAnsi="Times New Roman"/>
                <w:sz w:val="18"/>
                <w:szCs w:val="18"/>
              </w:rPr>
            </w:pPr>
            <w:r w:rsidRPr="00D80A06">
              <w:rPr>
                <w:rFonts w:ascii="Times New Roman" w:hAnsi="Times New Roman"/>
                <w:sz w:val="18"/>
                <w:szCs w:val="18"/>
              </w:rPr>
              <w:t>Total observations</w:t>
            </w:r>
          </w:p>
        </w:tc>
      </w:tr>
      <w:tr w:rsidR="009D3501" w:rsidRPr="00E25697" w:rsidTr="00253B06">
        <w:trPr>
          <w:trHeight w:val="70"/>
          <w:jc w:val="center"/>
        </w:trPr>
        <w:tc>
          <w:tcPr>
            <w:tcW w:w="1560" w:type="dxa"/>
            <w:vMerge/>
            <w:tcBorders>
              <w:left w:val="nil"/>
              <w:bottom w:val="single" w:sz="4" w:space="0" w:color="auto"/>
              <w:right w:val="nil"/>
            </w:tcBorders>
          </w:tcPr>
          <w:p w:rsidR="009D3501" w:rsidRPr="00E25697" w:rsidRDefault="009D3501" w:rsidP="00253B06">
            <w:pPr>
              <w:pStyle w:val="TableRowHeading"/>
              <w:keepNext/>
              <w:keepLines/>
              <w:spacing w:before="30" w:after="30"/>
              <w:rPr>
                <w:rFonts w:ascii="Times New Roman" w:hAnsi="Times New Roman"/>
                <w:sz w:val="20"/>
              </w:rPr>
            </w:pPr>
          </w:p>
        </w:tc>
        <w:tc>
          <w:tcPr>
            <w:tcW w:w="1134" w:type="dxa"/>
            <w:vMerge/>
            <w:tcBorders>
              <w:left w:val="nil"/>
              <w:bottom w:val="single" w:sz="4" w:space="0" w:color="auto"/>
              <w:right w:val="nil"/>
            </w:tcBorders>
          </w:tcPr>
          <w:p w:rsidR="009D3501" w:rsidRPr="00E25697" w:rsidRDefault="009D3501" w:rsidP="00253B06">
            <w:pPr>
              <w:pStyle w:val="TableRowHeading"/>
              <w:keepNext/>
              <w:keepLines/>
              <w:spacing w:before="30" w:after="30"/>
              <w:rPr>
                <w:rFonts w:ascii="Times New Roman" w:hAnsi="Times New Roman"/>
                <w:sz w:val="20"/>
              </w:rPr>
            </w:pPr>
          </w:p>
        </w:tc>
        <w:tc>
          <w:tcPr>
            <w:tcW w:w="972" w:type="dxa"/>
            <w:vMerge/>
            <w:tcBorders>
              <w:left w:val="nil"/>
              <w:bottom w:val="single" w:sz="4" w:space="0" w:color="auto"/>
              <w:right w:val="nil"/>
            </w:tcBorders>
          </w:tcPr>
          <w:p w:rsidR="009D3501" w:rsidRPr="00E25697" w:rsidRDefault="009D3501" w:rsidP="00253B06">
            <w:pPr>
              <w:pStyle w:val="TableRowHeading"/>
              <w:keepNext/>
              <w:keepLines/>
              <w:spacing w:before="30" w:after="30"/>
              <w:rPr>
                <w:rFonts w:ascii="Times New Roman" w:hAnsi="Times New Roman"/>
                <w:sz w:val="20"/>
              </w:rPr>
            </w:pPr>
          </w:p>
        </w:tc>
        <w:tc>
          <w:tcPr>
            <w:tcW w:w="1223" w:type="dxa"/>
            <w:vMerge/>
            <w:tcBorders>
              <w:left w:val="nil"/>
              <w:bottom w:val="single" w:sz="4" w:space="0" w:color="auto"/>
              <w:right w:val="nil"/>
            </w:tcBorders>
          </w:tcPr>
          <w:p w:rsidR="009D3501" w:rsidRPr="00E25697" w:rsidRDefault="009D3501" w:rsidP="00253B06">
            <w:pPr>
              <w:pStyle w:val="TableRowHeading"/>
              <w:keepNext/>
              <w:keepLines/>
              <w:spacing w:before="30" w:after="30"/>
              <w:rPr>
                <w:rFonts w:ascii="Times New Roman" w:hAnsi="Times New Roman"/>
                <w:sz w:val="20"/>
              </w:rPr>
            </w:pPr>
          </w:p>
        </w:tc>
        <w:tc>
          <w:tcPr>
            <w:tcW w:w="1222" w:type="dxa"/>
            <w:tcBorders>
              <w:left w:val="nil"/>
              <w:bottom w:val="single" w:sz="4" w:space="0" w:color="auto"/>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Minimum</w:t>
            </w:r>
          </w:p>
        </w:tc>
        <w:tc>
          <w:tcPr>
            <w:tcW w:w="1223" w:type="dxa"/>
            <w:tcBorders>
              <w:left w:val="nil"/>
              <w:bottom w:val="single" w:sz="4" w:space="0" w:color="auto"/>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Maximum</w:t>
            </w:r>
          </w:p>
        </w:tc>
        <w:tc>
          <w:tcPr>
            <w:tcW w:w="813" w:type="dxa"/>
            <w:tcBorders>
              <w:left w:val="nil"/>
              <w:bottom w:val="single" w:sz="4" w:space="0" w:color="auto"/>
              <w:right w:val="nil"/>
            </w:tcBorders>
          </w:tcPr>
          <w:p w:rsidR="009D3501" w:rsidRPr="00D80A06" w:rsidRDefault="009D3501" w:rsidP="00253B06">
            <w:pPr>
              <w:pStyle w:val="TableRowHeading"/>
              <w:keepNext/>
              <w:keepLines/>
              <w:spacing w:before="30" w:after="30"/>
              <w:jc w:val="center"/>
              <w:rPr>
                <w:rFonts w:ascii="Times New Roman" w:hAnsi="Times New Roman"/>
                <w:sz w:val="18"/>
                <w:szCs w:val="18"/>
              </w:rPr>
            </w:pPr>
            <w:r w:rsidRPr="00D80A06">
              <w:rPr>
                <w:rFonts w:ascii="Times New Roman" w:hAnsi="Times New Roman"/>
                <w:sz w:val="18"/>
                <w:szCs w:val="18"/>
              </w:rPr>
              <w:t>Average</w:t>
            </w:r>
          </w:p>
        </w:tc>
        <w:tc>
          <w:tcPr>
            <w:tcW w:w="1095" w:type="dxa"/>
            <w:vMerge/>
            <w:tcBorders>
              <w:left w:val="nil"/>
              <w:bottom w:val="single" w:sz="4" w:space="0" w:color="auto"/>
              <w:right w:val="nil"/>
            </w:tcBorders>
            <w:vAlign w:val="center"/>
          </w:tcPr>
          <w:p w:rsidR="009D3501" w:rsidRPr="00E25697" w:rsidRDefault="009D3501" w:rsidP="00253B06">
            <w:pPr>
              <w:pStyle w:val="TableRowHeading"/>
              <w:keepNext/>
              <w:keepLines/>
              <w:spacing w:before="30" w:after="30"/>
              <w:rPr>
                <w:rFonts w:ascii="Times New Roman" w:hAnsi="Times New Roman"/>
                <w:sz w:val="20"/>
              </w:rPr>
            </w:pPr>
          </w:p>
        </w:tc>
      </w:tr>
      <w:tr w:rsidR="009D3501" w:rsidRPr="00E25697" w:rsidTr="00253B06">
        <w:trPr>
          <w:jc w:val="center"/>
        </w:trPr>
        <w:tc>
          <w:tcPr>
            <w:tcW w:w="1560"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Argentina</w:t>
            </w:r>
          </w:p>
        </w:tc>
        <w:tc>
          <w:tcPr>
            <w:tcW w:w="1134"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Apr.16</w:t>
            </w:r>
          </w:p>
        </w:tc>
        <w:tc>
          <w:tcPr>
            <w:tcW w:w="1223"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181</w:t>
            </w:r>
          </w:p>
        </w:tc>
        <w:tc>
          <w:tcPr>
            <w:tcW w:w="1222"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c>
          <w:tcPr>
            <w:tcW w:w="813"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15.1</w:t>
            </w:r>
          </w:p>
        </w:tc>
        <w:tc>
          <w:tcPr>
            <w:tcW w:w="1095" w:type="dxa"/>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2734</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Bulgaria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11.9</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1309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Brazil</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183</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27</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18.0</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3303</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Canada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318</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20</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4847</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Switzerland</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Jun.98</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218</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13.3</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2891</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Chile</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184</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23</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17.0</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3122</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China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24</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17.9</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4624</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Colombia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184</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2251</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Czech Republic</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17.0</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1869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Germany</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26.5</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8457</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Estonia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111</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1023</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Spain</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Jan.95</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13.9</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3607</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France</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17.8</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5692</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UK (CPI)</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Jan.05</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138</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29</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24.5</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3382</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UK (RPI)</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Dec.04</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39</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29.5</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5308</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Hong Kong SAR</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3984</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Croatia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11.3</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1238</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Hungary</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16.5</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1810</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Indonesia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20</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13.9</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3601</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Italy</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13.8</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4406</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Japan</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318</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5</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5481</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Korea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3949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Lithuania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8.0</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883</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Latvia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9.5</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1043</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Mexico</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184</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27</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19.3</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3549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Malaysia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23</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15.1</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3916</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Netherlands</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Jan.95</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2430</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Norway</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Jun.98</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217</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5</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2007</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Peru</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184</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11.8</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2177</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Philippines</w:t>
            </w:r>
            <w:r w:rsidRPr="00D80A06">
              <w:rPr>
                <w:rFonts w:ascii="Times New Roman" w:hAnsi="Times New Roman"/>
                <w:sz w:val="16"/>
                <w:szCs w:val="16"/>
                <w:vertAlign w:val="superscript"/>
              </w:rPr>
              <w:t>1</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1526</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Poland</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17.3</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1901</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Romania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111</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1374</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Russia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111</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24</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16.3</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1807</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Sweden</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Jan.95</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258</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3470</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Singapore</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259</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14.7</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3800</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Slovenia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111</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10.6</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1179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Slovakia</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1249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Thailand</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13.9</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3623</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Turkey</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111</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15.2</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1683</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lastRenderedPageBreak/>
              <w:t>Chinese Taipei</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Dec.94</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260</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14.3</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3720</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Ukraine</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May.07</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111</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14.4</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1599</w:t>
            </w:r>
          </w:p>
        </w:tc>
      </w:tr>
      <w:tr w:rsidR="009D3501" w:rsidRPr="00E25697" w:rsidTr="00253B06">
        <w:trPr>
          <w:jc w:val="center"/>
        </w:trPr>
        <w:tc>
          <w:tcPr>
            <w:tcW w:w="1560"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United States</w:t>
            </w:r>
          </w:p>
        </w:tc>
        <w:tc>
          <w:tcPr>
            <w:tcW w:w="1134"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Jan.90</w:t>
            </w:r>
          </w:p>
        </w:tc>
        <w:tc>
          <w:tcPr>
            <w:tcW w:w="97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318</w:t>
            </w:r>
          </w:p>
        </w:tc>
        <w:tc>
          <w:tcPr>
            <w:tcW w:w="1222"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c>
          <w:tcPr>
            <w:tcW w:w="122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33</w:t>
            </w:r>
          </w:p>
        </w:tc>
        <w:tc>
          <w:tcPr>
            <w:tcW w:w="813"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25.8</w:t>
            </w:r>
          </w:p>
        </w:tc>
        <w:tc>
          <w:tcPr>
            <w:tcW w:w="1095" w:type="dxa"/>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8203</w:t>
            </w:r>
          </w:p>
        </w:tc>
      </w:tr>
      <w:tr w:rsidR="009D3501" w:rsidRPr="00E25697" w:rsidTr="00253B06">
        <w:trPr>
          <w:jc w:val="center"/>
        </w:trPr>
        <w:tc>
          <w:tcPr>
            <w:tcW w:w="1560"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Venezuela</w:t>
            </w:r>
          </w:p>
        </w:tc>
        <w:tc>
          <w:tcPr>
            <w:tcW w:w="1134"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Apr.01</w:t>
            </w:r>
          </w:p>
        </w:tc>
        <w:tc>
          <w:tcPr>
            <w:tcW w:w="972"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Dec.15</w:t>
            </w:r>
          </w:p>
        </w:tc>
        <w:tc>
          <w:tcPr>
            <w:tcW w:w="1223"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177</w:t>
            </w:r>
          </w:p>
        </w:tc>
        <w:tc>
          <w:tcPr>
            <w:tcW w:w="1222"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w:t>
            </w:r>
          </w:p>
        </w:tc>
        <w:tc>
          <w:tcPr>
            <w:tcW w:w="1223"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813"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13.6</w:t>
            </w:r>
          </w:p>
        </w:tc>
        <w:tc>
          <w:tcPr>
            <w:tcW w:w="1095" w:type="dxa"/>
            <w:tcBorders>
              <w:top w:val="single" w:sz="4" w:space="0" w:color="BCBDBC"/>
              <w:left w:val="nil"/>
              <w:bottom w:val="single" w:sz="4" w:space="0" w:color="auto"/>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2402</w:t>
            </w:r>
          </w:p>
        </w:tc>
      </w:tr>
    </w:tbl>
    <w:p w:rsidR="009D3501" w:rsidRDefault="009D3501" w:rsidP="009D3501">
      <w:pPr>
        <w:spacing w:line="360" w:lineRule="auto"/>
        <w:rPr>
          <w:rFonts w:ascii="Times New Roman" w:hAnsi="Times New Roman"/>
          <w:sz w:val="24"/>
          <w:szCs w:val="24"/>
        </w:rPr>
      </w:pPr>
      <w:r>
        <w:rPr>
          <w:rFonts w:ascii="Times New Roman" w:hAnsi="Times New Roman"/>
          <w:sz w:val="24"/>
          <w:szCs w:val="24"/>
        </w:rPr>
        <w:t>Online Annex Table A1: Data coverage</w:t>
      </w:r>
    </w:p>
    <w:p w:rsidR="009D3501" w:rsidRDefault="009D3501" w:rsidP="009D3501">
      <w:pPr>
        <w:rPr>
          <w:rFonts w:ascii="Times New Roman" w:hAnsi="Times New Roman"/>
          <w:sz w:val="24"/>
          <w:szCs w:val="24"/>
        </w:rPr>
      </w:pPr>
      <w:r>
        <w:rPr>
          <w:rFonts w:ascii="Times New Roman" w:hAnsi="Times New Roman"/>
          <w:sz w:val="24"/>
          <w:szCs w:val="24"/>
        </w:rPr>
        <w:br w:type="page"/>
      </w:r>
    </w:p>
    <w:p w:rsidR="009D3501" w:rsidRPr="00731C8B" w:rsidRDefault="009D3501" w:rsidP="009D3501">
      <w:pPr>
        <w:spacing w:line="360" w:lineRule="auto"/>
        <w:rPr>
          <w:rFonts w:ascii="Times New Roman" w:hAnsi="Times New Roman"/>
          <w:sz w:val="24"/>
          <w:szCs w:val="24"/>
        </w:rPr>
      </w:pP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21"/>
        <w:gridCol w:w="1321"/>
        <w:gridCol w:w="1322"/>
        <w:gridCol w:w="1320"/>
        <w:gridCol w:w="1320"/>
        <w:gridCol w:w="1320"/>
        <w:gridCol w:w="1318"/>
      </w:tblGrid>
      <w:tr w:rsidR="009D3501" w:rsidRPr="00731C8B" w:rsidTr="00253B06">
        <w:trPr>
          <w:trHeight w:val="266"/>
          <w:jc w:val="center"/>
        </w:trPr>
        <w:tc>
          <w:tcPr>
            <w:tcW w:w="715"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Economy</w:t>
            </w:r>
          </w:p>
        </w:tc>
        <w:tc>
          <w:tcPr>
            <w:tcW w:w="715"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Start</w:t>
            </w:r>
          </w:p>
        </w:tc>
        <w:tc>
          <w:tcPr>
            <w:tcW w:w="715"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End</w:t>
            </w:r>
          </w:p>
        </w:tc>
        <w:tc>
          <w:tcPr>
            <w:tcW w:w="714"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Length (months)</w:t>
            </w:r>
          </w:p>
        </w:tc>
        <w:tc>
          <w:tcPr>
            <w:tcW w:w="714"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Minimum current year forecast</w:t>
            </w:r>
          </w:p>
        </w:tc>
        <w:tc>
          <w:tcPr>
            <w:tcW w:w="714"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Minimum next year forecast</w:t>
            </w:r>
          </w:p>
        </w:tc>
        <w:tc>
          <w:tcPr>
            <w:tcW w:w="713" w:type="pct"/>
            <w:tcBorders>
              <w:left w:val="nil"/>
              <w:right w:val="nil"/>
            </w:tcBorders>
          </w:tcPr>
          <w:p w:rsidR="009D3501" w:rsidRPr="00D80A06" w:rsidRDefault="009D3501" w:rsidP="00253B06">
            <w:pPr>
              <w:pStyle w:val="TableRowHeading"/>
              <w:keepNext/>
              <w:keepLines/>
              <w:jc w:val="center"/>
              <w:rPr>
                <w:rFonts w:ascii="Times New Roman" w:hAnsi="Times New Roman"/>
                <w:sz w:val="18"/>
                <w:szCs w:val="18"/>
              </w:rPr>
            </w:pPr>
            <w:r w:rsidRPr="00D80A06">
              <w:rPr>
                <w:rFonts w:ascii="Times New Roman" w:hAnsi="Times New Roman"/>
                <w:sz w:val="18"/>
                <w:szCs w:val="18"/>
              </w:rPr>
              <w:t>Minimum inflation outcome</w:t>
            </w:r>
          </w:p>
        </w:tc>
      </w:tr>
      <w:tr w:rsidR="009D3501" w:rsidRPr="00731C8B" w:rsidTr="00253B06">
        <w:trPr>
          <w:jc w:val="center"/>
        </w:trPr>
        <w:tc>
          <w:tcPr>
            <w:tcW w:w="715" w:type="pct"/>
            <w:tcBorders>
              <w:left w:val="nil"/>
              <w:bottom w:val="single" w:sz="4" w:space="0" w:color="BCBDBC"/>
              <w:right w:val="nil"/>
            </w:tcBorders>
            <w:shd w:val="clear" w:color="auto" w:fill="auto"/>
            <w:vAlign w:val="center"/>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Argentina</w:t>
            </w:r>
          </w:p>
        </w:tc>
        <w:tc>
          <w:tcPr>
            <w:tcW w:w="715" w:type="pct"/>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Jun.01</w:t>
            </w:r>
          </w:p>
        </w:tc>
        <w:tc>
          <w:tcPr>
            <w:tcW w:w="715" w:type="pct"/>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Feb.02</w:t>
            </w:r>
          </w:p>
        </w:tc>
        <w:tc>
          <w:tcPr>
            <w:tcW w:w="714" w:type="pct"/>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714" w:type="pct"/>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c>
          <w:tcPr>
            <w:tcW w:w="714" w:type="pct"/>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c>
          <w:tcPr>
            <w:tcW w:w="713" w:type="pct"/>
            <w:tcBorders>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center"/>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Chile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Aug.09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Mar.10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2.7</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–2.3</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center"/>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Bulgaria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Aug.13</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Apr.15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Estonia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Estonia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Croatia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Hungary</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Sep.14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Lithuania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Latvia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Oct.09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Oct.10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–4.2</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Latvia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Jan.16</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1.7</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Poland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Aug.14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Romania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Jun.15</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–3.5</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Slovenia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Jan.15</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Slovakia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Ukraine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Nov.12</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3.3</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Switzerland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Mar.09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0.6</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Switzerland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Oct.11</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27</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Switzerland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Sep.14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Spain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Mar.09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Spain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France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Italy</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Feb.16</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Japan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Oct.95</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May.96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Japan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Feb.99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Oct.04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Japan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Jun.05</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Jun.06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Japan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Aug.11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Japan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Jun.12</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Jul.13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Sweden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Sep.96</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Jun.97</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–0.4</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Sweden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Jun.98</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Apr.99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0.6</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Sweden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–1.9</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Sweden</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Aug.14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Oct.15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–0.4</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United States</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Mar.09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China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Apr.98</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Jun.00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27</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China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Mar.02</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Feb.03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China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–0.7</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 xml:space="preserve">Hong Kong SAR </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Nov.98</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Aug.04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70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–3.6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–6.1</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Malaysia</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2.0</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–2.5</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Singapore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Jun.98</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Jun.99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–1.5</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Singapore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Nov.01</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Dec.02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–0.4</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Singapore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Feb.10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–0.2</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–0.9</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Singapore</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Nov.14</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0.5</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–1.6</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lastRenderedPageBreak/>
              <w:t>Thailand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May.99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Dec.99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0.3</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2.2</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–1.2</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Thailand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Jan.09</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Nov.09</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11</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–1.0</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2.1</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–4.4</w:t>
            </w:r>
          </w:p>
        </w:tc>
      </w:tr>
      <w:tr w:rsidR="009D3501" w:rsidRPr="00731C8B" w:rsidTr="00253B06">
        <w:trPr>
          <w:jc w:val="center"/>
        </w:trPr>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 w:val="decimal" w:pos="0"/>
              </w:tabs>
              <w:spacing w:before="30" w:after="30"/>
              <w:rPr>
                <w:rFonts w:ascii="Times New Roman" w:hAnsi="Times New Roman"/>
                <w:sz w:val="16"/>
                <w:szCs w:val="16"/>
              </w:rPr>
            </w:pPr>
            <w:r w:rsidRPr="00D80A06">
              <w:rPr>
                <w:rFonts w:ascii="Times New Roman" w:hAnsi="Times New Roman"/>
                <w:sz w:val="16"/>
                <w:szCs w:val="16"/>
              </w:rPr>
              <w:t>Thailand</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Jan.15</w:t>
            </w:r>
          </w:p>
        </w:tc>
        <w:tc>
          <w:tcPr>
            <w:tcW w:w="715"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Jun.16</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–0.8</w:t>
            </w:r>
          </w:p>
        </w:tc>
        <w:tc>
          <w:tcPr>
            <w:tcW w:w="714"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1.4</w:t>
            </w:r>
          </w:p>
        </w:tc>
        <w:tc>
          <w:tcPr>
            <w:tcW w:w="713" w:type="pct"/>
            <w:tcBorders>
              <w:top w:val="single" w:sz="4" w:space="0" w:color="BCBDBC"/>
              <w:left w:val="nil"/>
              <w:bottom w:val="single" w:sz="4" w:space="0" w:color="BCBDBC"/>
              <w:right w:val="nil"/>
            </w:tcBorders>
            <w:shd w:val="clear" w:color="auto" w:fill="auto"/>
            <w:vAlign w:val="bottom"/>
          </w:tcPr>
          <w:p w:rsidR="009D3501" w:rsidRPr="00D80A06" w:rsidRDefault="009D3501" w:rsidP="00253B06">
            <w:pPr>
              <w:pStyle w:val="TableCell"/>
              <w:tabs>
                <w:tab w:val="clear" w:pos="425"/>
              </w:tabs>
              <w:spacing w:before="30" w:after="30"/>
              <w:jc w:val="center"/>
              <w:rPr>
                <w:rFonts w:ascii="Times New Roman" w:hAnsi="Times New Roman"/>
                <w:sz w:val="16"/>
                <w:szCs w:val="16"/>
              </w:rPr>
            </w:pPr>
            <w:r w:rsidRPr="00D80A06">
              <w:rPr>
                <w:rFonts w:ascii="Times New Roman" w:hAnsi="Times New Roman"/>
                <w:sz w:val="16"/>
                <w:szCs w:val="16"/>
              </w:rPr>
              <w:t>–1.3</w:t>
            </w:r>
          </w:p>
        </w:tc>
      </w:tr>
    </w:tbl>
    <w:p w:rsidR="009D3501" w:rsidRDefault="009D3501" w:rsidP="009D3501">
      <w:pPr>
        <w:spacing w:line="360" w:lineRule="auto"/>
        <w:rPr>
          <w:rFonts w:ascii="Times New Roman" w:hAnsi="Times New Roman"/>
          <w:sz w:val="24"/>
          <w:szCs w:val="24"/>
        </w:rPr>
      </w:pPr>
      <w:r>
        <w:rPr>
          <w:rFonts w:ascii="Times New Roman" w:hAnsi="Times New Roman"/>
          <w:sz w:val="24"/>
          <w:szCs w:val="24"/>
        </w:rPr>
        <w:t>Online Annex Table A2: Deflation episodes</w:t>
      </w:r>
    </w:p>
    <w:p w:rsidR="009D3501" w:rsidRDefault="009D3501" w:rsidP="009D3501">
      <w:pPr>
        <w:rPr>
          <w:rFonts w:ascii="Times New Roman" w:hAnsi="Times New Roman"/>
          <w:sz w:val="24"/>
          <w:szCs w:val="24"/>
        </w:rPr>
      </w:pPr>
      <w:r>
        <w:rPr>
          <w:rFonts w:ascii="Times New Roman" w:hAnsi="Times New Roman"/>
          <w:sz w:val="24"/>
          <w:szCs w:val="24"/>
        </w:rPr>
        <w:br w:type="page"/>
      </w:r>
    </w:p>
    <w:p w:rsidR="009D3501" w:rsidRPr="00731C8B" w:rsidRDefault="009D3501" w:rsidP="009D3501">
      <w:pPr>
        <w:spacing w:line="360" w:lineRule="auto"/>
        <w:rPr>
          <w:rFonts w:ascii="Times New Roman" w:hAnsi="Times New Roman"/>
          <w:sz w:val="24"/>
          <w:szCs w:val="24"/>
        </w:rPr>
      </w:pPr>
    </w:p>
    <w:tbl>
      <w:tblPr>
        <w:tblpPr w:leftFromText="180" w:rightFromText="180" w:topFromText="120" w:bottomFromText="240" w:vertAnchor="text" w:tblpXSpec="center" w:tblpY="121"/>
        <w:tblOverlap w:val="neve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21"/>
        <w:gridCol w:w="1321"/>
        <w:gridCol w:w="1322"/>
        <w:gridCol w:w="1320"/>
        <w:gridCol w:w="1320"/>
        <w:gridCol w:w="1320"/>
        <w:gridCol w:w="1318"/>
      </w:tblGrid>
      <w:tr w:rsidR="009D3501" w:rsidRPr="00731C8B" w:rsidTr="00253B06">
        <w:trPr>
          <w:trHeight w:val="266"/>
        </w:trPr>
        <w:tc>
          <w:tcPr>
            <w:tcW w:w="715"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Economy</w:t>
            </w:r>
          </w:p>
        </w:tc>
        <w:tc>
          <w:tcPr>
            <w:tcW w:w="715"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Start</w:t>
            </w:r>
          </w:p>
        </w:tc>
        <w:tc>
          <w:tcPr>
            <w:tcW w:w="715"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End</w:t>
            </w:r>
          </w:p>
        </w:tc>
        <w:tc>
          <w:tcPr>
            <w:tcW w:w="714"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Length (months)</w:t>
            </w:r>
          </w:p>
        </w:tc>
        <w:tc>
          <w:tcPr>
            <w:tcW w:w="714"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 xml:space="preserve">Minimum current year forecast </w:t>
            </w:r>
          </w:p>
        </w:tc>
        <w:tc>
          <w:tcPr>
            <w:tcW w:w="714"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Minimum next year forecast</w:t>
            </w:r>
          </w:p>
        </w:tc>
        <w:tc>
          <w:tcPr>
            <w:tcW w:w="713" w:type="pct"/>
            <w:tcBorders>
              <w:left w:val="nil"/>
              <w:right w:val="nil"/>
            </w:tcBorders>
          </w:tcPr>
          <w:p w:rsidR="009D3501" w:rsidRPr="00DF4EB2" w:rsidRDefault="009D3501" w:rsidP="00253B06">
            <w:pPr>
              <w:pStyle w:val="TableRowHeading"/>
              <w:keepNext/>
              <w:keepLines/>
              <w:rPr>
                <w:rFonts w:ascii="Times New Roman" w:hAnsi="Times New Roman"/>
                <w:sz w:val="18"/>
                <w:szCs w:val="18"/>
              </w:rPr>
            </w:pPr>
            <w:r w:rsidRPr="00DF4EB2">
              <w:rPr>
                <w:rFonts w:ascii="Times New Roman" w:hAnsi="Times New Roman"/>
                <w:sz w:val="18"/>
                <w:szCs w:val="18"/>
              </w:rPr>
              <w:t>Minimum inflation outcome</w:t>
            </w:r>
          </w:p>
        </w:tc>
      </w:tr>
      <w:tr w:rsidR="009D3501" w:rsidRPr="00731C8B" w:rsidTr="00253B06">
        <w:tc>
          <w:tcPr>
            <w:tcW w:w="715"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 w:val="decimal" w:pos="0"/>
              </w:tabs>
              <w:spacing w:before="30" w:after="30"/>
              <w:rPr>
                <w:rFonts w:ascii="Times New Roman" w:hAnsi="Times New Roman"/>
                <w:sz w:val="16"/>
                <w:szCs w:val="16"/>
              </w:rPr>
            </w:pPr>
            <w:r w:rsidRPr="00DF4EB2">
              <w:rPr>
                <w:rFonts w:ascii="Times New Roman" w:hAnsi="Times New Roman"/>
                <w:sz w:val="16"/>
                <w:szCs w:val="16"/>
              </w:rPr>
              <w:t>Chinese Taipei</w:t>
            </w:r>
          </w:p>
        </w:tc>
        <w:tc>
          <w:tcPr>
            <w:tcW w:w="715"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Jun.03</w:t>
            </w:r>
          </w:p>
        </w:tc>
        <w:tc>
          <w:tcPr>
            <w:tcW w:w="715"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Feb.04</w:t>
            </w:r>
          </w:p>
        </w:tc>
        <w:tc>
          <w:tcPr>
            <w:tcW w:w="714"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9</w:t>
            </w:r>
          </w:p>
        </w:tc>
        <w:tc>
          <w:tcPr>
            <w:tcW w:w="714"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–0.3</w:t>
            </w:r>
          </w:p>
        </w:tc>
        <w:tc>
          <w:tcPr>
            <w:tcW w:w="714"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0.5</w:t>
            </w:r>
          </w:p>
        </w:tc>
        <w:tc>
          <w:tcPr>
            <w:tcW w:w="713"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–1.0</w:t>
            </w:r>
          </w:p>
        </w:tc>
      </w:tr>
      <w:tr w:rsidR="009D3501" w:rsidRPr="00731C8B" w:rsidTr="00253B06">
        <w:tc>
          <w:tcPr>
            <w:tcW w:w="715"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 w:val="decimal" w:pos="0"/>
              </w:tabs>
              <w:spacing w:before="30" w:after="30"/>
              <w:rPr>
                <w:rFonts w:ascii="Times New Roman" w:hAnsi="Times New Roman"/>
                <w:sz w:val="16"/>
                <w:szCs w:val="16"/>
              </w:rPr>
            </w:pPr>
            <w:r w:rsidRPr="00DF4EB2">
              <w:rPr>
                <w:rFonts w:ascii="Times New Roman" w:hAnsi="Times New Roman"/>
                <w:sz w:val="16"/>
                <w:szCs w:val="16"/>
              </w:rPr>
              <w:t>Chinese Taipei</w:t>
            </w:r>
          </w:p>
        </w:tc>
        <w:tc>
          <w:tcPr>
            <w:tcW w:w="715"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Feb.09</w:t>
            </w:r>
          </w:p>
        </w:tc>
        <w:tc>
          <w:tcPr>
            <w:tcW w:w="715"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Feb.10</w:t>
            </w:r>
          </w:p>
        </w:tc>
        <w:tc>
          <w:tcPr>
            <w:tcW w:w="714"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13</w:t>
            </w:r>
          </w:p>
        </w:tc>
        <w:tc>
          <w:tcPr>
            <w:tcW w:w="714"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–1.2</w:t>
            </w:r>
          </w:p>
        </w:tc>
        <w:tc>
          <w:tcPr>
            <w:tcW w:w="714"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0.7</w:t>
            </w:r>
          </w:p>
        </w:tc>
        <w:tc>
          <w:tcPr>
            <w:tcW w:w="713" w:type="pct"/>
            <w:tcBorders>
              <w:top w:val="single" w:sz="4" w:space="0" w:color="BCBDBC"/>
              <w:left w:val="nil"/>
              <w:bottom w:val="single" w:sz="4" w:space="0" w:color="BCBDBC"/>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–2.3</w:t>
            </w:r>
          </w:p>
        </w:tc>
      </w:tr>
      <w:tr w:rsidR="009D3501" w:rsidRPr="00731C8B" w:rsidTr="00253B06">
        <w:tc>
          <w:tcPr>
            <w:tcW w:w="715"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 w:val="decimal" w:pos="0"/>
              </w:tabs>
              <w:spacing w:before="30" w:after="30"/>
              <w:rPr>
                <w:rFonts w:ascii="Times New Roman" w:hAnsi="Times New Roman"/>
                <w:sz w:val="16"/>
                <w:szCs w:val="16"/>
              </w:rPr>
            </w:pPr>
            <w:r w:rsidRPr="00DF4EB2">
              <w:rPr>
                <w:rFonts w:ascii="Times New Roman" w:hAnsi="Times New Roman"/>
                <w:sz w:val="16"/>
                <w:szCs w:val="16"/>
              </w:rPr>
              <w:t>Chinese Taipei</w:t>
            </w:r>
          </w:p>
        </w:tc>
        <w:tc>
          <w:tcPr>
            <w:tcW w:w="715"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Jan.15</w:t>
            </w:r>
          </w:p>
        </w:tc>
        <w:tc>
          <w:tcPr>
            <w:tcW w:w="715"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Oct.15</w:t>
            </w:r>
          </w:p>
        </w:tc>
        <w:tc>
          <w:tcPr>
            <w:tcW w:w="714"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10</w:t>
            </w:r>
          </w:p>
        </w:tc>
        <w:tc>
          <w:tcPr>
            <w:tcW w:w="714"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–0.4</w:t>
            </w:r>
          </w:p>
        </w:tc>
        <w:tc>
          <w:tcPr>
            <w:tcW w:w="714"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1.1</w:t>
            </w:r>
          </w:p>
        </w:tc>
        <w:tc>
          <w:tcPr>
            <w:tcW w:w="713" w:type="pct"/>
            <w:tcBorders>
              <w:top w:val="single" w:sz="4" w:space="0" w:color="BCBDBC"/>
              <w:left w:val="nil"/>
              <w:bottom w:val="single" w:sz="4" w:space="0" w:color="auto"/>
              <w:right w:val="nil"/>
            </w:tcBorders>
            <w:shd w:val="clear" w:color="auto" w:fill="auto"/>
            <w:vAlign w:val="bottom"/>
          </w:tcPr>
          <w:p w:rsidR="009D3501" w:rsidRPr="00DF4EB2" w:rsidRDefault="009D3501" w:rsidP="00253B06">
            <w:pPr>
              <w:pStyle w:val="TableCell"/>
              <w:tabs>
                <w:tab w:val="clear" w:pos="425"/>
              </w:tabs>
              <w:spacing w:before="30" w:after="30"/>
              <w:jc w:val="center"/>
              <w:rPr>
                <w:rFonts w:ascii="Times New Roman" w:hAnsi="Times New Roman"/>
                <w:sz w:val="16"/>
                <w:szCs w:val="16"/>
              </w:rPr>
            </w:pPr>
            <w:r w:rsidRPr="00DF4EB2">
              <w:rPr>
                <w:rFonts w:ascii="Times New Roman" w:hAnsi="Times New Roman"/>
                <w:sz w:val="16"/>
                <w:szCs w:val="16"/>
              </w:rPr>
              <w:t>–0.9</w:t>
            </w:r>
          </w:p>
        </w:tc>
      </w:tr>
      <w:tr w:rsidR="009D3501" w:rsidRPr="00731C8B" w:rsidTr="00253B06">
        <w:tc>
          <w:tcPr>
            <w:tcW w:w="5000" w:type="pct"/>
            <w:gridSpan w:val="7"/>
            <w:tcBorders>
              <w:top w:val="single" w:sz="4" w:space="0" w:color="auto"/>
              <w:left w:val="nil"/>
              <w:bottom w:val="nil"/>
              <w:right w:val="nil"/>
            </w:tcBorders>
            <w:shd w:val="clear" w:color="auto" w:fill="auto"/>
            <w:vAlign w:val="bottom"/>
          </w:tcPr>
          <w:p w:rsidR="009D3501" w:rsidRDefault="009D3501" w:rsidP="00253B06">
            <w:pPr>
              <w:pStyle w:val="TableNote"/>
              <w:keepNext/>
              <w:keepLines/>
              <w:rPr>
                <w:rFonts w:ascii="Times New Roman" w:hAnsi="Times New Roman"/>
                <w:sz w:val="24"/>
                <w:szCs w:val="24"/>
              </w:rPr>
            </w:pPr>
            <w:r>
              <w:rPr>
                <w:rFonts w:ascii="Times New Roman" w:hAnsi="Times New Roman"/>
                <w:sz w:val="24"/>
                <w:szCs w:val="24"/>
              </w:rPr>
              <w:t>Online Annex Table A2 (continued): Deflation episodes</w:t>
            </w:r>
          </w:p>
          <w:p w:rsidR="009D3501" w:rsidRPr="00D41318" w:rsidRDefault="009D3501" w:rsidP="00253B06">
            <w:pPr>
              <w:pStyle w:val="TableNote"/>
              <w:keepNext/>
              <w:keepLines/>
              <w:spacing w:line="480" w:lineRule="auto"/>
              <w:rPr>
                <w:rFonts w:ascii="Times New Roman" w:hAnsi="Times New Roman"/>
                <w:sz w:val="20"/>
              </w:rPr>
            </w:pPr>
            <w:r w:rsidRPr="00D41318">
              <w:rPr>
                <w:rStyle w:val="FootnoteReference"/>
                <w:rFonts w:ascii="Times New Roman" w:hAnsi="Times New Roman"/>
                <w:i/>
                <w:sz w:val="20"/>
              </w:rPr>
              <w:t>Notes:</w:t>
            </w:r>
            <w:r w:rsidRPr="00D41318">
              <w:rPr>
                <w:rStyle w:val="FootnoteReference"/>
                <w:rFonts w:ascii="Times New Roman" w:hAnsi="Times New Roman"/>
                <w:sz w:val="20"/>
              </w:rPr>
              <w:t xml:space="preserve"> </w:t>
            </w:r>
            <w:r w:rsidRPr="00D41318">
              <w:rPr>
                <w:rFonts w:ascii="Times New Roman" w:hAnsi="Times New Roman"/>
                <w:sz w:val="20"/>
              </w:rPr>
              <w:t>See the definition of deflation episodes in Graph 1. The length of deflation episodes in this table includes the two consecutive months of positive inflation rates that potentially follow deflation. The minimum forecast refers to the lowest median forecast across forecasters, observed over the deflation episode.</w:t>
            </w:r>
          </w:p>
        </w:tc>
      </w:tr>
    </w:tbl>
    <w:p w:rsidR="009D3501" w:rsidRDefault="009D3501" w:rsidP="009D3501">
      <w:pPr>
        <w:spacing w:line="360" w:lineRule="auto"/>
        <w:rPr>
          <w:rFonts w:ascii="Times New Roman" w:hAnsi="Times New Roman"/>
          <w:sz w:val="24"/>
          <w:szCs w:val="24"/>
        </w:rPr>
      </w:pPr>
    </w:p>
    <w:p w:rsidR="009D3501" w:rsidRDefault="009D3501" w:rsidP="009D3501">
      <w:pPr>
        <w:rPr>
          <w:rFonts w:ascii="Times New Roman" w:hAnsi="Times New Roman"/>
          <w:sz w:val="24"/>
          <w:szCs w:val="24"/>
        </w:rPr>
      </w:pPr>
    </w:p>
    <w:p w:rsidR="002136CE" w:rsidRDefault="002136CE">
      <w:pPr>
        <w:spacing w:after="160" w:line="259" w:lineRule="auto"/>
        <w:rPr>
          <w:rFonts w:ascii="Times New Roman" w:hAnsi="Times New Roman"/>
          <w:sz w:val="24"/>
          <w:szCs w:val="24"/>
        </w:rPr>
      </w:pPr>
      <w:r>
        <w:rPr>
          <w:rFonts w:ascii="Times New Roman" w:hAnsi="Times New Roman"/>
          <w:sz w:val="24"/>
          <w:szCs w:val="24"/>
        </w:rPr>
        <w:br w:type="page"/>
      </w:r>
    </w:p>
    <w:tbl>
      <w:tblPr>
        <w:tblpPr w:leftFromText="180" w:rightFromText="180" w:topFromText="120" w:bottomFromText="240" w:vertAnchor="text" w:tblpXSpec="center" w:tblpY="121"/>
        <w:tblOverlap w:val="neve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52"/>
        <w:gridCol w:w="2551"/>
        <w:gridCol w:w="4139"/>
      </w:tblGrid>
      <w:tr w:rsidR="002136CE" w:rsidRPr="00731C8B" w:rsidTr="001B36EA">
        <w:trPr>
          <w:trHeight w:val="266"/>
        </w:trPr>
        <w:tc>
          <w:tcPr>
            <w:tcW w:w="1381" w:type="pct"/>
            <w:tcBorders>
              <w:left w:val="nil"/>
              <w:right w:val="nil"/>
            </w:tcBorders>
          </w:tcPr>
          <w:p w:rsidR="002136CE" w:rsidRPr="00D80A06" w:rsidRDefault="002136CE" w:rsidP="001B36EA">
            <w:pPr>
              <w:pStyle w:val="TableRowHeading"/>
              <w:keepNext/>
              <w:keepLines/>
              <w:spacing w:line="360" w:lineRule="auto"/>
              <w:rPr>
                <w:rFonts w:ascii="Times New Roman" w:hAnsi="Times New Roman"/>
                <w:sz w:val="20"/>
              </w:rPr>
            </w:pPr>
            <w:r w:rsidRPr="00D80A06">
              <w:rPr>
                <w:rFonts w:ascii="Times New Roman" w:hAnsi="Times New Roman"/>
                <w:sz w:val="20"/>
              </w:rPr>
              <w:lastRenderedPageBreak/>
              <w:t>Variable</w:t>
            </w:r>
          </w:p>
        </w:tc>
        <w:tc>
          <w:tcPr>
            <w:tcW w:w="1380" w:type="pct"/>
            <w:tcBorders>
              <w:left w:val="nil"/>
              <w:right w:val="nil"/>
            </w:tcBorders>
          </w:tcPr>
          <w:p w:rsidR="002136CE" w:rsidRPr="00D80A06" w:rsidRDefault="002136CE" w:rsidP="001B36EA">
            <w:pPr>
              <w:pStyle w:val="TableRowHeading"/>
              <w:keepNext/>
              <w:keepLines/>
              <w:spacing w:line="360" w:lineRule="auto"/>
              <w:rPr>
                <w:rFonts w:ascii="Times New Roman" w:hAnsi="Times New Roman"/>
                <w:sz w:val="20"/>
              </w:rPr>
            </w:pPr>
            <w:r w:rsidRPr="00D80A06">
              <w:rPr>
                <w:rFonts w:ascii="Times New Roman" w:hAnsi="Times New Roman"/>
                <w:sz w:val="20"/>
              </w:rPr>
              <w:t>Source</w:t>
            </w:r>
          </w:p>
        </w:tc>
        <w:tc>
          <w:tcPr>
            <w:tcW w:w="2239" w:type="pct"/>
            <w:tcBorders>
              <w:left w:val="nil"/>
              <w:right w:val="nil"/>
            </w:tcBorders>
          </w:tcPr>
          <w:p w:rsidR="002136CE" w:rsidRPr="00D80A06" w:rsidRDefault="002136CE" w:rsidP="001B36EA">
            <w:pPr>
              <w:pStyle w:val="TableRowHeading"/>
              <w:keepNext/>
              <w:keepLines/>
              <w:spacing w:line="360" w:lineRule="auto"/>
              <w:rPr>
                <w:rFonts w:ascii="Times New Roman" w:hAnsi="Times New Roman"/>
                <w:sz w:val="20"/>
              </w:rPr>
            </w:pPr>
            <w:r w:rsidRPr="00D80A06">
              <w:rPr>
                <w:rFonts w:ascii="Times New Roman" w:hAnsi="Times New Roman"/>
                <w:sz w:val="20"/>
              </w:rPr>
              <w:t>Data transformations</w:t>
            </w:r>
          </w:p>
        </w:tc>
      </w:tr>
      <w:tr w:rsidR="002136CE" w:rsidRPr="00731C8B" w:rsidTr="001B36EA">
        <w:tc>
          <w:tcPr>
            <w:tcW w:w="1381" w:type="pct"/>
            <w:tcBorders>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spacing w:line="360" w:lineRule="auto"/>
              <w:rPr>
                <w:rFonts w:ascii="Times New Roman" w:hAnsi="Times New Roman"/>
                <w:sz w:val="20"/>
              </w:rPr>
            </w:pPr>
            <w:r w:rsidRPr="00D80A06">
              <w:rPr>
                <w:rFonts w:ascii="Times New Roman" w:hAnsi="Times New Roman"/>
                <w:sz w:val="20"/>
              </w:rPr>
              <w:t>CPI inflation</w:t>
            </w:r>
          </w:p>
        </w:tc>
        <w:tc>
          <w:tcPr>
            <w:tcW w:w="1380" w:type="pct"/>
            <w:tcBorders>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r w:rsidRPr="00D80A06">
              <w:rPr>
                <w:rFonts w:ascii="Times New Roman" w:hAnsi="Times New Roman"/>
                <w:sz w:val="20"/>
              </w:rPr>
              <w:t>National data</w:t>
            </w:r>
          </w:p>
        </w:tc>
        <w:tc>
          <w:tcPr>
            <w:tcW w:w="2239" w:type="pct"/>
            <w:tcBorders>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spacing w:line="360" w:lineRule="auto"/>
              <w:rPr>
                <w:rFonts w:ascii="Times New Roman" w:hAnsi="Times New Roman"/>
                <w:sz w:val="20"/>
              </w:rPr>
            </w:pPr>
            <w:r w:rsidRPr="00D80A06">
              <w:rPr>
                <w:rFonts w:ascii="Times New Roman" w:hAnsi="Times New Roman"/>
                <w:sz w:val="20"/>
              </w:rPr>
              <w:t>Inflation expectations</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r w:rsidRPr="00D80A06">
              <w:rPr>
                <w:rFonts w:ascii="Times New Roman" w:hAnsi="Times New Roman"/>
                <w:sz w:val="20"/>
              </w:rPr>
              <w:t>Consensus Economics</w:t>
            </w:r>
          </w:p>
        </w:tc>
        <w:tc>
          <w:tcPr>
            <w:tcW w:w="2239"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spacing w:line="360" w:lineRule="auto"/>
              <w:rPr>
                <w:rFonts w:ascii="Times New Roman" w:hAnsi="Times New Roman"/>
                <w:sz w:val="20"/>
              </w:rPr>
            </w:pPr>
            <w:r w:rsidRPr="00D80A06">
              <w:rPr>
                <w:rFonts w:ascii="Times New Roman" w:hAnsi="Times New Roman"/>
                <w:sz w:val="20"/>
              </w:rPr>
              <w:t>GDP growth expectations</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r w:rsidRPr="00D80A06">
              <w:rPr>
                <w:rFonts w:ascii="Times New Roman" w:hAnsi="Times New Roman"/>
                <w:sz w:val="20"/>
              </w:rPr>
              <w:t>Consensus Economics</w:t>
            </w:r>
          </w:p>
        </w:tc>
        <w:tc>
          <w:tcPr>
            <w:tcW w:w="2239"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rPr>
                <w:rFonts w:ascii="Times New Roman" w:hAnsi="Times New Roman"/>
                <w:sz w:val="20"/>
              </w:rPr>
            </w:pPr>
            <w:r w:rsidRPr="00D80A06">
              <w:rPr>
                <w:rFonts w:ascii="Times New Roman" w:hAnsi="Times New Roman"/>
                <w:sz w:val="20"/>
              </w:rPr>
              <w:t>Nominal effective exchange rate</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r w:rsidRPr="00D80A06">
              <w:rPr>
                <w:rFonts w:ascii="Times New Roman" w:hAnsi="Times New Roman"/>
                <w:sz w:val="20"/>
              </w:rPr>
              <w:t>National data</w:t>
            </w:r>
          </w:p>
        </w:tc>
        <w:tc>
          <w:tcPr>
            <w:tcW w:w="2239"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spacing w:line="360" w:lineRule="auto"/>
              <w:rPr>
                <w:rFonts w:ascii="Times New Roman" w:hAnsi="Times New Roman"/>
                <w:sz w:val="20"/>
              </w:rPr>
            </w:pPr>
          </w:p>
        </w:tc>
      </w:tr>
      <w:tr w:rsidR="00007501" w:rsidRPr="00731C8B" w:rsidTr="001B36EA">
        <w:tc>
          <w:tcPr>
            <w:tcW w:w="1381" w:type="pct"/>
            <w:tcBorders>
              <w:top w:val="single" w:sz="4" w:space="0" w:color="BCBDBC"/>
              <w:left w:val="nil"/>
              <w:bottom w:val="single" w:sz="4" w:space="0" w:color="BCBDBC"/>
              <w:right w:val="nil"/>
            </w:tcBorders>
            <w:shd w:val="clear" w:color="auto" w:fill="auto"/>
          </w:tcPr>
          <w:p w:rsidR="00007501" w:rsidRPr="00D80A06" w:rsidRDefault="00007501" w:rsidP="00007501">
            <w:pPr>
              <w:pStyle w:val="TableCell"/>
              <w:tabs>
                <w:tab w:val="clear" w:pos="425"/>
                <w:tab w:val="decimal" w:pos="0"/>
              </w:tabs>
              <w:rPr>
                <w:rFonts w:ascii="Times New Roman" w:hAnsi="Times New Roman"/>
                <w:sz w:val="20"/>
              </w:rPr>
            </w:pPr>
            <w:r>
              <w:rPr>
                <w:rFonts w:ascii="Times New Roman" w:hAnsi="Times New Roman"/>
                <w:sz w:val="20"/>
              </w:rPr>
              <w:t>Inflation gap</w:t>
            </w:r>
          </w:p>
        </w:tc>
        <w:tc>
          <w:tcPr>
            <w:tcW w:w="1380" w:type="pct"/>
            <w:tcBorders>
              <w:top w:val="single" w:sz="4" w:space="0" w:color="BCBDBC"/>
              <w:left w:val="nil"/>
              <w:bottom w:val="single" w:sz="4" w:space="0" w:color="BCBDBC"/>
              <w:right w:val="nil"/>
            </w:tcBorders>
            <w:shd w:val="clear" w:color="auto" w:fill="auto"/>
          </w:tcPr>
          <w:p w:rsidR="00007501" w:rsidRPr="00D80A06" w:rsidRDefault="00007501" w:rsidP="00007501">
            <w:pPr>
              <w:pStyle w:val="TableCell"/>
              <w:rPr>
                <w:rFonts w:ascii="Times New Roman" w:hAnsi="Times New Roman"/>
                <w:sz w:val="20"/>
              </w:rPr>
            </w:pPr>
          </w:p>
        </w:tc>
        <w:tc>
          <w:tcPr>
            <w:tcW w:w="2239" w:type="pct"/>
            <w:tcBorders>
              <w:top w:val="single" w:sz="4" w:space="0" w:color="BCBDBC"/>
              <w:left w:val="nil"/>
              <w:bottom w:val="single" w:sz="4" w:space="0" w:color="BCBDBC"/>
              <w:right w:val="nil"/>
            </w:tcBorders>
            <w:shd w:val="clear" w:color="auto" w:fill="auto"/>
          </w:tcPr>
          <w:p w:rsidR="00007501" w:rsidRPr="00D80A06" w:rsidRDefault="00007501" w:rsidP="00007501">
            <w:pPr>
              <w:pStyle w:val="TableCell"/>
              <w:rPr>
                <w:rFonts w:ascii="Times New Roman" w:hAnsi="Times New Roman"/>
                <w:sz w:val="20"/>
              </w:rPr>
            </w:pPr>
            <w:r w:rsidRPr="006B24EA">
              <w:rPr>
                <w:rFonts w:ascii="Times New Roman" w:hAnsi="Times New Roman"/>
                <w:sz w:val="20"/>
              </w:rPr>
              <w:t xml:space="preserve">For countries that specify target ranges, the </w:t>
            </w:r>
            <w:r>
              <w:rPr>
                <w:rFonts w:ascii="Times New Roman" w:hAnsi="Times New Roman"/>
                <w:sz w:val="20"/>
              </w:rPr>
              <w:t>gap</w:t>
            </w:r>
            <w:r w:rsidRPr="006B24EA">
              <w:rPr>
                <w:rFonts w:ascii="Times New Roman" w:hAnsi="Times New Roman"/>
                <w:sz w:val="20"/>
              </w:rPr>
              <w:t xml:space="preserve"> refers to the distance of inflation from the mid-point of the range. For economies that do not pursue IT, and for current inflation </w:t>
            </w:r>
            <w:proofErr w:type="spellStart"/>
            <w:r w:rsidRPr="006B24EA">
              <w:rPr>
                <w:rFonts w:ascii="Times New Roman" w:hAnsi="Times New Roman"/>
                <w:sz w:val="20"/>
              </w:rPr>
              <w:t>targeters</w:t>
            </w:r>
            <w:proofErr w:type="spellEnd"/>
            <w:r w:rsidRPr="006B24EA">
              <w:rPr>
                <w:rFonts w:ascii="Times New Roman" w:hAnsi="Times New Roman"/>
                <w:sz w:val="20"/>
              </w:rPr>
              <w:t xml:space="preserve"> prior to the adoption of IT, we use the deviation of inflation outcomes from a </w:t>
            </w:r>
            <w:proofErr w:type="spellStart"/>
            <w:r w:rsidRPr="006B24EA">
              <w:rPr>
                <w:rFonts w:ascii="Times New Roman" w:hAnsi="Times New Roman"/>
                <w:sz w:val="20"/>
              </w:rPr>
              <w:t>Hodrick</w:t>
            </w:r>
            <w:proofErr w:type="spellEnd"/>
            <w:r w:rsidRPr="006B24EA">
              <w:rPr>
                <w:rFonts w:ascii="Times New Roman" w:hAnsi="Times New Roman"/>
                <w:sz w:val="20"/>
              </w:rPr>
              <w:t xml:space="preserve">-Prescott filtered trend, with a smoothing parameter of 14,400. </w:t>
            </w:r>
            <w:r w:rsidRPr="00017BB8">
              <w:rPr>
                <w:rFonts w:ascii="Times New Roman" w:hAnsi="Times New Roman"/>
                <w:sz w:val="20"/>
              </w:rPr>
              <w:t>The classification of countries into IT and non-IT regimes follows the working paper</w:t>
            </w:r>
            <w:r w:rsidRPr="00B87A70">
              <w:rPr>
                <w:rFonts w:ascii="Times New Roman" w:hAnsi="Times New Roman"/>
                <w:sz w:val="20"/>
              </w:rPr>
              <w:t xml:space="preserve"> version of </w:t>
            </w:r>
            <w:proofErr w:type="spellStart"/>
            <w:r w:rsidRPr="00B87A70">
              <w:rPr>
                <w:rFonts w:ascii="Times New Roman" w:hAnsi="Times New Roman"/>
                <w:sz w:val="20"/>
              </w:rPr>
              <w:t>Mehrotra</w:t>
            </w:r>
            <w:proofErr w:type="spellEnd"/>
            <w:r w:rsidRPr="00B87A70">
              <w:rPr>
                <w:rFonts w:ascii="Times New Roman" w:hAnsi="Times New Roman"/>
                <w:sz w:val="20"/>
              </w:rPr>
              <w:t xml:space="preserve"> and </w:t>
            </w:r>
            <w:proofErr w:type="spellStart"/>
            <w:r w:rsidRPr="00B87A70">
              <w:rPr>
                <w:rFonts w:ascii="Times New Roman" w:hAnsi="Times New Roman"/>
                <w:sz w:val="20"/>
              </w:rPr>
              <w:t>Yetman</w:t>
            </w:r>
            <w:proofErr w:type="spellEnd"/>
            <w:r w:rsidRPr="00B87A70">
              <w:rPr>
                <w:rFonts w:ascii="Times New Roman" w:hAnsi="Times New Roman"/>
                <w:sz w:val="20"/>
              </w:rPr>
              <w:t xml:space="preserve"> (2018).</w:t>
            </w: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spacing w:line="360" w:lineRule="auto"/>
              <w:rPr>
                <w:rFonts w:ascii="Times New Roman" w:hAnsi="Times New Roman"/>
                <w:sz w:val="20"/>
              </w:rPr>
            </w:pPr>
            <w:r w:rsidRPr="00D80A06">
              <w:rPr>
                <w:rFonts w:ascii="Times New Roman" w:hAnsi="Times New Roman"/>
                <w:sz w:val="20"/>
              </w:rPr>
              <w:t>Output gap</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rPr>
                <w:rFonts w:ascii="Times New Roman" w:hAnsi="Times New Roman"/>
                <w:sz w:val="20"/>
              </w:rPr>
            </w:pPr>
            <w:r w:rsidRPr="00D80A06">
              <w:rPr>
                <w:rFonts w:ascii="Times New Roman" w:hAnsi="Times New Roman"/>
                <w:sz w:val="20"/>
              </w:rPr>
              <w:t xml:space="preserve">IMF, </w:t>
            </w:r>
            <w:r w:rsidRPr="00D80A06">
              <w:rPr>
                <w:rFonts w:ascii="Times New Roman" w:hAnsi="Times New Roman"/>
                <w:i/>
                <w:sz w:val="20"/>
              </w:rPr>
              <w:t>World Economic Outlook</w:t>
            </w:r>
            <w:r w:rsidRPr="00D80A06">
              <w:rPr>
                <w:rFonts w:ascii="Times New Roman" w:hAnsi="Times New Roman"/>
                <w:sz w:val="20"/>
              </w:rPr>
              <w:t>; national data; authors’ calculations</w:t>
            </w:r>
          </w:p>
        </w:tc>
        <w:tc>
          <w:tcPr>
            <w:tcW w:w="2239"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rPr>
                <w:rFonts w:ascii="Times New Roman" w:hAnsi="Times New Roman"/>
                <w:sz w:val="20"/>
              </w:rPr>
            </w:pPr>
            <w:r w:rsidRPr="00D80A06">
              <w:rPr>
                <w:rFonts w:ascii="Times New Roman" w:hAnsi="Times New Roman"/>
                <w:sz w:val="20"/>
              </w:rPr>
              <w:t xml:space="preserve">The output gap </w:t>
            </w:r>
            <w:proofErr w:type="gramStart"/>
            <w:r w:rsidRPr="00D80A06">
              <w:rPr>
                <w:rFonts w:ascii="Times New Roman" w:hAnsi="Times New Roman"/>
                <w:sz w:val="20"/>
              </w:rPr>
              <w:t>is calculated</w:t>
            </w:r>
            <w:proofErr w:type="gramEnd"/>
            <w:r w:rsidRPr="00D80A06">
              <w:rPr>
                <w:rFonts w:ascii="Times New Roman" w:hAnsi="Times New Roman"/>
                <w:sz w:val="20"/>
              </w:rPr>
              <w:t xml:space="preserve"> as the difference between actual and potential GDP, with the potential GDP estimated using a </w:t>
            </w:r>
            <w:proofErr w:type="spellStart"/>
            <w:r w:rsidRPr="00D80A06">
              <w:rPr>
                <w:rFonts w:ascii="Times New Roman" w:hAnsi="Times New Roman"/>
                <w:sz w:val="20"/>
              </w:rPr>
              <w:t>Hodrick</w:t>
            </w:r>
            <w:proofErr w:type="spellEnd"/>
            <w:r w:rsidRPr="00D80A06">
              <w:rPr>
                <w:rFonts w:ascii="Times New Roman" w:hAnsi="Times New Roman"/>
                <w:sz w:val="20"/>
              </w:rPr>
              <w:t xml:space="preserve">-Prescott-Filter and a smoothing parameter of 1,600 for quarterly data. The data </w:t>
            </w:r>
            <w:proofErr w:type="gramStart"/>
            <w:r w:rsidRPr="00D80A06">
              <w:rPr>
                <w:rFonts w:ascii="Times New Roman" w:hAnsi="Times New Roman"/>
                <w:sz w:val="20"/>
              </w:rPr>
              <w:t>are then converted</w:t>
            </w:r>
            <w:proofErr w:type="gramEnd"/>
            <w:r w:rsidRPr="00D80A06">
              <w:rPr>
                <w:rFonts w:ascii="Times New Roman" w:hAnsi="Times New Roman"/>
                <w:sz w:val="20"/>
              </w:rPr>
              <w:t xml:space="preserve"> to monthly frequency by linear interpolation.</w:t>
            </w: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rPr>
                <w:rFonts w:ascii="Times New Roman" w:hAnsi="Times New Roman"/>
                <w:sz w:val="20"/>
              </w:rPr>
            </w:pPr>
            <w:r>
              <w:rPr>
                <w:rFonts w:ascii="Times New Roman" w:hAnsi="Times New Roman"/>
                <w:sz w:val="20"/>
              </w:rPr>
              <w:t>Taylor-rule benchmark</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rPr>
                <w:rFonts w:ascii="Times New Roman" w:hAnsi="Times New Roman"/>
                <w:sz w:val="20"/>
              </w:rPr>
            </w:pPr>
            <w:r>
              <w:rPr>
                <w:rFonts w:ascii="Times New Roman" w:hAnsi="Times New Roman"/>
                <w:sz w:val="20"/>
              </w:rPr>
              <w:t xml:space="preserve">Hofmann and </w:t>
            </w:r>
            <w:proofErr w:type="spellStart"/>
            <w:r>
              <w:rPr>
                <w:rFonts w:ascii="Times New Roman" w:hAnsi="Times New Roman"/>
                <w:sz w:val="20"/>
              </w:rPr>
              <w:t>Bogdanova</w:t>
            </w:r>
            <w:proofErr w:type="spellEnd"/>
            <w:r>
              <w:rPr>
                <w:rFonts w:ascii="Times New Roman" w:hAnsi="Times New Roman"/>
                <w:sz w:val="20"/>
              </w:rPr>
              <w:t xml:space="preserve"> (2012), Footnote to Graph 1</w:t>
            </w:r>
          </w:p>
        </w:tc>
        <w:tc>
          <w:tcPr>
            <w:tcW w:w="2239" w:type="pct"/>
            <w:tcBorders>
              <w:top w:val="single" w:sz="4" w:space="0" w:color="BCBDBC"/>
              <w:left w:val="nil"/>
              <w:bottom w:val="single" w:sz="4" w:space="0" w:color="BCBDBC"/>
              <w:right w:val="nil"/>
            </w:tcBorders>
            <w:shd w:val="clear" w:color="auto" w:fill="auto"/>
          </w:tcPr>
          <w:p w:rsidR="002136CE" w:rsidRDefault="002136CE" w:rsidP="001B36EA">
            <w:pPr>
              <w:pStyle w:val="TableCell"/>
              <w:rPr>
                <w:rFonts w:ascii="Times New Roman" w:hAnsi="Times New Roman"/>
                <w:sz w:val="20"/>
              </w:rPr>
            </w:pPr>
            <w:r>
              <w:rPr>
                <w:rFonts w:ascii="Times New Roman" w:hAnsi="Times New Roman"/>
                <w:sz w:val="20"/>
              </w:rPr>
              <w:t>Calculated as:</w:t>
            </w:r>
          </w:p>
          <w:p w:rsidR="002136CE" w:rsidRPr="00D80A06" w:rsidRDefault="001A4E58" w:rsidP="001B36EA">
            <w:pPr>
              <w:pStyle w:val="TableCell"/>
              <w:rPr>
                <w:rFonts w:ascii="Times New Roman" w:hAnsi="Times New Roman"/>
                <w:sz w:val="20"/>
              </w:rPr>
            </w:pPr>
            <m:oMath>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t</m:t>
                  </m:r>
                </m:sub>
              </m:sSub>
              <m:r>
                <w:rPr>
                  <w:rFonts w:ascii="Cambria Math" w:hAnsi="Cambria Math"/>
                  <w:sz w:val="18"/>
                  <w:szCs w:val="18"/>
                </w:rPr>
                <m:t>=</m:t>
              </m:r>
              <m:sSup>
                <m:sSupPr>
                  <m:ctrlPr>
                    <w:rPr>
                      <w:rFonts w:ascii="Cambria Math" w:hAnsi="Cambria Math"/>
                      <w:i/>
                      <w:sz w:val="18"/>
                      <w:szCs w:val="18"/>
                    </w:rPr>
                  </m:ctrlPr>
                </m:sSup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t</m:t>
                      </m:r>
                    </m:sub>
                  </m:sSub>
                </m:e>
                <m:sup>
                  <m:r>
                    <w:rPr>
                      <w:rFonts w:ascii="Cambria Math" w:hAnsi="Cambria Math"/>
                      <w:sz w:val="18"/>
                      <w:szCs w:val="18"/>
                    </w:rPr>
                    <m:t>*</m:t>
                  </m:r>
                </m:sup>
              </m:sSup>
              <m:r>
                <w:rPr>
                  <w:rFonts w:ascii="Cambria Math" w:hAnsi="Cambria Math"/>
                  <w:sz w:val="18"/>
                  <w:szCs w:val="18"/>
                </w:rPr>
                <m:t>+</m:t>
              </m:r>
              <m:sSup>
                <m:sSupPr>
                  <m:ctrlPr>
                    <w:rPr>
                      <w:rFonts w:ascii="Cambria Math" w:hAnsi="Cambria Math"/>
                      <w:i/>
                      <w:sz w:val="18"/>
                      <w:szCs w:val="18"/>
                    </w:rPr>
                  </m:ctrlPr>
                </m:sSupPr>
                <m:e>
                  <m:sSub>
                    <m:sSubPr>
                      <m:ctrlPr>
                        <w:rPr>
                          <w:rFonts w:ascii="Cambria Math" w:hAnsi="Cambria Math"/>
                          <w:i/>
                          <w:sz w:val="18"/>
                          <w:szCs w:val="18"/>
                        </w:rPr>
                      </m:ctrlPr>
                    </m:sSubPr>
                    <m:e>
                      <m:r>
                        <w:rPr>
                          <w:rFonts w:ascii="Cambria Math" w:hAnsi="Cambria Math"/>
                          <w:sz w:val="18"/>
                          <w:szCs w:val="18"/>
                        </w:rPr>
                        <m:t>π</m:t>
                      </m:r>
                    </m:e>
                    <m:sub>
                      <m:r>
                        <w:rPr>
                          <w:rFonts w:ascii="Cambria Math" w:hAnsi="Cambria Math"/>
                          <w:sz w:val="18"/>
                          <w:szCs w:val="18"/>
                        </w:rPr>
                        <m:t>t</m:t>
                      </m:r>
                    </m:sub>
                  </m:sSub>
                </m:e>
                <m:sup>
                  <m:r>
                    <w:rPr>
                      <w:rFonts w:ascii="Cambria Math" w:hAnsi="Cambria Math"/>
                      <w:sz w:val="18"/>
                      <w:szCs w:val="18"/>
                    </w:rPr>
                    <m:t>*</m:t>
                  </m:r>
                </m:sup>
              </m:sSup>
              <m:r>
                <w:rPr>
                  <w:rFonts w:ascii="Cambria Math" w:hAnsi="Cambria Math"/>
                  <w:sz w:val="18"/>
                  <w:szCs w:val="18"/>
                </w:rPr>
                <m:t>+1.5*</m:t>
              </m:r>
              <m:sSub>
                <m:sSubPr>
                  <m:ctrlPr>
                    <w:rPr>
                      <w:rFonts w:ascii="Cambria Math" w:hAnsi="Cambria Math"/>
                      <w:i/>
                      <w:sz w:val="18"/>
                      <w:szCs w:val="18"/>
                    </w:rPr>
                  </m:ctrlPr>
                </m:sSubPr>
                <m:e>
                  <m:r>
                    <w:rPr>
                      <w:rFonts w:ascii="Cambria Math" w:hAnsi="Cambria Math"/>
                      <w:sz w:val="18"/>
                      <w:szCs w:val="18"/>
                    </w:rPr>
                    <m:t>infl gap</m:t>
                  </m:r>
                </m:e>
                <m:sub>
                  <m:r>
                    <w:rPr>
                      <w:rFonts w:ascii="Cambria Math" w:hAnsi="Cambria Math"/>
                      <w:sz w:val="18"/>
                      <w:szCs w:val="18"/>
                    </w:rPr>
                    <m:t>t</m:t>
                  </m:r>
                </m:sub>
              </m:sSub>
              <m:r>
                <w:rPr>
                  <w:rFonts w:ascii="Cambria Math" w:hAnsi="Cambria Math"/>
                  <w:sz w:val="18"/>
                  <w:szCs w:val="18"/>
                </w:rPr>
                <m:t>+0.5*</m:t>
              </m:r>
              <m:sSub>
                <m:sSubPr>
                  <m:ctrlPr>
                    <w:rPr>
                      <w:rFonts w:ascii="Cambria Math" w:hAnsi="Cambria Math"/>
                      <w:i/>
                      <w:sz w:val="18"/>
                      <w:szCs w:val="18"/>
                    </w:rPr>
                  </m:ctrlPr>
                </m:sSubPr>
                <m:e>
                  <m:r>
                    <w:rPr>
                      <w:rFonts w:ascii="Cambria Math" w:hAnsi="Cambria Math"/>
                      <w:sz w:val="18"/>
                      <w:szCs w:val="18"/>
                    </w:rPr>
                    <m:t>output gap</m:t>
                  </m:r>
                </m:e>
                <m:sub>
                  <m:r>
                    <w:rPr>
                      <w:rFonts w:ascii="Cambria Math" w:hAnsi="Cambria Math"/>
                      <w:sz w:val="18"/>
                      <w:szCs w:val="18"/>
                    </w:rPr>
                    <m:t>t</m:t>
                  </m:r>
                </m:sub>
              </m:sSub>
            </m:oMath>
            <w:r w:rsidR="002136CE">
              <w:rPr>
                <w:rFonts w:ascii="Times New Roman" w:hAnsi="Times New Roman"/>
                <w:sz w:val="20"/>
              </w:rPr>
              <w:t xml:space="preserve">. The long-run real interest rate is set equal to the economy’s trend growth rate (y-o-y). Trend growth </w:t>
            </w:r>
            <w:proofErr w:type="gramStart"/>
            <w:r w:rsidR="002136CE">
              <w:rPr>
                <w:rFonts w:ascii="Times New Roman" w:hAnsi="Times New Roman"/>
                <w:sz w:val="20"/>
              </w:rPr>
              <w:t>is obtained</w:t>
            </w:r>
            <w:proofErr w:type="gramEnd"/>
            <w:r w:rsidR="002136CE">
              <w:rPr>
                <w:rFonts w:ascii="Times New Roman" w:hAnsi="Times New Roman"/>
                <w:sz w:val="20"/>
              </w:rPr>
              <w:t xml:space="preserve"> from applying the HP filter to quarterly real GDP data and using a linear interpolation to convert the data to monthly frequency. </w:t>
            </w: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rPr>
                <w:rFonts w:ascii="Times New Roman" w:hAnsi="Times New Roman"/>
                <w:sz w:val="20"/>
              </w:rPr>
            </w:pPr>
            <w:r>
              <w:rPr>
                <w:rFonts w:ascii="Times New Roman" w:hAnsi="Times New Roman"/>
                <w:sz w:val="20"/>
              </w:rPr>
              <w:t>Recession dummy variable</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rPr>
                <w:rFonts w:ascii="Times New Roman" w:hAnsi="Times New Roman"/>
                <w:sz w:val="20"/>
              </w:rPr>
            </w:pPr>
          </w:p>
        </w:tc>
        <w:tc>
          <w:tcPr>
            <w:tcW w:w="2239"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rPr>
                <w:rFonts w:ascii="Times New Roman" w:hAnsi="Times New Roman"/>
                <w:sz w:val="20"/>
              </w:rPr>
            </w:pPr>
            <w:r>
              <w:rPr>
                <w:rFonts w:ascii="Times New Roman" w:hAnsi="Times New Roman"/>
                <w:sz w:val="20"/>
              </w:rPr>
              <w:t>Takes a value of one during quarters of negative quarter-on-quarter real GDP growth, and zero otherwise.</w:t>
            </w:r>
          </w:p>
        </w:tc>
      </w:tr>
      <w:tr w:rsidR="002136CE" w:rsidRPr="00731C8B" w:rsidTr="001B36EA">
        <w:tc>
          <w:tcPr>
            <w:tcW w:w="1381"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tabs>
                <w:tab w:val="clear" w:pos="425"/>
                <w:tab w:val="decimal" w:pos="0"/>
              </w:tabs>
              <w:rPr>
                <w:rFonts w:ascii="Times New Roman" w:hAnsi="Times New Roman"/>
                <w:sz w:val="20"/>
              </w:rPr>
            </w:pPr>
            <w:r w:rsidRPr="00D80A06">
              <w:rPr>
                <w:rFonts w:ascii="Times New Roman" w:hAnsi="Times New Roman"/>
                <w:sz w:val="20"/>
              </w:rPr>
              <w:t>Policy interest rate</w:t>
            </w:r>
          </w:p>
        </w:tc>
        <w:tc>
          <w:tcPr>
            <w:tcW w:w="1380"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rPr>
                <w:rFonts w:ascii="Times New Roman" w:hAnsi="Times New Roman"/>
                <w:sz w:val="20"/>
              </w:rPr>
            </w:pPr>
            <w:proofErr w:type="spellStart"/>
            <w:r w:rsidRPr="00D80A06">
              <w:rPr>
                <w:rFonts w:ascii="Times New Roman" w:hAnsi="Times New Roman"/>
                <w:sz w:val="20"/>
              </w:rPr>
              <w:t>Datastream</w:t>
            </w:r>
            <w:proofErr w:type="spellEnd"/>
            <w:r w:rsidRPr="00D80A06">
              <w:rPr>
                <w:rFonts w:ascii="Times New Roman" w:hAnsi="Times New Roman"/>
                <w:sz w:val="20"/>
              </w:rPr>
              <w:t>; national data</w:t>
            </w:r>
          </w:p>
        </w:tc>
        <w:tc>
          <w:tcPr>
            <w:tcW w:w="2239" w:type="pct"/>
            <w:tcBorders>
              <w:top w:val="single" w:sz="4" w:space="0" w:color="BCBDBC"/>
              <w:left w:val="nil"/>
              <w:bottom w:val="single" w:sz="4" w:space="0" w:color="BCBDBC"/>
              <w:right w:val="nil"/>
            </w:tcBorders>
            <w:shd w:val="clear" w:color="auto" w:fill="auto"/>
          </w:tcPr>
          <w:p w:rsidR="002136CE" w:rsidRPr="00D80A06" w:rsidRDefault="002136CE" w:rsidP="001B36EA">
            <w:pPr>
              <w:pStyle w:val="TableCell"/>
              <w:rPr>
                <w:rFonts w:ascii="Times New Roman" w:hAnsi="Times New Roman"/>
                <w:sz w:val="20"/>
              </w:rPr>
            </w:pPr>
            <w:r w:rsidRPr="00D80A06">
              <w:rPr>
                <w:rFonts w:ascii="Times New Roman" w:hAnsi="Times New Roman"/>
                <w:sz w:val="20"/>
              </w:rPr>
              <w:t>Where policy rates are not available, money market interest rates are used.</w:t>
            </w:r>
          </w:p>
        </w:tc>
      </w:tr>
      <w:tr w:rsidR="002136CE" w:rsidRPr="00731C8B" w:rsidTr="001B36EA">
        <w:tc>
          <w:tcPr>
            <w:tcW w:w="1381" w:type="pct"/>
            <w:tcBorders>
              <w:top w:val="single" w:sz="4" w:space="0" w:color="BCBDBC"/>
              <w:left w:val="nil"/>
              <w:bottom w:val="single" w:sz="4" w:space="0" w:color="auto"/>
              <w:right w:val="nil"/>
            </w:tcBorders>
            <w:shd w:val="clear" w:color="auto" w:fill="auto"/>
          </w:tcPr>
          <w:p w:rsidR="002136CE" w:rsidRPr="00D80A06" w:rsidRDefault="002136CE" w:rsidP="001B36EA">
            <w:pPr>
              <w:pStyle w:val="TableCell"/>
              <w:tabs>
                <w:tab w:val="clear" w:pos="425"/>
                <w:tab w:val="decimal" w:pos="0"/>
              </w:tabs>
              <w:spacing w:line="360" w:lineRule="auto"/>
              <w:rPr>
                <w:rFonts w:ascii="Times New Roman" w:hAnsi="Times New Roman"/>
                <w:sz w:val="20"/>
              </w:rPr>
            </w:pPr>
            <w:r w:rsidRPr="00D80A06">
              <w:rPr>
                <w:rFonts w:ascii="Times New Roman" w:hAnsi="Times New Roman"/>
                <w:sz w:val="20"/>
              </w:rPr>
              <w:t>Shadow interest rate</w:t>
            </w:r>
          </w:p>
        </w:tc>
        <w:tc>
          <w:tcPr>
            <w:tcW w:w="1380" w:type="pct"/>
            <w:tcBorders>
              <w:top w:val="single" w:sz="4" w:space="0" w:color="BCBDBC"/>
              <w:left w:val="nil"/>
              <w:bottom w:val="single" w:sz="4" w:space="0" w:color="auto"/>
              <w:right w:val="nil"/>
            </w:tcBorders>
            <w:shd w:val="clear" w:color="auto" w:fill="auto"/>
          </w:tcPr>
          <w:p w:rsidR="002136CE" w:rsidRPr="00D80A06" w:rsidRDefault="002136CE" w:rsidP="001B36EA">
            <w:pPr>
              <w:pStyle w:val="TableCell"/>
              <w:spacing w:line="360" w:lineRule="auto"/>
              <w:rPr>
                <w:rFonts w:ascii="Times New Roman" w:hAnsi="Times New Roman"/>
                <w:sz w:val="20"/>
              </w:rPr>
            </w:pPr>
            <w:proofErr w:type="spellStart"/>
            <w:r w:rsidRPr="00D80A06">
              <w:rPr>
                <w:rFonts w:ascii="Times New Roman" w:hAnsi="Times New Roman"/>
                <w:sz w:val="20"/>
              </w:rPr>
              <w:t>Krippner</w:t>
            </w:r>
            <w:proofErr w:type="spellEnd"/>
            <w:r w:rsidRPr="00D80A06">
              <w:rPr>
                <w:rFonts w:ascii="Times New Roman" w:hAnsi="Times New Roman"/>
                <w:sz w:val="20"/>
              </w:rPr>
              <w:t xml:space="preserve"> (2016)</w:t>
            </w:r>
          </w:p>
        </w:tc>
        <w:tc>
          <w:tcPr>
            <w:tcW w:w="2239" w:type="pct"/>
            <w:tcBorders>
              <w:top w:val="single" w:sz="4" w:space="0" w:color="BCBDBC"/>
              <w:left w:val="nil"/>
              <w:bottom w:val="single" w:sz="4" w:space="0" w:color="auto"/>
              <w:right w:val="nil"/>
            </w:tcBorders>
            <w:shd w:val="clear" w:color="auto" w:fill="auto"/>
          </w:tcPr>
          <w:p w:rsidR="002136CE" w:rsidRPr="00D80A06" w:rsidRDefault="002136CE" w:rsidP="001B36EA">
            <w:pPr>
              <w:pStyle w:val="TableCell"/>
              <w:spacing w:line="360" w:lineRule="auto"/>
              <w:rPr>
                <w:rFonts w:ascii="Times New Roman" w:hAnsi="Times New Roman"/>
                <w:sz w:val="20"/>
              </w:rPr>
            </w:pPr>
          </w:p>
        </w:tc>
      </w:tr>
    </w:tbl>
    <w:p w:rsidR="00007501" w:rsidRPr="00731C8B" w:rsidRDefault="00007501" w:rsidP="00007501">
      <w:pPr>
        <w:spacing w:line="360" w:lineRule="auto"/>
        <w:rPr>
          <w:rFonts w:ascii="Times New Roman" w:hAnsi="Times New Roman"/>
          <w:sz w:val="24"/>
          <w:szCs w:val="24"/>
        </w:rPr>
      </w:pPr>
      <w:r>
        <w:rPr>
          <w:rFonts w:ascii="Times New Roman" w:hAnsi="Times New Roman"/>
          <w:sz w:val="24"/>
          <w:szCs w:val="24"/>
        </w:rPr>
        <w:t>Online Annex Table A3: Data sources and definitions</w:t>
      </w:r>
    </w:p>
    <w:p w:rsidR="002136CE" w:rsidRDefault="002136CE" w:rsidP="009D3501">
      <w:pPr>
        <w:rPr>
          <w:rFonts w:ascii="Times New Roman" w:hAnsi="Times New Roman"/>
          <w:sz w:val="24"/>
          <w:szCs w:val="24"/>
        </w:rPr>
      </w:pPr>
    </w:p>
    <w:p w:rsidR="002136CE" w:rsidRDefault="002136CE">
      <w:pPr>
        <w:spacing w:after="160" w:line="259" w:lineRule="auto"/>
        <w:rPr>
          <w:rFonts w:ascii="Times New Roman" w:hAnsi="Times New Roman"/>
          <w:sz w:val="24"/>
          <w:szCs w:val="24"/>
        </w:rPr>
      </w:pPr>
      <w:r>
        <w:rPr>
          <w:rFonts w:ascii="Times New Roman" w:hAnsi="Times New Roman"/>
          <w:sz w:val="24"/>
          <w:szCs w:val="24"/>
        </w:rPr>
        <w:br w:type="page"/>
      </w:r>
    </w:p>
    <w:p w:rsidR="002136CE" w:rsidRDefault="002136CE" w:rsidP="009D3501">
      <w:pPr>
        <w:rPr>
          <w:rFonts w:ascii="Times New Roman" w:hAnsi="Times New Roman"/>
          <w:sz w:val="24"/>
          <w:szCs w:val="24"/>
        </w:rPr>
      </w:pPr>
    </w:p>
    <w:tbl>
      <w:tblPr>
        <w:tblpPr w:leftFromText="180" w:rightFromText="180" w:topFromText="120" w:bottomFromText="240" w:vertAnchor="text" w:tblpXSpec="center" w:tblpY="121"/>
        <w:tblOverlap w:val="neve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1387"/>
        <w:gridCol w:w="1386"/>
        <w:gridCol w:w="1386"/>
        <w:gridCol w:w="1386"/>
        <w:gridCol w:w="1386"/>
      </w:tblGrid>
      <w:tr w:rsidR="009D3501" w:rsidRPr="00731C8B" w:rsidTr="00253B06">
        <w:trPr>
          <w:cantSplit/>
          <w:trHeight w:val="20"/>
        </w:trPr>
        <w:tc>
          <w:tcPr>
            <w:tcW w:w="2311" w:type="dxa"/>
            <w:tcBorders>
              <w:top w:val="single" w:sz="4" w:space="0" w:color="auto"/>
              <w:left w:val="nil"/>
              <w:bottom w:val="single" w:sz="4" w:space="0" w:color="auto"/>
              <w:right w:val="single" w:sz="4" w:space="0" w:color="BFBFBF" w:themeColor="background1" w:themeShade="BF"/>
            </w:tcBorders>
            <w:hideMark/>
          </w:tcPr>
          <w:p w:rsidR="009D3501" w:rsidRPr="00F5337A" w:rsidRDefault="009D3501" w:rsidP="00253B06">
            <w:pPr>
              <w:pStyle w:val="TblCol0"/>
              <w:rPr>
                <w:rFonts w:ascii="Times New Roman" w:eastAsia="Malgun Gothic" w:hAnsi="Times New Roman"/>
                <w:sz w:val="20"/>
                <w:lang w:eastAsia="ko-KR"/>
              </w:rPr>
            </w:pPr>
            <w:r w:rsidRPr="00F5337A">
              <w:rPr>
                <w:rFonts w:ascii="Times New Roman" w:eastAsia="Malgun Gothic" w:hAnsi="Times New Roman"/>
                <w:sz w:val="20"/>
                <w:lang w:eastAsia="ko-KR"/>
              </w:rPr>
              <w:t>Variable</w:t>
            </w:r>
          </w:p>
        </w:tc>
        <w:tc>
          <w:tcPr>
            <w:tcW w:w="1387"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rsidR="009D3501" w:rsidRPr="00F5337A" w:rsidRDefault="009D3501" w:rsidP="00253B06">
            <w:pPr>
              <w:pStyle w:val="TblCol0"/>
              <w:rPr>
                <w:rFonts w:ascii="Times New Roman" w:hAnsi="Times New Roman"/>
                <w:sz w:val="20"/>
              </w:rPr>
            </w:pPr>
            <w:r w:rsidRPr="00F5337A">
              <w:rPr>
                <w:rFonts w:ascii="Times New Roman" w:hAnsi="Times New Roman"/>
                <w:sz w:val="20"/>
              </w:rPr>
              <w:t>(1)</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rsidR="009D3501" w:rsidRPr="00F5337A" w:rsidRDefault="009D3501" w:rsidP="00253B06">
            <w:pPr>
              <w:pStyle w:val="TblCol0"/>
              <w:rPr>
                <w:rFonts w:ascii="Times New Roman" w:hAnsi="Times New Roman"/>
                <w:sz w:val="20"/>
              </w:rPr>
            </w:pPr>
            <w:r w:rsidRPr="00F5337A">
              <w:rPr>
                <w:rFonts w:ascii="Times New Roman" w:hAnsi="Times New Roman"/>
                <w:sz w:val="20"/>
              </w:rPr>
              <w:t>(2)</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rsidR="009D3501" w:rsidRPr="00F5337A" w:rsidRDefault="009D3501" w:rsidP="00253B06">
            <w:pPr>
              <w:pStyle w:val="TblCol0"/>
              <w:rPr>
                <w:rFonts w:ascii="Times New Roman" w:hAnsi="Times New Roman"/>
                <w:sz w:val="20"/>
              </w:rPr>
            </w:pPr>
            <w:r w:rsidRPr="00F5337A">
              <w:rPr>
                <w:rFonts w:ascii="Times New Roman" w:hAnsi="Times New Roman"/>
                <w:sz w:val="20"/>
              </w:rPr>
              <w:t>(3)</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rsidR="009D3501" w:rsidRPr="00F5337A" w:rsidRDefault="009D3501" w:rsidP="00253B06">
            <w:pPr>
              <w:pStyle w:val="TblCol0"/>
              <w:rPr>
                <w:rFonts w:ascii="Times New Roman" w:hAnsi="Times New Roman"/>
                <w:sz w:val="20"/>
              </w:rPr>
            </w:pPr>
            <w:r w:rsidRPr="00F5337A">
              <w:rPr>
                <w:rFonts w:ascii="Times New Roman" w:hAnsi="Times New Roman"/>
                <w:sz w:val="20"/>
              </w:rPr>
              <w:t>(4)</w:t>
            </w:r>
          </w:p>
        </w:tc>
        <w:tc>
          <w:tcPr>
            <w:tcW w:w="1386" w:type="dxa"/>
            <w:tcBorders>
              <w:top w:val="single" w:sz="4" w:space="0" w:color="auto"/>
              <w:left w:val="single" w:sz="4" w:space="0" w:color="BFBFBF" w:themeColor="background1" w:themeShade="BF"/>
              <w:bottom w:val="single" w:sz="4" w:space="0" w:color="auto"/>
              <w:right w:val="nil"/>
            </w:tcBorders>
            <w:hideMark/>
          </w:tcPr>
          <w:p w:rsidR="009D3501" w:rsidRPr="00F5337A" w:rsidRDefault="009D3501" w:rsidP="00253B06">
            <w:pPr>
              <w:pStyle w:val="TblCol0"/>
              <w:rPr>
                <w:rFonts w:ascii="Times New Roman" w:hAnsi="Times New Roman"/>
                <w:sz w:val="20"/>
              </w:rPr>
            </w:pPr>
            <w:r w:rsidRPr="00F5337A">
              <w:rPr>
                <w:rFonts w:ascii="Times New Roman" w:hAnsi="Times New Roman"/>
                <w:sz w:val="20"/>
              </w:rPr>
              <w:t>(5)</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pos</m:t>
                        </m:r>
                      </m:sup>
                    </m:sSubSup>
                  </m:e>
                </m:d>
              </m:oMath>
            </m:oMathPara>
          </w:p>
        </w:tc>
        <w:tc>
          <w:tcPr>
            <w:tcW w:w="1387" w:type="dxa"/>
            <w:tcBorders>
              <w:top w:val="single" w:sz="4" w:space="0" w:color="auto"/>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0.284**</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0.300**</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0.287**</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0.557**</w:t>
            </w:r>
          </w:p>
        </w:tc>
        <w:tc>
          <w:tcPr>
            <w:tcW w:w="1386" w:type="dxa"/>
            <w:tcBorders>
              <w:top w:val="single" w:sz="4" w:space="0" w:color="auto"/>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0.536**</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(0.225)</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(0.221)</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Default="001A4E58" w:rsidP="007F27BB">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neg</m:t>
                        </m:r>
                      </m:sup>
                    </m:sSubSup>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0.0200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-0.0805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-0.116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-0.0676</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-0.0989</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Default="007F27BB" w:rsidP="007F27BB">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(0.173)</w:t>
            </w:r>
          </w:p>
        </w:tc>
        <w:tc>
          <w:tcPr>
            <w:tcW w:w="1386"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(0.138)</w:t>
            </w:r>
          </w:p>
        </w:tc>
        <w:tc>
          <w:tcPr>
            <w:tcW w:w="1386"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(0.128)</w:t>
            </w:r>
          </w:p>
        </w:tc>
        <w:tc>
          <w:tcPr>
            <w:tcW w:w="1386"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(0.247)</w:t>
            </w:r>
          </w:p>
        </w:tc>
        <w:tc>
          <w:tcPr>
            <w:tcW w:w="1386" w:type="dxa"/>
            <w:tcBorders>
              <w:top w:val="nil"/>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(0.244)</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defl</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0.476**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0.410**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0.753**</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(0.210)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(0.178)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(0.299)</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High</m:t>
                    </m:r>
                    <m:r>
                      <m:rPr>
                        <m:sty m:val="p"/>
                      </m:rPr>
                      <w:rPr>
                        <w:rFonts w:ascii="Cambria Math" w:hAnsi="Cambria Math"/>
                        <w:sz w:val="18"/>
                        <w:szCs w:val="18"/>
                        <w:lang w:val="en-US"/>
                      </w:rPr>
                      <m:t xml:space="preserve"> </m:t>
                    </m:r>
                    <m:r>
                      <w:rPr>
                        <w:rFonts w:ascii="Cambria Math" w:hAnsi="Cambria Math"/>
                        <w:sz w:val="18"/>
                        <w:szCs w:val="18"/>
                        <w:lang w:val="en-US"/>
                      </w:rPr>
                      <m:t>infl</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-0.480*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-0.440*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-0.443*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-0.750*</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-0.756*</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(0.269)</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(0.240)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(0.247)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(0.412)</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(0.426)</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pos</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0.0288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0.0365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0.0179</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0.0343</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(0.0230)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(0.0243)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(0.0372)</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(0.0387)</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sz w:val="18"/>
                <w:szCs w:val="18"/>
                <w:lang w:val="en-US"/>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neg</m:t>
                    </m:r>
                  </m:sup>
                </m:sSubSup>
              </m:oMath>
            </m:oMathPara>
          </w:p>
        </w:tc>
        <w:tc>
          <w:tcPr>
            <w:tcW w:w="1387"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-0.185**</w:t>
            </w:r>
          </w:p>
        </w:tc>
        <w:tc>
          <w:tcPr>
            <w:tcW w:w="1386"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-0.208**</w:t>
            </w:r>
          </w:p>
        </w:tc>
        <w:tc>
          <w:tcPr>
            <w:tcW w:w="1386"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-0.295**</w:t>
            </w:r>
          </w:p>
        </w:tc>
        <w:tc>
          <w:tcPr>
            <w:tcW w:w="1386" w:type="dxa"/>
            <w:tcBorders>
              <w:top w:val="nil"/>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-0.341**</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(0.0724)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(0.0817)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(0.120)</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(0.137)</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Malgun Gothic" w:hAnsi="Times New Roman"/>
                <w:sz w:val="18"/>
                <w:szCs w:val="18"/>
                <w:lang w:eastAsia="ko-KR"/>
              </w:rPr>
            </w:pPr>
            <m:oMathPara>
              <m:oMath>
                <m:sSup>
                  <m:sSupPr>
                    <m:ctrlPr>
                      <w:rPr>
                        <w:rFonts w:ascii="Cambria Math" w:hAnsi="Cambria Math"/>
                        <w:sz w:val="18"/>
                        <w:szCs w:val="18"/>
                        <w:lang w:val="en-US"/>
                      </w:rPr>
                    </m:ctrlPr>
                  </m:sSupPr>
                  <m:e>
                    <m:sSub>
                      <m:sSubPr>
                        <m:ctrlPr>
                          <w:rPr>
                            <w:rFonts w:ascii="Cambria Math" w:hAnsi="Cambria Math"/>
                            <w:sz w:val="18"/>
                            <w:szCs w:val="18"/>
                            <w:lang w:val="en-US"/>
                          </w:rPr>
                        </m:ctrlPr>
                      </m:sSubPr>
                      <m:e>
                        <m:r>
                          <m:rPr>
                            <m:sty m:val="p"/>
                          </m:rPr>
                          <w:rPr>
                            <w:rFonts w:ascii="Cambria Math" w:hAnsi="Cambria Math"/>
                            <w:sz w:val="18"/>
                            <w:szCs w:val="18"/>
                            <w:lang w:val="en-US"/>
                          </w:rPr>
                          <m:t>(</m:t>
                        </m:r>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r>
                      <m:rPr>
                        <m:sty m:val="p"/>
                      </m:rPr>
                      <w:rPr>
                        <w:rFonts w:ascii="Cambria Math" w:eastAsia="Malgun Gothic" w:hAnsi="Cambria Math"/>
                        <w:sz w:val="18"/>
                        <w:szCs w:val="18"/>
                      </w:rPr>
                      <m:t>)</m:t>
                    </m:r>
                  </m:e>
                  <m:sup>
                    <m:r>
                      <m:rPr>
                        <m:sty m:val="p"/>
                      </m:rPr>
                      <w:rPr>
                        <w:rFonts w:ascii="Cambria Math" w:hAnsi="Cambria Math"/>
                        <w:sz w:val="18"/>
                        <w:szCs w:val="18"/>
                        <w:lang w:val="en-US"/>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-0.00774**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-0.00879**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-0.0118*</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-0.0141*</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(0.00361)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(0.00402)</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(0.00614)</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(0.00700)</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Calibri" w:hAnsi="Times New Roman"/>
                <w:sz w:val="18"/>
                <w:szCs w:val="18"/>
              </w:rPr>
            </w:pPr>
            <m:oMathPara>
              <m:oMath>
                <m:sSubSup>
                  <m:sSubSupPr>
                    <m:ctrlPr>
                      <w:rPr>
                        <w:rFonts w:ascii="Cambria Math" w:hAnsi="Cambria Math"/>
                        <w:sz w:val="18"/>
                        <w:szCs w:val="18"/>
                      </w:rPr>
                    </m:ctrlPr>
                  </m:sSubSupPr>
                  <m:e>
                    <m:r>
                      <w:rPr>
                        <w:rFonts w:ascii="Cambria Math" w:hAnsi="Cambria Math"/>
                        <w:sz w:val="18"/>
                        <w:szCs w:val="18"/>
                        <w:lang w:val="en-US"/>
                      </w:rPr>
                      <m:t>y</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gap</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-0.0624***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-0.0702***</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-0.0717***</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-0.142***</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-0.144***</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(0.0226)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(0.0220)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(0.0227)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(0.0409)</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(0.0419)</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7F27BB" w:rsidP="007F27BB">
            <w:pPr>
              <w:pStyle w:val="TableRowHeading"/>
              <w:jc w:val="both"/>
              <w:rPr>
                <w:rFonts w:ascii="Times New Roman" w:eastAsia="Calibri" w:hAnsi="Times New Roman"/>
                <w:sz w:val="18"/>
                <w:szCs w:val="18"/>
              </w:rPr>
            </w:pPr>
            <m:oMathPara>
              <m:oMath>
                <m:r>
                  <w:rPr>
                    <w:rFonts w:ascii="Cambria Math" w:hAnsi="Cambria Math"/>
                    <w:sz w:val="18"/>
                    <w:szCs w:val="18"/>
                  </w:rPr>
                  <m:t>abs</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0.0828*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0.0759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0.0659</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0.0502</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iCs/>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(0.0703)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(0.0464)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(0.0460)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(0.0735)</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(0.0746)</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Calibri" w:hAnsi="Times New Roman"/>
                <w:sz w:val="18"/>
                <w:szCs w:val="18"/>
              </w:rPr>
            </w:pPr>
            <m:oMathPara>
              <m:oMath>
                <m:sSup>
                  <m:sSupPr>
                    <m:ctrlPr>
                      <w:rPr>
                        <w:rFonts w:ascii="Cambria Math" w:hAnsi="Cambria Math"/>
                        <w:sz w:val="18"/>
                        <w:szCs w:val="18"/>
                      </w:rPr>
                    </m:ctrlPr>
                  </m:sSupPr>
                  <m:e>
                    <m:d>
                      <m:dPr>
                        <m:begChr m:val=""/>
                        <m:endChr m:val=""/>
                        <m:ctrlPr>
                          <w:rPr>
                            <w:rFonts w:ascii="Cambria Math" w:hAnsi="Cambria Math"/>
                            <w:sz w:val="18"/>
                            <w:szCs w:val="18"/>
                          </w:rPr>
                        </m:ctrlPr>
                      </m:dPr>
                      <m:e>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e>
                    </m:d>
                  </m:e>
                  <m:sup>
                    <m:r>
                      <m:rPr>
                        <m:sty m:val="p"/>
                      </m:rPr>
                      <w:rPr>
                        <w:rFonts w:ascii="Cambria Math" w:hAnsi="Cambria Math"/>
                        <w:sz w:val="18"/>
                        <w:szCs w:val="18"/>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-0.0132</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-0.00988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-0.00875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0.0187</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0.0224</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(0.0147)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(0.0109)</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(0.0104)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(0.0260)</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(0.0256)</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7F27BB" w:rsidP="007F27BB">
            <w:pPr>
              <w:pStyle w:val="TableRowHeading"/>
              <w:jc w:val="both"/>
              <w:rPr>
                <w:rFonts w:ascii="Times New Roman" w:eastAsia="Calibri" w:hAnsi="Times New Roman"/>
                <w:sz w:val="18"/>
                <w:szCs w:val="18"/>
              </w:rPr>
            </w:pPr>
            <m:oMathPara>
              <m:oMath>
                <m:r>
                  <w:rPr>
                    <w:rFonts w:ascii="Cambria Math" w:hAnsi="Cambria Math"/>
                    <w:sz w:val="18"/>
                    <w:szCs w:val="18"/>
                  </w:rPr>
                  <m:t>abs</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Δneer</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4.016**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3.311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3.571*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10.42***</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10.90***</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iCs/>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(1.735)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(1.990)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(1.821)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(2.395)</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(2.494)</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Calibri" w:hAnsi="Times New Roman"/>
                <w:sz w:val="18"/>
                <w:szCs w:val="18"/>
              </w:rPr>
            </w:pPr>
            <m:oMathPara>
              <m:oMath>
                <m:d>
                  <m:dPr>
                    <m:begChr m:val=""/>
                    <m:endChr m:val=""/>
                    <m:ctrlPr>
                      <w:rPr>
                        <w:rFonts w:ascii="Cambria Math" w:hAnsi="Cambria Math"/>
                        <w:sz w:val="18"/>
                        <w:szCs w:val="18"/>
                      </w:rPr>
                    </m:ctrlPr>
                  </m:dPr>
                  <m:e>
                    <m:d>
                      <m:dPr>
                        <m:begChr m:val=""/>
                        <m:endChr m:val=""/>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i</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0.0417*</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0.0448**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0.0467*</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0.0926*</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0.0960*</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(0.0218)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(0.0218)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(0.0233)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(0.0461)</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(0.0486)</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rFonts w:ascii="Times New Roman" w:eastAsia="Calibri" w:hAnsi="Times New Roman"/>
                <w:sz w:val="18"/>
                <w:szCs w:val="18"/>
              </w:rPr>
            </w:pPr>
            <m:oMathPara>
              <m:oMath>
                <m:sSup>
                  <m:sSupPr>
                    <m:ctrlPr>
                      <w:rPr>
                        <w:rFonts w:ascii="Cambria Math" w:hAnsi="Cambria Math"/>
                        <w:sz w:val="18"/>
                        <w:szCs w:val="18"/>
                      </w:rPr>
                    </m:ctrlPr>
                  </m:sSupPr>
                  <m:e>
                    <m:sSub>
                      <m:sSubPr>
                        <m:ctrlPr>
                          <w:rPr>
                            <w:rFonts w:ascii="Cambria Math" w:hAnsi="Cambria Math"/>
                            <w:sz w:val="18"/>
                            <w:szCs w:val="18"/>
                          </w:rPr>
                        </m:ctrlPr>
                      </m:sSubPr>
                      <m:e>
                        <m:r>
                          <m:rPr>
                            <m:sty m:val="p"/>
                          </m:rPr>
                          <w:rPr>
                            <w:rFonts w:ascii="Cambria Math" w:hAnsi="Cambria Math"/>
                            <w:sz w:val="18"/>
                            <w:szCs w:val="18"/>
                            <w:lang w:val="en-US"/>
                          </w:rPr>
                          <m:t>(Δ</m:t>
                        </m:r>
                        <m:r>
                          <w:rPr>
                            <w:rFonts w:ascii="Cambria Math" w:hAnsi="Cambria Math"/>
                            <w:sz w:val="18"/>
                            <w:szCs w:val="18"/>
                            <w:lang w:val="en-US"/>
                          </w:rPr>
                          <m:t>i</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r>
                      <m:rPr>
                        <m:sty m:val="p"/>
                      </m:rPr>
                      <w:rPr>
                        <w:rFonts w:ascii="Cambria Math" w:hAnsi="Cambria Math"/>
                        <w:sz w:val="18"/>
                        <w:szCs w:val="18"/>
                      </w:rPr>
                      <m:t>)</m:t>
                    </m:r>
                  </m:e>
                  <m:sup>
                    <m:r>
                      <m:rPr>
                        <m:sty m:val="p"/>
                      </m:rPr>
                      <w:rPr>
                        <w:rFonts w:ascii="Cambria Math" w:hAnsi="Cambria Math"/>
                        <w:sz w:val="18"/>
                        <w:szCs w:val="18"/>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7.01e-06**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5.21e-06**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5.71e-06**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1.08e-05**</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1.19e-05**</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Pr="00A75EE4" w:rsidRDefault="007F27BB" w:rsidP="007F27BB">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(2.61e-06)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(2.13e-06)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(2.30e-06)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(4.17e-06)</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(4.52e-06)</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Default="001A4E58" w:rsidP="007F27BB">
            <w:pPr>
              <w:pStyle w:val="TableRowHeading"/>
              <w:jc w:val="both"/>
              <w:rPr>
                <w:sz w:val="18"/>
                <w:szCs w:val="18"/>
              </w:rPr>
            </w:pPr>
            <m:oMathPara>
              <m:oMath>
                <m:sSub>
                  <m:sSubPr>
                    <m:ctrlPr>
                      <w:rPr>
                        <w:rFonts w:ascii="Cambria Math" w:hAnsi="Cambria Math"/>
                        <w:i/>
                        <w:sz w:val="18"/>
                        <w:szCs w:val="18"/>
                        <w:lang w:val="en-US"/>
                      </w:rPr>
                    </m:ctrlPr>
                  </m:sSubPr>
                  <m:e>
                    <m:r>
                      <w:rPr>
                        <w:rFonts w:ascii="Cambria Math" w:hAnsi="Cambria Math"/>
                        <w:sz w:val="18"/>
                        <w:szCs w:val="18"/>
                        <w:lang w:val="en-US"/>
                      </w:rPr>
                      <m:t>recession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-0.00227</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-0.00511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-0.00896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-0.0121</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-0.0176</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Default="007F27BB" w:rsidP="007F27BB">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(0.0295)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(0.0273)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(0.0287)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(0.0567)</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(0.0590)</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Default="001A4E58" w:rsidP="007F27BB">
            <w:pPr>
              <w:pStyle w:val="TableRowHeading"/>
              <w:jc w:val="both"/>
              <w:rPr>
                <w:sz w:val="18"/>
                <w:szCs w:val="18"/>
              </w:rPr>
            </w:pPr>
            <m:oMathPara>
              <m:oMath>
                <m:sSub>
                  <m:sSubPr>
                    <m:ctrlPr>
                      <w:rPr>
                        <w:rFonts w:ascii="Cambria Math" w:hAnsi="Cambria Math"/>
                        <w:i/>
                        <w:sz w:val="18"/>
                        <w:szCs w:val="18"/>
                        <w:lang w:val="en-US"/>
                      </w:rPr>
                    </m:ctrlPr>
                  </m:sSubPr>
                  <m:e>
                    <m:r>
                      <w:rPr>
                        <w:rFonts w:ascii="Cambria Math" w:hAnsi="Cambria Math"/>
                        <w:sz w:val="18"/>
                        <w:szCs w:val="18"/>
                        <w:lang w:val="en-US"/>
                      </w:rPr>
                      <m:t>mp_contraction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0.0340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-0.0769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-0.0686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-0.137</w:t>
            </w: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-0.127</w:t>
            </w:r>
          </w:p>
        </w:tc>
      </w:tr>
      <w:tr w:rsidR="007F27BB" w:rsidRPr="00731C8B" w:rsidTr="00253B06">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rsidR="007F27BB" w:rsidRDefault="007F27BB" w:rsidP="007F27BB">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(0.0313)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(0.0563)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(0.0522)</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(0.110)</w:t>
            </w:r>
          </w:p>
        </w:tc>
        <w:tc>
          <w:tcPr>
            <w:tcW w:w="1386" w:type="dxa"/>
            <w:tcBorders>
              <w:top w:val="nil"/>
              <w:left w:val="single" w:sz="4" w:space="0" w:color="BFBFBF" w:themeColor="background1" w:themeShade="BF"/>
              <w:bottom w:val="single" w:sz="4" w:space="0" w:color="BFBFBF" w:themeColor="background1" w:themeShade="BF"/>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(0.105)</w:t>
            </w:r>
          </w:p>
        </w:tc>
      </w:tr>
      <w:tr w:rsidR="007F27BB" w:rsidRPr="00731C8B" w:rsidTr="00253B06">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rsidR="007F27BB" w:rsidRPr="00A75EE4" w:rsidRDefault="001A4E58" w:rsidP="007F27BB">
            <w:pPr>
              <w:pStyle w:val="TableRowHeading"/>
              <w:jc w:val="both"/>
              <w:rPr>
                <w:sz w:val="18"/>
                <w:szCs w:val="18"/>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defl</m:t>
                    </m:r>
                    <m:r>
                      <m:rPr>
                        <m:sty m:val="p"/>
                      </m:rPr>
                      <w:rPr>
                        <w:rFonts w:ascii="Cambria Math" w:hAnsi="Cambria Math"/>
                        <w:sz w:val="18"/>
                        <w:szCs w:val="18"/>
                        <w:lang w:val="en-US"/>
                      </w:rPr>
                      <m:t xml:space="preserve"> </m:t>
                    </m:r>
                    <m:r>
                      <w:rPr>
                        <w:rFonts w:ascii="Cambria Math" w:hAnsi="Cambria Math"/>
                        <w:sz w:val="18"/>
                        <w:szCs w:val="18"/>
                        <w:lang w:val="en-US"/>
                      </w:rPr>
                      <m:t>long</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0.319**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0.635**</w:t>
            </w:r>
          </w:p>
        </w:tc>
      </w:tr>
      <w:tr w:rsidR="007F27BB" w:rsidRPr="00731C8B" w:rsidTr="00253B06">
        <w:trPr>
          <w:cantSplit/>
          <w:trHeight w:val="20"/>
        </w:trPr>
        <w:tc>
          <w:tcPr>
            <w:tcW w:w="2311" w:type="dxa"/>
            <w:vMerge/>
            <w:tcBorders>
              <w:left w:val="nil"/>
              <w:bottom w:val="single" w:sz="4" w:space="0" w:color="auto"/>
              <w:right w:val="single" w:sz="4" w:space="0" w:color="BFBFBF" w:themeColor="background1" w:themeShade="BF"/>
            </w:tcBorders>
          </w:tcPr>
          <w:p w:rsidR="007F27BB" w:rsidRPr="00F5337A" w:rsidRDefault="007F27BB" w:rsidP="007F27BB">
            <w:pPr>
              <w:pStyle w:val="TableRowHeading"/>
              <w:jc w:val="both"/>
              <w:rPr>
                <w:rFonts w:ascii="Times New Roman" w:eastAsia="Calibri" w:hAnsi="Times New Roman"/>
              </w:rPr>
            </w:pPr>
          </w:p>
        </w:tc>
        <w:tc>
          <w:tcPr>
            <w:tcW w:w="1387" w:type="dxa"/>
            <w:tcBorders>
              <w:top w:val="nil"/>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(0.140)</w:t>
            </w: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(0.270)</w:t>
            </w:r>
          </w:p>
        </w:tc>
      </w:tr>
      <w:tr w:rsidR="007F27BB" w:rsidRPr="00731C8B" w:rsidTr="00253B06">
        <w:trPr>
          <w:cantSplit/>
          <w:trHeight w:val="20"/>
        </w:trPr>
        <w:tc>
          <w:tcPr>
            <w:tcW w:w="2311" w:type="dxa"/>
            <w:tcBorders>
              <w:top w:val="single" w:sz="4" w:space="0" w:color="auto"/>
              <w:left w:val="nil"/>
              <w:bottom w:val="single" w:sz="4" w:space="0" w:color="BCBDBC"/>
              <w:right w:val="single" w:sz="4" w:space="0" w:color="BFBFBF" w:themeColor="background1" w:themeShade="BF"/>
            </w:tcBorders>
          </w:tcPr>
          <w:p w:rsidR="007F27BB" w:rsidRPr="00F5337A" w:rsidRDefault="007F27BB" w:rsidP="007F27BB">
            <w:pPr>
              <w:pStyle w:val="TableRowHeading"/>
              <w:jc w:val="both"/>
              <w:rPr>
                <w:rFonts w:ascii="Times New Roman" w:eastAsia="Calibri" w:hAnsi="Times New Roman"/>
              </w:rPr>
            </w:pPr>
            <w:proofErr w:type="spellStart"/>
            <w:r w:rsidRPr="00F5337A">
              <w:rPr>
                <w:rFonts w:ascii="Times New Roman" w:eastAsia="Calibri" w:hAnsi="Times New Roman"/>
              </w:rPr>
              <w:t>Obs</w:t>
            </w:r>
            <w:proofErr w:type="spellEnd"/>
          </w:p>
        </w:tc>
        <w:tc>
          <w:tcPr>
            <w:tcW w:w="1387"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7,225</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7,225</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7,225</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7,221</w:t>
            </w:r>
          </w:p>
        </w:tc>
        <w:tc>
          <w:tcPr>
            <w:tcW w:w="1386" w:type="dxa"/>
            <w:tcBorders>
              <w:top w:val="single" w:sz="4" w:space="0" w:color="auto"/>
              <w:left w:val="single" w:sz="4" w:space="0" w:color="BFBFBF" w:themeColor="background1" w:themeShade="BF"/>
              <w:bottom w:val="single" w:sz="4" w:space="0" w:color="BCBDBC"/>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7,221</w:t>
            </w:r>
          </w:p>
        </w:tc>
      </w:tr>
      <w:tr w:rsidR="007F27BB" w:rsidRPr="00731C8B" w:rsidTr="00253B06">
        <w:trPr>
          <w:cantSplit/>
          <w:trHeight w:val="20"/>
        </w:trPr>
        <w:tc>
          <w:tcPr>
            <w:tcW w:w="2311" w:type="dxa"/>
            <w:tcBorders>
              <w:top w:val="single" w:sz="4" w:space="0" w:color="BCBDBC"/>
              <w:left w:val="nil"/>
              <w:bottom w:val="single" w:sz="4" w:space="0" w:color="auto"/>
              <w:right w:val="single" w:sz="4" w:space="0" w:color="BFBFBF" w:themeColor="background1" w:themeShade="BF"/>
            </w:tcBorders>
          </w:tcPr>
          <w:p w:rsidR="007F27BB" w:rsidRPr="00F5337A" w:rsidRDefault="007F27BB" w:rsidP="007F27BB">
            <w:pPr>
              <w:pStyle w:val="TableRowHeading"/>
              <w:jc w:val="both"/>
              <w:rPr>
                <w:rFonts w:ascii="Times New Roman" w:eastAsia="Malgun Gothic" w:hAnsi="Times New Roman"/>
                <w:lang w:eastAsia="ko-KR"/>
              </w:rPr>
            </w:pPr>
            <w:r w:rsidRPr="00F5337A">
              <w:rPr>
                <w:rFonts w:ascii="Times New Roman" w:eastAsia="Malgun Gothic" w:hAnsi="Times New Roman"/>
                <w:lang w:eastAsia="ko-KR"/>
              </w:rPr>
              <w:t>R-squared</w:t>
            </w:r>
          </w:p>
        </w:tc>
        <w:tc>
          <w:tcPr>
            <w:tcW w:w="1387"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0.548</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0.574</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0.563</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0.660</w:t>
            </w:r>
          </w:p>
        </w:tc>
        <w:tc>
          <w:tcPr>
            <w:tcW w:w="1386" w:type="dxa"/>
            <w:tcBorders>
              <w:top w:val="single" w:sz="4" w:space="0" w:color="BCBDBC"/>
              <w:left w:val="single" w:sz="4" w:space="0" w:color="BFBFBF" w:themeColor="background1" w:themeShade="BF"/>
              <w:bottom w:val="single" w:sz="4" w:space="0" w:color="auto"/>
              <w:right w:val="nil"/>
            </w:tcBorders>
          </w:tcPr>
          <w:p w:rsidR="007F27BB" w:rsidRPr="007F27BB" w:rsidRDefault="007F27BB" w:rsidP="007F27BB">
            <w:pPr>
              <w:widowControl w:val="0"/>
              <w:autoSpaceDE w:val="0"/>
              <w:autoSpaceDN w:val="0"/>
              <w:adjustRightInd w:val="0"/>
              <w:jc w:val="center"/>
              <w:rPr>
                <w:rFonts w:cs="Segoe UI"/>
                <w:sz w:val="18"/>
                <w:szCs w:val="18"/>
              </w:rPr>
            </w:pPr>
            <w:r w:rsidRPr="007F27BB">
              <w:rPr>
                <w:rFonts w:cs="Segoe UI"/>
                <w:sz w:val="18"/>
                <w:szCs w:val="18"/>
              </w:rPr>
              <w:t>0.650</w:t>
            </w:r>
          </w:p>
        </w:tc>
      </w:tr>
      <w:tr w:rsidR="009D3501" w:rsidRPr="00731C8B" w:rsidTr="00253B06">
        <w:trPr>
          <w:cantSplit/>
          <w:trHeight w:val="20"/>
        </w:trPr>
        <w:tc>
          <w:tcPr>
            <w:tcW w:w="9242" w:type="dxa"/>
            <w:gridSpan w:val="6"/>
            <w:tcBorders>
              <w:top w:val="single" w:sz="4" w:space="0" w:color="auto"/>
              <w:left w:val="nil"/>
              <w:bottom w:val="nil"/>
              <w:right w:val="nil"/>
            </w:tcBorders>
          </w:tcPr>
          <w:p w:rsidR="009D3501" w:rsidRPr="00F5337A" w:rsidRDefault="009D3501" w:rsidP="00253B06">
            <w:pPr>
              <w:pStyle w:val="TblCell2"/>
              <w:spacing w:after="0" w:line="480" w:lineRule="auto"/>
              <w:jc w:val="both"/>
              <w:rPr>
                <w:rFonts w:ascii="Times New Roman" w:eastAsia="Malgun Gothic" w:hAnsi="Times New Roman"/>
                <w:sz w:val="24"/>
                <w:szCs w:val="24"/>
                <w:lang w:eastAsia="ko-KR"/>
              </w:rPr>
            </w:pPr>
            <w:r>
              <w:rPr>
                <w:rFonts w:ascii="Times New Roman" w:eastAsia="Malgun Gothic" w:hAnsi="Times New Roman"/>
                <w:sz w:val="24"/>
                <w:szCs w:val="24"/>
                <w:lang w:eastAsia="ko-KR"/>
              </w:rPr>
              <w:t>Online Annex Table</w:t>
            </w:r>
            <w:r w:rsidRPr="00F5337A">
              <w:rPr>
                <w:rFonts w:ascii="Times New Roman" w:eastAsia="Malgun Gothic" w:hAnsi="Times New Roman"/>
                <w:sz w:val="24"/>
                <w:szCs w:val="24"/>
                <w:lang w:eastAsia="ko-KR"/>
              </w:rPr>
              <w:t xml:space="preserve"> </w:t>
            </w:r>
            <w:r>
              <w:rPr>
                <w:rFonts w:ascii="Times New Roman" w:eastAsia="Malgun Gothic" w:hAnsi="Times New Roman"/>
                <w:sz w:val="24"/>
                <w:szCs w:val="24"/>
                <w:lang w:eastAsia="ko-KR"/>
              </w:rPr>
              <w:t>A</w:t>
            </w:r>
            <w:r w:rsidR="002136CE">
              <w:rPr>
                <w:rFonts w:ascii="Times New Roman" w:eastAsia="Malgun Gothic" w:hAnsi="Times New Roman"/>
                <w:sz w:val="24"/>
                <w:szCs w:val="24"/>
                <w:lang w:eastAsia="ko-KR"/>
              </w:rPr>
              <w:t>4</w:t>
            </w:r>
            <w:r w:rsidRPr="00F5337A">
              <w:rPr>
                <w:rFonts w:ascii="Times New Roman" w:eastAsia="Malgun Gothic" w:hAnsi="Times New Roman"/>
                <w:sz w:val="24"/>
                <w:szCs w:val="24"/>
                <w:lang w:eastAsia="ko-KR"/>
              </w:rPr>
              <w:t>: Forecast disagreement</w:t>
            </w:r>
            <w:r>
              <w:rPr>
                <w:rFonts w:ascii="Times New Roman" w:eastAsia="Malgun Gothic" w:hAnsi="Times New Roman"/>
                <w:sz w:val="24"/>
                <w:szCs w:val="24"/>
                <w:lang w:eastAsia="ko-KR"/>
              </w:rPr>
              <w:t>, excluding the Great Financial Crisis</w:t>
            </w:r>
          </w:p>
          <w:p w:rsidR="009D3501" w:rsidRPr="00F5337A" w:rsidRDefault="009D3501" w:rsidP="00E53CEC">
            <w:pPr>
              <w:pStyle w:val="TblCell2"/>
              <w:spacing w:line="480" w:lineRule="auto"/>
              <w:jc w:val="both"/>
              <w:rPr>
                <w:rFonts w:ascii="Times New Roman" w:eastAsia="Malgun Gothic" w:hAnsi="Times New Roman"/>
                <w:sz w:val="20"/>
                <w:lang w:eastAsia="ko-KR"/>
              </w:rPr>
            </w:pPr>
            <w:r w:rsidRPr="00F5337A">
              <w:rPr>
                <w:rFonts w:ascii="Times New Roman" w:eastAsia="Malgun Gothic" w:hAnsi="Times New Roman"/>
                <w:i/>
                <w:sz w:val="20"/>
                <w:lang w:eastAsia="ko-KR"/>
              </w:rPr>
              <w:t>Notes:</w:t>
            </w:r>
            <w:r w:rsidRPr="00F5337A">
              <w:rPr>
                <w:rFonts w:ascii="Times New Roman" w:eastAsia="Malgun Gothic" w:hAnsi="Times New Roman"/>
                <w:sz w:val="20"/>
                <w:lang w:eastAsia="ko-KR"/>
              </w:rPr>
              <w:t xml:space="preserve"> Dependent variable is the interquartile range of expected inflation </w:t>
            </w:r>
            <w:r>
              <w:rPr>
                <w:rFonts w:ascii="Times New Roman" w:eastAsia="Malgun Gothic" w:hAnsi="Times New Roman"/>
                <w:sz w:val="20"/>
                <w:lang w:eastAsia="ko-KR"/>
              </w:rPr>
              <w:t>over</w:t>
            </w:r>
            <w:r w:rsidRPr="00F5337A">
              <w:rPr>
                <w:rFonts w:ascii="Times New Roman" w:eastAsia="Malgun Gothic" w:hAnsi="Times New Roman"/>
                <w:sz w:val="20"/>
                <w:lang w:eastAsia="ko-KR"/>
              </w:rPr>
              <w:t xml:space="preserve"> the </w:t>
            </w:r>
            <w:r>
              <w:rPr>
                <w:rFonts w:ascii="Times New Roman" w:eastAsia="Malgun Gothic" w:hAnsi="Times New Roman"/>
                <w:sz w:val="20"/>
                <w:lang w:eastAsia="ko-KR"/>
              </w:rPr>
              <w:t xml:space="preserve">next </w:t>
            </w:r>
            <w:r w:rsidRPr="00F06BCE">
              <w:rPr>
                <w:rFonts w:ascii="Times New Roman" w:eastAsia="Malgun Gothic" w:hAnsi="Times New Roman"/>
                <w:sz w:val="20"/>
                <w:lang w:eastAsia="ko-KR"/>
              </w:rPr>
              <w:t>12</w:t>
            </w:r>
            <w:r>
              <w:rPr>
                <w:rFonts w:ascii="Times New Roman" w:eastAsia="Malgun Gothic" w:hAnsi="Times New Roman"/>
                <w:sz w:val="20"/>
                <w:lang w:eastAsia="ko-KR"/>
              </w:rPr>
              <w:t xml:space="preserve"> </w:t>
            </w:r>
            <w:r w:rsidRPr="00F06BCE">
              <w:rPr>
                <w:rFonts w:ascii="Times New Roman" w:eastAsia="Malgun Gothic" w:hAnsi="Times New Roman"/>
                <w:sz w:val="20"/>
                <w:lang w:eastAsia="ko-KR"/>
              </w:rPr>
              <w:t>month</w:t>
            </w:r>
            <w:r>
              <w:rPr>
                <w:rFonts w:ascii="Times New Roman" w:eastAsia="Malgun Gothic" w:hAnsi="Times New Roman"/>
                <w:sz w:val="20"/>
                <w:lang w:eastAsia="ko-KR"/>
              </w:rPr>
              <w:t>s</w:t>
            </w:r>
            <w:r w:rsidRPr="00F06BCE">
              <w:rPr>
                <w:rFonts w:ascii="Times New Roman" w:eastAsia="Malgun Gothic" w:hAnsi="Times New Roman"/>
                <w:sz w:val="20"/>
                <w:lang w:eastAsia="ko-KR"/>
              </w:rPr>
              <w:t xml:space="preserve"> </w:t>
            </w:r>
            <w:r w:rsidRPr="00F5337A">
              <w:rPr>
                <w:rFonts w:ascii="Times New Roman" w:eastAsia="Malgun Gothic" w:hAnsi="Times New Roman"/>
                <w:sz w:val="20"/>
                <w:lang w:eastAsia="ko-KR"/>
              </w:rPr>
              <w:t xml:space="preserve">(Columns (1) to (3)) or the </w:t>
            </w:r>
            <w:proofErr w:type="spellStart"/>
            <w:r w:rsidRPr="00F5337A">
              <w:rPr>
                <w:rFonts w:ascii="Times New Roman" w:eastAsia="Malgun Gothic" w:hAnsi="Times New Roman"/>
                <w:sz w:val="20"/>
                <w:lang w:eastAsia="ko-KR"/>
              </w:rPr>
              <w:t>interdecile</w:t>
            </w:r>
            <w:proofErr w:type="spellEnd"/>
            <w:r w:rsidRPr="00F5337A">
              <w:rPr>
                <w:rFonts w:ascii="Times New Roman" w:eastAsia="Malgun Gothic" w:hAnsi="Times New Roman"/>
                <w:sz w:val="20"/>
                <w:lang w:eastAsia="ko-KR"/>
              </w:rPr>
              <w:t xml:space="preserve"> range (Columns (4) and (5)). </w:t>
            </w:r>
            <w:r w:rsidR="00E53CEC">
              <w:rPr>
                <w:rFonts w:ascii="Times New Roman" w:eastAsia="Malgun Gothic" w:hAnsi="Times New Roman"/>
                <w:sz w:val="20"/>
                <w:lang w:eastAsia="ko-KR"/>
              </w:rPr>
              <w:t xml:space="preserve">Excludes the period of the Great Financial Crisis (September 2008–December 2009). </w:t>
            </w:r>
            <w:r w:rsidRPr="00F5337A">
              <w:rPr>
                <w:rFonts w:ascii="Times New Roman" w:eastAsia="Malgun Gothic" w:hAnsi="Times New Roman"/>
                <w:sz w:val="20"/>
                <w:lang w:eastAsia="ko-KR"/>
              </w:rPr>
              <w:t xml:space="preserve">Robust standard errors clustered by country and time in parentheses. </w:t>
            </w:r>
            <w:r w:rsidRPr="006168A0">
              <w:rPr>
                <w:rFonts w:ascii="Times New Roman" w:eastAsia="Malgun Gothic" w:hAnsi="Times New Roman"/>
                <w:sz w:val="20"/>
                <w:lang w:eastAsia="ko-KR"/>
              </w:rPr>
              <w:t xml:space="preserve">*, ** and *** denote statistical significance at 10%, 5% and 1% level, respectively. </w:t>
            </w:r>
            <w:r w:rsidRPr="00F5337A">
              <w:rPr>
                <w:rFonts w:ascii="Times New Roman" w:eastAsia="Malgun Gothic" w:hAnsi="Times New Roman"/>
                <w:sz w:val="20"/>
                <w:lang w:eastAsia="ko-KR"/>
              </w:rPr>
              <w:lastRenderedPageBreak/>
              <w:t>Columns (1), (2) and (4) show results with deflation dummies that comprise all deflations; Columns (3) and (5) include only persistent deflations. All models include country and time fixed effects.</w:t>
            </w:r>
          </w:p>
        </w:tc>
      </w:tr>
    </w:tbl>
    <w:p w:rsidR="00172D2D" w:rsidRDefault="00172D2D"/>
    <w:p w:rsidR="00495497" w:rsidRDefault="00495497">
      <w:pPr>
        <w:spacing w:after="160" w:line="259" w:lineRule="auto"/>
      </w:pPr>
      <w:r>
        <w:br w:type="page"/>
      </w:r>
    </w:p>
    <w:tbl>
      <w:tblPr>
        <w:tblpPr w:leftFromText="180" w:rightFromText="180" w:topFromText="120" w:bottomFromText="240" w:vertAnchor="text" w:tblpXSpec="center" w:tblpY="121"/>
        <w:tblOverlap w:val="never"/>
        <w:tblW w:w="6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238"/>
        <w:gridCol w:w="1238"/>
        <w:gridCol w:w="1173"/>
        <w:gridCol w:w="1173"/>
      </w:tblGrid>
      <w:tr w:rsidR="00495497" w:rsidRPr="00731C8B" w:rsidTr="00253B06">
        <w:trPr>
          <w:cantSplit/>
          <w:trHeight w:val="20"/>
        </w:trPr>
        <w:tc>
          <w:tcPr>
            <w:tcW w:w="1945" w:type="dxa"/>
            <w:tcBorders>
              <w:top w:val="single" w:sz="4" w:space="0" w:color="auto"/>
              <w:left w:val="nil"/>
              <w:bottom w:val="single" w:sz="4" w:space="0" w:color="auto"/>
              <w:right w:val="single" w:sz="4" w:space="0" w:color="BCBDBC"/>
            </w:tcBorders>
            <w:vAlign w:val="center"/>
            <w:hideMark/>
          </w:tcPr>
          <w:p w:rsidR="00495497" w:rsidRPr="002D5C47" w:rsidRDefault="00495497" w:rsidP="00253B06">
            <w:pPr>
              <w:pStyle w:val="TableColumnHeading"/>
              <w:rPr>
                <w:rFonts w:eastAsia="Malgun Gothic"/>
                <w:lang w:eastAsia="ko-KR"/>
              </w:rPr>
            </w:pPr>
            <w:r w:rsidRPr="002D5C47">
              <w:rPr>
                <w:rFonts w:eastAsia="Malgun Gothic"/>
                <w:lang w:eastAsia="ko-KR"/>
              </w:rPr>
              <w:lastRenderedPageBreak/>
              <w:t>Variable</w:t>
            </w:r>
          </w:p>
        </w:tc>
        <w:tc>
          <w:tcPr>
            <w:tcW w:w="1238" w:type="dxa"/>
            <w:tcBorders>
              <w:top w:val="single" w:sz="4" w:space="0" w:color="auto"/>
              <w:left w:val="single" w:sz="4" w:space="0" w:color="BCBDBC"/>
              <w:bottom w:val="single" w:sz="4" w:space="0" w:color="auto"/>
              <w:right w:val="single" w:sz="4" w:space="0" w:color="BCBDBC"/>
            </w:tcBorders>
            <w:vAlign w:val="center"/>
          </w:tcPr>
          <w:p w:rsidR="00495497" w:rsidRPr="002D5C47" w:rsidRDefault="00495497" w:rsidP="00253B06">
            <w:pPr>
              <w:pStyle w:val="TableColumnHeading"/>
            </w:pPr>
            <w:r>
              <w:t>(1)</w:t>
            </w:r>
          </w:p>
        </w:tc>
        <w:tc>
          <w:tcPr>
            <w:tcW w:w="1238" w:type="dxa"/>
            <w:tcBorders>
              <w:top w:val="single" w:sz="4" w:space="0" w:color="auto"/>
              <w:left w:val="single" w:sz="4" w:space="0" w:color="BCBDBC"/>
              <w:bottom w:val="single" w:sz="4" w:space="0" w:color="auto"/>
              <w:right w:val="single" w:sz="4" w:space="0" w:color="BCBDBC"/>
            </w:tcBorders>
            <w:vAlign w:val="center"/>
          </w:tcPr>
          <w:p w:rsidR="00495497" w:rsidRPr="002D5C47" w:rsidRDefault="00495497" w:rsidP="00253B06">
            <w:pPr>
              <w:pStyle w:val="TableColumnHeading"/>
            </w:pPr>
            <w:r>
              <w:t>(2)</w:t>
            </w:r>
          </w:p>
        </w:tc>
        <w:tc>
          <w:tcPr>
            <w:tcW w:w="1173" w:type="dxa"/>
            <w:tcBorders>
              <w:top w:val="single" w:sz="4" w:space="0" w:color="auto"/>
              <w:left w:val="single" w:sz="4" w:space="0" w:color="BCBDBC"/>
              <w:bottom w:val="single" w:sz="4" w:space="0" w:color="auto"/>
              <w:right w:val="single" w:sz="4" w:space="0" w:color="BCBDBC"/>
            </w:tcBorders>
            <w:vAlign w:val="center"/>
          </w:tcPr>
          <w:p w:rsidR="00495497" w:rsidRPr="002D5C47" w:rsidRDefault="00495497" w:rsidP="00253B06">
            <w:pPr>
              <w:pStyle w:val="TableColumnHeading"/>
            </w:pPr>
            <w:r>
              <w:t>(3)</w:t>
            </w:r>
          </w:p>
        </w:tc>
        <w:tc>
          <w:tcPr>
            <w:tcW w:w="1173" w:type="dxa"/>
            <w:tcBorders>
              <w:top w:val="single" w:sz="4" w:space="0" w:color="auto"/>
              <w:left w:val="single" w:sz="4" w:space="0" w:color="BCBDBC"/>
              <w:bottom w:val="single" w:sz="4" w:space="0" w:color="auto"/>
              <w:right w:val="nil"/>
            </w:tcBorders>
            <w:vAlign w:val="center"/>
          </w:tcPr>
          <w:p w:rsidR="00495497" w:rsidRPr="002D5C47" w:rsidRDefault="00495497" w:rsidP="00253B06">
            <w:pPr>
              <w:pStyle w:val="TableColumnHeading"/>
            </w:pPr>
            <w:r>
              <w:t>(4)</w:t>
            </w:r>
          </w:p>
        </w:tc>
      </w:tr>
      <w:tr w:rsidR="003054F1" w:rsidRPr="00731C8B" w:rsidTr="00253B06">
        <w:trPr>
          <w:cantSplit/>
          <w:trHeight w:val="20"/>
        </w:trPr>
        <w:tc>
          <w:tcPr>
            <w:tcW w:w="1945" w:type="dxa"/>
            <w:vMerge w:val="restart"/>
            <w:tcBorders>
              <w:top w:val="single" w:sz="4" w:space="0" w:color="auto"/>
              <w:left w:val="nil"/>
              <w:right w:val="single" w:sz="4" w:space="0" w:color="BCBDBC"/>
            </w:tcBorders>
            <w:hideMark/>
          </w:tcPr>
          <w:p w:rsidR="003054F1" w:rsidRPr="00A75EE4" w:rsidRDefault="001A4E58" w:rsidP="003054F1">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pos</m:t>
                        </m:r>
                      </m:sup>
                    </m:sSubSup>
                  </m:e>
                </m:d>
              </m:oMath>
            </m:oMathPara>
          </w:p>
        </w:tc>
        <w:tc>
          <w:tcPr>
            <w:tcW w:w="1238" w:type="dxa"/>
            <w:tcBorders>
              <w:top w:val="single" w:sz="4" w:space="0" w:color="auto"/>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0.286**</w:t>
            </w:r>
          </w:p>
        </w:tc>
        <w:tc>
          <w:tcPr>
            <w:tcW w:w="1238" w:type="dxa"/>
            <w:tcBorders>
              <w:top w:val="single" w:sz="4" w:space="0" w:color="auto"/>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0.276**</w:t>
            </w:r>
          </w:p>
        </w:tc>
        <w:tc>
          <w:tcPr>
            <w:tcW w:w="1173" w:type="dxa"/>
            <w:tcBorders>
              <w:top w:val="single" w:sz="4" w:space="0" w:color="auto"/>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0.294**</w:t>
            </w:r>
          </w:p>
        </w:tc>
        <w:tc>
          <w:tcPr>
            <w:tcW w:w="1173" w:type="dxa"/>
            <w:tcBorders>
              <w:top w:val="single" w:sz="4" w:space="0" w:color="auto"/>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0.285**</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(0.132)</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(0.130)</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(0.128)</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(0.126)</w:t>
            </w:r>
          </w:p>
        </w:tc>
      </w:tr>
      <w:tr w:rsidR="003054F1" w:rsidRPr="00731C8B" w:rsidTr="005549C9">
        <w:trPr>
          <w:cantSplit/>
          <w:trHeight w:val="20"/>
        </w:trPr>
        <w:tc>
          <w:tcPr>
            <w:tcW w:w="1945" w:type="dxa"/>
            <w:vMerge w:val="restart"/>
            <w:tcBorders>
              <w:top w:val="single" w:sz="4" w:space="0" w:color="BCBDBC"/>
              <w:left w:val="nil"/>
              <w:right w:val="single" w:sz="4" w:space="0" w:color="BCBDBC"/>
            </w:tcBorders>
          </w:tcPr>
          <w:p w:rsidR="003054F1" w:rsidRDefault="001A4E58" w:rsidP="003054F1">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neg</m:t>
                        </m:r>
                      </m:sup>
                    </m:sSubSup>
                  </m:e>
                </m:d>
              </m:oMath>
            </m:oMathPara>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-0.00463</w:t>
            </w:r>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-0.0432</w:t>
            </w:r>
          </w:p>
        </w:tc>
        <w:tc>
          <w:tcPr>
            <w:tcW w:w="1173"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0.0637</w:t>
            </w:r>
          </w:p>
        </w:tc>
        <w:tc>
          <w:tcPr>
            <w:tcW w:w="1173" w:type="dxa"/>
            <w:tcBorders>
              <w:top w:val="nil"/>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0.0400</w:t>
            </w:r>
          </w:p>
        </w:tc>
      </w:tr>
      <w:tr w:rsidR="003054F1" w:rsidRPr="00731C8B" w:rsidTr="005549C9">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(0.156)</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(0.141)</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(0.163)</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(0.140)</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1A4E58" w:rsidP="00FA2530">
            <w:pPr>
              <w:pStyle w:val="TableRowHeading"/>
              <w:rPr>
                <w:rFonts w:ascii="Times New Roman" w:eastAsia="Malgun Gothic" w:hAnsi="Times New Roman"/>
                <w:lang w:eastAsia="ko-KR"/>
              </w:rPr>
            </w:pPr>
            <m:oMathPara>
              <m:oMath>
                <m:sSubSup>
                  <m:sSubSupPr>
                    <m:ctrlPr>
                      <w:rPr>
                        <w:rFonts w:ascii="Cambria Math" w:hAnsi="Cambria Math"/>
                        <w:iCs/>
                      </w:rPr>
                    </m:ctrlPr>
                  </m:sSubSupPr>
                  <m:e>
                    <m:r>
                      <w:rPr>
                        <w:rFonts w:ascii="Cambria Math" w:hAnsi="Cambria Math"/>
                        <w:lang w:val="en-US"/>
                      </w:rPr>
                      <m:t>D</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defl</m:t>
                    </m:r>
                  </m:sup>
                </m:sSub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0.382**</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0.393**</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(0.166)</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(0.177)</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1A4E58" w:rsidP="00FA2530">
            <w:pPr>
              <w:pStyle w:val="TableRowHeading"/>
              <w:rPr>
                <w:rFonts w:ascii="Times New Roman" w:eastAsia="Malgun Gothic" w:hAnsi="Times New Roman"/>
                <w:lang w:eastAsia="ko-KR"/>
              </w:rPr>
            </w:pPr>
            <m:oMathPara>
              <m:oMath>
                <m:sSubSup>
                  <m:sSubSupPr>
                    <m:ctrlPr>
                      <w:rPr>
                        <w:rFonts w:ascii="Cambria Math" w:hAnsi="Cambria Math"/>
                        <w:iCs/>
                      </w:rPr>
                    </m:ctrlPr>
                  </m:sSubSupPr>
                  <m:e>
                    <m:r>
                      <w:rPr>
                        <w:rFonts w:ascii="Cambria Math" w:hAnsi="Cambria Math"/>
                        <w:lang w:val="en-US"/>
                      </w:rPr>
                      <m:t>D</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High</m:t>
                    </m:r>
                    <m:r>
                      <m:rPr>
                        <m:sty m:val="p"/>
                      </m:rPr>
                      <w:rPr>
                        <w:rFonts w:ascii="Cambria Math" w:hAnsi="Cambria Math"/>
                        <w:lang w:val="en-US"/>
                      </w:rPr>
                      <m:t xml:space="preserve"> </m:t>
                    </m:r>
                    <m:r>
                      <w:rPr>
                        <w:rFonts w:ascii="Cambria Math" w:hAnsi="Cambria Math"/>
                        <w:lang w:val="en-US"/>
                      </w:rPr>
                      <m:t>infl</m:t>
                    </m:r>
                  </m:sup>
                </m:sSub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-0.445*</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-0.447*</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-0.424*</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-0.426*</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(0.250)</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(0.257)</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(0.238)</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(0.245)</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A75EE4" w:rsidRDefault="001A4E58" w:rsidP="003054F1">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pos</m:t>
                    </m:r>
                  </m:sup>
                </m:sSub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0.0306</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0.0394</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0.0253</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0.0342</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lang w:val="en-U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(0.0248)</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(0.0263)</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(0.0237)</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(0.0249)</w:t>
            </w:r>
          </w:p>
        </w:tc>
      </w:tr>
      <w:tr w:rsidR="003054F1" w:rsidRPr="00731C8B" w:rsidTr="00596BDF">
        <w:trPr>
          <w:cantSplit/>
          <w:trHeight w:val="20"/>
        </w:trPr>
        <w:tc>
          <w:tcPr>
            <w:tcW w:w="1945" w:type="dxa"/>
            <w:vMerge w:val="restart"/>
            <w:tcBorders>
              <w:top w:val="single" w:sz="4" w:space="0" w:color="BCBDBC"/>
              <w:left w:val="nil"/>
              <w:right w:val="single" w:sz="4" w:space="0" w:color="BCBDBC"/>
            </w:tcBorders>
          </w:tcPr>
          <w:p w:rsidR="003054F1" w:rsidRPr="00A75EE4" w:rsidRDefault="001A4E58" w:rsidP="003054F1">
            <w:pPr>
              <w:pStyle w:val="TableRowHeading"/>
              <w:jc w:val="both"/>
              <w:rPr>
                <w:sz w:val="18"/>
                <w:szCs w:val="18"/>
                <w:lang w:val="en-US"/>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neg</m:t>
                    </m:r>
                  </m:sup>
                </m:sSubSup>
              </m:oMath>
            </m:oMathPara>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-0.159**</w:t>
            </w:r>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-0.184**</w:t>
            </w:r>
          </w:p>
        </w:tc>
        <w:tc>
          <w:tcPr>
            <w:tcW w:w="1173"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-0.163**</w:t>
            </w:r>
          </w:p>
        </w:tc>
        <w:tc>
          <w:tcPr>
            <w:tcW w:w="1173" w:type="dxa"/>
            <w:tcBorders>
              <w:top w:val="nil"/>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-0.188**</w:t>
            </w:r>
          </w:p>
        </w:tc>
      </w:tr>
      <w:tr w:rsidR="003054F1" w:rsidRPr="00731C8B" w:rsidTr="00596BDF">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lang w:val="en-U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(0.0702)</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(0.0795)</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(0.0661)</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(0.0757)</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1A4E58" w:rsidP="00FA2530">
            <w:pPr>
              <w:pStyle w:val="TableRowHeading"/>
              <w:rPr>
                <w:rFonts w:ascii="Times New Roman" w:eastAsia="Malgun Gothic" w:hAnsi="Times New Roman"/>
                <w:lang w:eastAsia="ko-KR"/>
              </w:rPr>
            </w:pPr>
            <m:oMathPara>
              <m:oMath>
                <m:sSup>
                  <m:sSupPr>
                    <m:ctrlPr>
                      <w:rPr>
                        <w:rFonts w:ascii="Cambria Math" w:hAnsi="Cambria Math"/>
                        <w:lang w:val="en-US"/>
                      </w:rPr>
                    </m:ctrlPr>
                  </m:sSupPr>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infl</m:t>
                        </m:r>
                        <m:r>
                          <m:rPr>
                            <m:sty m:val="p"/>
                          </m:rPr>
                          <w:rPr>
                            <w:rFonts w:ascii="Cambria Math" w:hAnsi="Cambria Math"/>
                            <w:lang w:val="en-US"/>
                          </w:rPr>
                          <m:t xml:space="preserve"> </m:t>
                        </m:r>
                        <m:r>
                          <w:rPr>
                            <w:rFonts w:ascii="Cambria Math" w:hAnsi="Cambria Math"/>
                            <w:lang w:val="en-US"/>
                          </w:rPr>
                          <m:t>gap</m:t>
                        </m:r>
                        <m:ctrlPr>
                          <w:rPr>
                            <w:rFonts w:ascii="Cambria Math" w:hAnsi="Cambria Math"/>
                            <w:iCs/>
                          </w:rPr>
                        </m:ctrlP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ctrlPr>
                          <w:rPr>
                            <w:rFonts w:ascii="Cambria Math" w:hAnsi="Cambria Math"/>
                            <w:iCs/>
                          </w:rPr>
                        </m:ctrlPr>
                      </m:sub>
                    </m:sSub>
                    <m:r>
                      <m:rPr>
                        <m:sty m:val="p"/>
                      </m:rPr>
                      <w:rPr>
                        <w:rFonts w:ascii="Cambria Math" w:hAnsi="Cambria Math"/>
                      </w:rPr>
                      <m:t>)</m:t>
                    </m:r>
                  </m:e>
                  <m:sup>
                    <m:r>
                      <m:rPr>
                        <m:sty m:val="p"/>
                      </m:rPr>
                      <w:rPr>
                        <w:rFonts w:ascii="Cambria Math" w:hAnsi="Cambria Math"/>
                        <w:lang w:val="en-US"/>
                      </w:rPr>
                      <m:t>2</m:t>
                    </m:r>
                  </m:sup>
                </m:s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-0.00636*</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-0.00745*</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-0.00645*</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-0.00757**</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lang w:val="en-U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(0.00342)</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(0.00382)</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(0.00327)</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(0.00367)</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1A4E58" w:rsidP="00FA2530">
            <w:pPr>
              <w:pStyle w:val="TableRowHeading"/>
              <w:rPr>
                <w:rFonts w:ascii="Times New Roman" w:eastAsia="Calibri" w:hAnsi="Times New Roman"/>
                <w:iCs/>
              </w:rPr>
            </w:pPr>
            <m:oMathPara>
              <m:oMath>
                <m:sSubSup>
                  <m:sSubSupPr>
                    <m:ctrlPr>
                      <w:rPr>
                        <w:rFonts w:ascii="Cambria Math" w:hAnsi="Cambria Math"/>
                        <w:iCs/>
                      </w:rPr>
                    </m:ctrlPr>
                  </m:sSubSupPr>
                  <m:e>
                    <m:r>
                      <w:rPr>
                        <w:rFonts w:ascii="Cambria Math" w:hAnsi="Cambria Math"/>
                        <w:lang w:val="en-US"/>
                      </w:rPr>
                      <m:t>y</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gap, one sided</m:t>
                    </m:r>
                  </m:sup>
                </m:sSub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-0.0139</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-0.0122</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(0.00902)</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(0.00969)</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3054F1" w:rsidP="00FA2530">
            <w:pPr>
              <w:pStyle w:val="TableRowHeading"/>
              <w:rPr>
                <w:rFonts w:ascii="Times New Roman" w:eastAsia="Calibri" w:hAnsi="Times New Roman"/>
                <w:iCs/>
              </w:rPr>
            </w:pPr>
            <m:oMathPara>
              <m:oMath>
                <m:r>
                  <w:rPr>
                    <w:rFonts w:ascii="Cambria Math" w:hAnsi="Cambria Math"/>
                  </w:rPr>
                  <m:t>abs</m:t>
                </m:r>
                <m:d>
                  <m:dPr>
                    <m:ctrlPr>
                      <w:rPr>
                        <w:rFonts w:ascii="Cambria Math" w:hAnsi="Cambria Math"/>
                        <w:iCs/>
                      </w:rPr>
                    </m:ctrlPr>
                  </m:dPr>
                  <m:e>
                    <m:sSub>
                      <m:sSubPr>
                        <m:ctrlPr>
                          <w:rPr>
                            <w:rFonts w:ascii="Cambria Math" w:hAnsi="Cambria Math"/>
                            <w:iCs/>
                          </w:rPr>
                        </m:ctrlPr>
                      </m:sSubPr>
                      <m:e>
                        <m:r>
                          <w:rPr>
                            <w:rFonts w:ascii="Cambria Math" w:hAnsi="Cambria Math"/>
                            <w:lang w:val="en-US"/>
                          </w:rPr>
                          <m:t>Δπ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0.0980*</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0.0980*</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0.0820*</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0.0812*</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(0.0531)</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(0.0540)</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(0.0464)</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(0.0475)</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1A4E58" w:rsidP="00FA2530">
            <w:pPr>
              <w:pStyle w:val="TableRowHeading"/>
              <w:rPr>
                <w:rFonts w:ascii="Times New Roman" w:eastAsia="Calibri" w:hAnsi="Times New Roman"/>
                <w:iCs/>
              </w:rPr>
            </w:pPr>
            <m:oMathPara>
              <m:oMath>
                <m:sSup>
                  <m:sSupPr>
                    <m:ctrlPr>
                      <w:rPr>
                        <w:rFonts w:ascii="Cambria Math" w:hAnsi="Cambria Math"/>
                        <w:iCs/>
                      </w:rPr>
                    </m:ctrlPr>
                  </m:sSupPr>
                  <m:e>
                    <m:d>
                      <m:dPr>
                        <m:begChr m:val=""/>
                        <m:endChr m:val=""/>
                        <m:ctrlPr>
                          <w:rPr>
                            <w:rFonts w:ascii="Cambria Math" w:hAnsi="Cambria Math"/>
                            <w:iCs/>
                          </w:rPr>
                        </m:ctrlPr>
                      </m:dPr>
                      <m:e>
                        <m:d>
                          <m:dPr>
                            <m:ctrlPr>
                              <w:rPr>
                                <w:rFonts w:ascii="Cambria Math" w:hAnsi="Cambria Math"/>
                                <w:iCs/>
                              </w:rPr>
                            </m:ctrlPr>
                          </m:dPr>
                          <m:e>
                            <m:sSub>
                              <m:sSubPr>
                                <m:ctrlPr>
                                  <w:rPr>
                                    <w:rFonts w:ascii="Cambria Math" w:hAnsi="Cambria Math"/>
                                    <w:iCs/>
                                  </w:rPr>
                                </m:ctrlPr>
                              </m:sSubPr>
                              <m:e>
                                <m:r>
                                  <w:rPr>
                                    <w:rFonts w:ascii="Cambria Math" w:hAnsi="Cambria Math"/>
                                    <w:lang w:val="en-US"/>
                                  </w:rPr>
                                  <m:t>Δπ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-0.00705</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-0.00661</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-0.00822</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-0.00783</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(0.0103)</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(0.0101)</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(0.0106)</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(0.0103)</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3054F1" w:rsidP="00FA2530">
            <w:pPr>
              <w:pStyle w:val="TableRowHeading"/>
              <w:rPr>
                <w:rFonts w:ascii="Times New Roman" w:eastAsia="Calibri" w:hAnsi="Times New Roman"/>
                <w:iCs/>
              </w:rPr>
            </w:pPr>
            <m:oMathPara>
              <m:oMath>
                <m:r>
                  <w:rPr>
                    <w:rFonts w:ascii="Cambria Math" w:hAnsi="Cambria Math"/>
                  </w:rPr>
                  <m:t>abs</m:t>
                </m:r>
                <m:d>
                  <m:dPr>
                    <m:ctrlPr>
                      <w:rPr>
                        <w:rFonts w:ascii="Cambria Math" w:hAnsi="Cambria Math"/>
                        <w:iCs/>
                      </w:rPr>
                    </m:ctrlPr>
                  </m:dPr>
                  <m:e>
                    <m:sSub>
                      <m:sSubPr>
                        <m:ctrlPr>
                          <w:rPr>
                            <w:rFonts w:ascii="Cambria Math" w:hAnsi="Cambria Math"/>
                            <w:iCs/>
                          </w:rPr>
                        </m:ctrlPr>
                      </m:sSubPr>
                      <m:e>
                        <m:r>
                          <w:rPr>
                            <w:rFonts w:ascii="Cambria Math" w:hAnsi="Cambria Math"/>
                            <w:lang w:val="en-US"/>
                          </w:rPr>
                          <m:t>Δneer</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3.936**</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4.161**</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3.739**</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3.977**</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(1.674)</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(1.550)</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(1.795)</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(1.655)</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2D5C47" w:rsidRDefault="001A4E58" w:rsidP="00FA2530">
            <w:pPr>
              <w:pStyle w:val="TableRowHeading"/>
              <w:rPr>
                <w:rFonts w:ascii="Times New Roman" w:eastAsia="Calibri" w:hAnsi="Times New Roman"/>
                <w:iCs/>
              </w:rPr>
            </w:pPr>
            <m:oMathPara>
              <m:oMath>
                <m:d>
                  <m:dPr>
                    <m:begChr m:val=""/>
                    <m:endChr m:val=""/>
                    <m:ctrlPr>
                      <w:rPr>
                        <w:rFonts w:ascii="Cambria Math" w:hAnsi="Cambria Math"/>
                        <w:iCs/>
                      </w:rPr>
                    </m:ctrlPr>
                  </m:dPr>
                  <m:e>
                    <m:d>
                      <m:dPr>
                        <m:begChr m:val=""/>
                        <m:endChr m:val=""/>
                        <m:ctrlPr>
                          <w:rPr>
                            <w:rFonts w:ascii="Cambria Math" w:hAnsi="Cambria Math"/>
                            <w:iCs/>
                          </w:rPr>
                        </m:ctrlPr>
                      </m:dPr>
                      <m:e>
                        <m:sSub>
                          <m:sSubPr>
                            <m:ctrlPr>
                              <w:rPr>
                                <w:rFonts w:ascii="Cambria Math" w:hAnsi="Cambria Math"/>
                                <w:iCs/>
                              </w:rPr>
                            </m:ctrlPr>
                          </m:sSubPr>
                          <m:e>
                            <m:r>
                              <w:rPr>
                                <w:rFonts w:ascii="Cambria Math" w:hAnsi="Cambria Math"/>
                                <w:lang w:val="en-US"/>
                              </w:rPr>
                              <m:t>i</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0.0351</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0.0368</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(0.0236)</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(0.0250)</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Default="001A4E58" w:rsidP="00FA2530">
            <w:pPr>
              <w:pStyle w:val="TableRowHeading"/>
              <w:rPr>
                <w:iCs/>
              </w:rPr>
            </w:pPr>
            <m:oMathPara>
              <m:oMath>
                <m:sSup>
                  <m:sSupPr>
                    <m:ctrlPr>
                      <w:rPr>
                        <w:rFonts w:ascii="Cambria Math" w:hAnsi="Cambria Math"/>
                        <w:iCs/>
                      </w:rPr>
                    </m:ctrlPr>
                  </m:sSupPr>
                  <m:e>
                    <m:sSub>
                      <m:sSubPr>
                        <m:ctrlPr>
                          <w:rPr>
                            <w:rFonts w:ascii="Cambria Math" w:hAnsi="Cambria Math"/>
                            <w:iCs/>
                          </w:rPr>
                        </m:ctrlPr>
                      </m:sSubPr>
                      <m:e>
                        <m:r>
                          <m:rPr>
                            <m:sty m:val="p"/>
                          </m:rPr>
                          <w:rPr>
                            <w:rFonts w:ascii="Cambria Math" w:hAnsi="Cambria Math"/>
                            <w:lang w:val="en-US"/>
                          </w:rPr>
                          <m:t>(Δ</m:t>
                        </m:r>
                        <m:r>
                          <w:rPr>
                            <w:rFonts w:ascii="Cambria Math" w:hAnsi="Cambria Math"/>
                            <w:lang w:val="en-US"/>
                          </w:rPr>
                          <m:t>i</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r>
                      <m:rPr>
                        <m:sty m:val="p"/>
                      </m:rPr>
                      <w:rPr>
                        <w:rFonts w:ascii="Cambria Math" w:hAnsi="Cambria Math"/>
                      </w:rPr>
                      <m:t>)</m:t>
                    </m:r>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5.88e-06**</w:t>
            </w: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6.40e-06**</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(2.64e-06)</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(2.86e-06)</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3054F1" w:rsidRDefault="001A4E58" w:rsidP="00FA2530">
            <w:pPr>
              <w:pStyle w:val="TableRowHeading"/>
              <w:rPr>
                <w:iCs/>
              </w:rPr>
            </w:pPr>
            <m:oMathPara>
              <m:oMath>
                <m:sSub>
                  <m:sSubPr>
                    <m:ctrlPr>
                      <w:rPr>
                        <w:rFonts w:ascii="Cambria Math" w:hAnsi="Cambria Math"/>
                        <w:i/>
                        <w:sz w:val="18"/>
                        <w:szCs w:val="18"/>
                        <w:lang w:val="en-US"/>
                      </w:rPr>
                    </m:ctrlPr>
                  </m:sSubPr>
                  <m:e>
                    <m:r>
                      <w:rPr>
                        <w:rFonts w:ascii="Cambria Math" w:hAnsi="Cambria Math"/>
                        <w:sz w:val="18"/>
                        <w:szCs w:val="18"/>
                        <w:lang w:val="en-US"/>
                      </w:rPr>
                      <m:t>recession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-0.00549</w:t>
            </w:r>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-0.00309</w:t>
            </w:r>
          </w:p>
        </w:tc>
        <w:tc>
          <w:tcPr>
            <w:tcW w:w="1173"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-0.00103</w:t>
            </w:r>
          </w:p>
        </w:tc>
        <w:tc>
          <w:tcPr>
            <w:tcW w:w="1173" w:type="dxa"/>
            <w:tcBorders>
              <w:top w:val="nil"/>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-6.15e-05</w:t>
            </w:r>
          </w:p>
        </w:tc>
      </w:tr>
      <w:tr w:rsidR="003054F1"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(0.0232)</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(0.0244)</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(0.0275)</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(0.0282)</w:t>
            </w:r>
          </w:p>
        </w:tc>
      </w:tr>
      <w:tr w:rsidR="003054F1"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3054F1" w:rsidRDefault="001A4E58" w:rsidP="00FA2530">
            <w:pPr>
              <w:pStyle w:val="TableRowHeading"/>
              <w:rPr>
                <w:iCs/>
              </w:rPr>
            </w:pPr>
            <m:oMathPara>
              <m:oMath>
                <m:sSub>
                  <m:sSubPr>
                    <m:ctrlPr>
                      <w:rPr>
                        <w:rFonts w:ascii="Cambria Math" w:hAnsi="Cambria Math"/>
                        <w:i/>
                        <w:sz w:val="18"/>
                        <w:szCs w:val="18"/>
                        <w:lang w:val="en-US"/>
                      </w:rPr>
                    </m:ctrlPr>
                  </m:sSubPr>
                  <m:e>
                    <m:r>
                      <w:rPr>
                        <w:rFonts w:ascii="Cambria Math" w:hAnsi="Cambria Math"/>
                        <w:sz w:val="18"/>
                        <w:szCs w:val="18"/>
                        <w:lang w:val="en-US"/>
                      </w:rPr>
                      <m:t>mp_contraction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0.00557</w:t>
            </w:r>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0.0115</w:t>
            </w:r>
          </w:p>
        </w:tc>
        <w:tc>
          <w:tcPr>
            <w:tcW w:w="1173"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Default="003054F1" w:rsidP="003054F1">
            <w:pPr>
              <w:pStyle w:val="TableRowHeading"/>
              <w:rPr>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(0.0398)</w:t>
            </w: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(0.0374)</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6108F7" w:rsidRDefault="001A4E58" w:rsidP="00FA2530">
            <w:pPr>
              <w:pStyle w:val="TableRowHeading"/>
              <w:rPr>
                <w:rFonts w:cs="Segoe UI"/>
                <w:iCs/>
                <w:sz w:val="18"/>
                <w:szCs w:val="18"/>
              </w:rPr>
            </w:pPr>
            <m:oMathPara>
              <m:oMath>
                <m:sSubSup>
                  <m:sSubSupPr>
                    <m:ctrlPr>
                      <w:rPr>
                        <w:rFonts w:ascii="Cambria Math" w:hAnsi="Cambria Math" w:cs="Segoe UI"/>
                        <w:iCs/>
                        <w:sz w:val="18"/>
                        <w:szCs w:val="18"/>
                      </w:rPr>
                    </m:ctrlPr>
                  </m:sSubSupPr>
                  <m:e>
                    <m:r>
                      <w:rPr>
                        <w:rFonts w:ascii="Cambria Math" w:hAnsi="Cambria Math" w:cs="Segoe UI"/>
                        <w:sz w:val="18"/>
                        <w:szCs w:val="18"/>
                      </w:rPr>
                      <m:t>D</m:t>
                    </m:r>
                  </m:e>
                  <m:sub>
                    <m:r>
                      <w:rPr>
                        <w:rFonts w:ascii="Cambria Math" w:hAnsi="Cambria Math" w:cs="Segoe UI"/>
                        <w:sz w:val="18"/>
                        <w:szCs w:val="18"/>
                      </w:rPr>
                      <m:t>c</m:t>
                    </m:r>
                    <m:r>
                      <m:rPr>
                        <m:sty m:val="p"/>
                      </m:rPr>
                      <w:rPr>
                        <w:rFonts w:ascii="Cambria Math" w:hAnsi="Cambria Math" w:cs="Segoe UI"/>
                        <w:sz w:val="18"/>
                        <w:szCs w:val="18"/>
                      </w:rPr>
                      <m:t>, </m:t>
                    </m:r>
                    <m:r>
                      <w:rPr>
                        <w:rFonts w:ascii="Cambria Math" w:hAnsi="Cambria Math" w:cs="Segoe UI"/>
                        <w:sz w:val="18"/>
                        <w:szCs w:val="18"/>
                      </w:rPr>
                      <m:t>t</m:t>
                    </m:r>
                  </m:sub>
                  <m:sup>
                    <m:r>
                      <w:rPr>
                        <w:rFonts w:ascii="Cambria Math" w:hAnsi="Cambria Math" w:cs="Segoe UI"/>
                        <w:sz w:val="18"/>
                        <w:szCs w:val="18"/>
                      </w:rPr>
                      <m:t>defl</m:t>
                    </m:r>
                    <m:r>
                      <m:rPr>
                        <m:sty m:val="p"/>
                      </m:rPr>
                      <w:rPr>
                        <w:rFonts w:ascii="Cambria Math" w:hAnsi="Cambria Math" w:cs="Segoe UI"/>
                        <w:sz w:val="18"/>
                        <w:szCs w:val="18"/>
                      </w:rPr>
                      <m:t xml:space="preserve"> </m:t>
                    </m:r>
                    <m:r>
                      <w:rPr>
                        <w:rFonts w:ascii="Cambria Math" w:hAnsi="Cambria Math" w:cs="Segoe UI"/>
                        <w:sz w:val="18"/>
                        <w:szCs w:val="18"/>
                      </w:rPr>
                      <m:t>long</m:t>
                    </m:r>
                  </m:sup>
                </m:sSub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0.320**</w:t>
            </w: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0.353**</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Pr="006108F7" w:rsidRDefault="003054F1" w:rsidP="003054F1">
            <w:pPr>
              <w:pStyle w:val="TableRowHeading"/>
              <w:rPr>
                <w:rFonts w:cs="Segoe UI"/>
                <w:iCs/>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(0.141)</w:t>
            </w: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(0.156)</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6108F7" w:rsidRDefault="001A4E58" w:rsidP="00FA2530">
            <w:pPr>
              <w:pStyle w:val="TableRowHeading"/>
              <w:rPr>
                <w:rFonts w:cs="Segoe UI"/>
                <w:iCs/>
                <w:sz w:val="18"/>
                <w:szCs w:val="18"/>
              </w:rPr>
            </w:pPr>
            <m:oMathPara>
              <m:oMath>
                <m:sSubSup>
                  <m:sSubSupPr>
                    <m:ctrlPr>
                      <w:rPr>
                        <w:rFonts w:ascii="Cambria Math" w:hAnsi="Cambria Math"/>
                        <w:iCs/>
                      </w:rPr>
                    </m:ctrlPr>
                  </m:sSubSupPr>
                  <m:e>
                    <m:r>
                      <w:rPr>
                        <w:rFonts w:ascii="Cambria Math" w:hAnsi="Cambria Math"/>
                        <w:lang w:val="en-US"/>
                      </w:rPr>
                      <m:t>y</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gap, two sided</m:t>
                    </m:r>
                  </m:sup>
                </m:sSub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-0.0578***</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-0.0596***</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Pr="006108F7" w:rsidRDefault="003054F1" w:rsidP="003054F1">
            <w:pPr>
              <w:pStyle w:val="TableRowHeading"/>
              <w:rPr>
                <w:rFonts w:cs="Segoe UI"/>
                <w:iCs/>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(0.0204)</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(0.0211)</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Pr="006108F7" w:rsidRDefault="001A4E58" w:rsidP="00FA2530">
            <w:pPr>
              <w:pStyle w:val="TableRowHeading"/>
              <w:rPr>
                <w:rFonts w:cs="Segoe UI"/>
                <w:iCs/>
                <w:sz w:val="18"/>
                <w:szCs w:val="18"/>
              </w:rPr>
            </w:pPr>
            <m:oMathPara>
              <m:oMath>
                <m:d>
                  <m:dPr>
                    <m:begChr m:val=""/>
                    <m:endChr m:val=""/>
                    <m:ctrlPr>
                      <w:rPr>
                        <w:rFonts w:ascii="Cambria Math" w:hAnsi="Cambria Math"/>
                        <w:iCs/>
                      </w:rPr>
                    </m:ctrlPr>
                  </m:dPr>
                  <m:e>
                    <m:d>
                      <m:dPr>
                        <m:begChr m:val=""/>
                        <m:endChr m:val=""/>
                        <m:ctrlPr>
                          <w:rPr>
                            <w:rFonts w:ascii="Cambria Math" w:hAnsi="Cambria Math"/>
                            <w:iCs/>
                          </w:rPr>
                        </m:ctrlPr>
                      </m:dPr>
                      <m:e>
                        <m:sSub>
                          <m:sSubPr>
                            <m:ctrlPr>
                              <w:rPr>
                                <w:rFonts w:ascii="Cambria Math" w:hAnsi="Cambria Math"/>
                                <w:iCs/>
                              </w:rPr>
                            </m:ctrlPr>
                          </m:sSubPr>
                          <m:e>
                            <m:sSup>
                              <m:sSupPr>
                                <m:ctrlPr>
                                  <w:rPr>
                                    <w:rFonts w:ascii="Cambria Math" w:hAnsi="Cambria Math"/>
                                    <w:i/>
                                    <w:lang w:val="en-US"/>
                                  </w:rPr>
                                </m:ctrlPr>
                              </m:sSupPr>
                              <m:e>
                                <m:r>
                                  <w:rPr>
                                    <w:rFonts w:ascii="Cambria Math" w:hAnsi="Cambria Math"/>
                                    <w:lang w:val="en-US"/>
                                  </w:rPr>
                                  <m:t>i</m:t>
                                </m:r>
                              </m:e>
                              <m:sup>
                                <m:r>
                                  <w:rPr>
                                    <w:rFonts w:ascii="Cambria Math" w:hAnsi="Cambria Math"/>
                                    <w:lang w:val="en-US"/>
                                  </w:rPr>
                                  <m:t>shadow</m:t>
                                </m:r>
                              </m:sup>
                            </m:sSup>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0.0343</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0.0339</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Pr="006108F7" w:rsidRDefault="003054F1" w:rsidP="003054F1">
            <w:pPr>
              <w:pStyle w:val="TableRowHeading"/>
              <w:rPr>
                <w:rFonts w:cs="Segoe UI"/>
                <w:iCs/>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(0.0211)</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(0.0221)</w:t>
            </w:r>
          </w:p>
        </w:tc>
      </w:tr>
      <w:tr w:rsidR="003054F1" w:rsidRPr="00731C8B" w:rsidTr="00253B06">
        <w:trPr>
          <w:cantSplit/>
          <w:trHeight w:val="20"/>
        </w:trPr>
        <w:tc>
          <w:tcPr>
            <w:tcW w:w="1945" w:type="dxa"/>
            <w:vMerge w:val="restart"/>
            <w:tcBorders>
              <w:top w:val="single" w:sz="4" w:space="0" w:color="BCBDBC"/>
              <w:left w:val="nil"/>
              <w:right w:val="single" w:sz="4" w:space="0" w:color="BCBDBC"/>
            </w:tcBorders>
          </w:tcPr>
          <w:p w:rsidR="003054F1" w:rsidRDefault="001A4E58" w:rsidP="00FA2530">
            <w:pPr>
              <w:pStyle w:val="TableRowHeading"/>
              <w:rPr>
                <w:iCs/>
              </w:rPr>
            </w:pPr>
            <m:oMathPara>
              <m:oMath>
                <m:sSup>
                  <m:sSupPr>
                    <m:ctrlPr>
                      <w:rPr>
                        <w:rFonts w:ascii="Cambria Math" w:hAnsi="Cambria Math"/>
                        <w:iCs/>
                      </w:rPr>
                    </m:ctrlPr>
                  </m:sSupPr>
                  <m:e>
                    <m:sSub>
                      <m:sSubPr>
                        <m:ctrlPr>
                          <w:rPr>
                            <w:rFonts w:ascii="Cambria Math" w:hAnsi="Cambria Math"/>
                            <w:iCs/>
                          </w:rPr>
                        </m:ctrlPr>
                      </m:sSubPr>
                      <m:e>
                        <m:r>
                          <m:rPr>
                            <m:sty m:val="p"/>
                          </m:rPr>
                          <w:rPr>
                            <w:rFonts w:ascii="Cambria Math" w:hAnsi="Cambria Math"/>
                            <w:lang w:val="en-US"/>
                          </w:rPr>
                          <m:t>(Δ</m:t>
                        </m:r>
                        <m:sSup>
                          <m:sSupPr>
                            <m:ctrlPr>
                              <w:rPr>
                                <w:rFonts w:ascii="Cambria Math" w:hAnsi="Cambria Math"/>
                                <w:i/>
                                <w:lang w:val="en-US"/>
                              </w:rPr>
                            </m:ctrlPr>
                          </m:sSupPr>
                          <m:e>
                            <m:r>
                              <w:rPr>
                                <w:rFonts w:ascii="Cambria Math" w:hAnsi="Cambria Math"/>
                                <w:lang w:val="en-US"/>
                              </w:rPr>
                              <m:t>i</m:t>
                            </m:r>
                          </m:e>
                          <m:sup>
                            <m:r>
                              <w:rPr>
                                <w:rFonts w:ascii="Cambria Math" w:hAnsi="Cambria Math"/>
                                <w:lang w:val="en-US"/>
                              </w:rPr>
                              <m:t>shadow</m:t>
                            </m:r>
                          </m:sup>
                        </m:sSup>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r>
                      <m:rPr>
                        <m:sty m:val="p"/>
                      </m:rPr>
                      <w:rPr>
                        <w:rFonts w:ascii="Cambria Math" w:hAnsi="Cambria Math"/>
                      </w:rPr>
                      <m:t>)</m:t>
                    </m:r>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5.68e-06**</w:t>
            </w:r>
          </w:p>
        </w:tc>
        <w:tc>
          <w:tcPr>
            <w:tcW w:w="1173" w:type="dxa"/>
            <w:tcBorders>
              <w:top w:val="single" w:sz="4" w:space="0" w:color="BCBDBC"/>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6.15e-06**</w:t>
            </w:r>
          </w:p>
        </w:tc>
      </w:tr>
      <w:tr w:rsidR="003054F1"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3054F1" w:rsidRPr="002D5C47" w:rsidRDefault="003054F1" w:rsidP="003054F1">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(2.37e-06)</w:t>
            </w:r>
          </w:p>
        </w:tc>
        <w:tc>
          <w:tcPr>
            <w:tcW w:w="1173" w:type="dxa"/>
            <w:tcBorders>
              <w:top w:val="nil"/>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(2.54e-06)</w:t>
            </w:r>
          </w:p>
        </w:tc>
      </w:tr>
      <w:tr w:rsidR="003054F1"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3054F1" w:rsidRPr="002D5C47" w:rsidRDefault="001A4E58" w:rsidP="00FA2530">
            <w:pPr>
              <w:pStyle w:val="TableRowHeading"/>
              <w:rPr>
                <w:rFonts w:ascii="Times New Roman" w:eastAsia="Calibri" w:hAnsi="Times New Roman"/>
                <w:iCs/>
              </w:rPr>
            </w:pPr>
            <m:oMathPara>
              <m:oMath>
                <m:sSub>
                  <m:sSubPr>
                    <m:ctrlPr>
                      <w:rPr>
                        <w:rFonts w:ascii="Cambria Math" w:hAnsi="Cambria Math"/>
                        <w:i/>
                        <w:sz w:val="18"/>
                        <w:szCs w:val="18"/>
                        <w:lang w:val="en-US"/>
                      </w:rPr>
                    </m:ctrlPr>
                  </m:sSubPr>
                  <m:e>
                    <m:sSup>
                      <m:sSupPr>
                        <m:ctrlPr>
                          <w:rPr>
                            <w:rFonts w:ascii="Cambria Math" w:hAnsi="Cambria Math"/>
                            <w:i/>
                            <w:sz w:val="18"/>
                            <w:szCs w:val="18"/>
                            <w:lang w:val="en-US"/>
                          </w:rPr>
                        </m:ctrlPr>
                      </m:sSupPr>
                      <m:e>
                        <m:r>
                          <w:rPr>
                            <w:rFonts w:ascii="Cambria Math" w:hAnsi="Cambria Math"/>
                            <w:sz w:val="18"/>
                            <w:szCs w:val="18"/>
                            <w:lang w:val="en-US"/>
                          </w:rPr>
                          <m:t>mp_contr</m:t>
                        </m:r>
                      </m:e>
                      <m:sup>
                        <m:r>
                          <w:rPr>
                            <w:rFonts w:ascii="Cambria Math" w:hAnsi="Cambria Math"/>
                            <w:sz w:val="18"/>
                            <w:szCs w:val="18"/>
                            <w:lang w:val="en-US"/>
                          </w:rPr>
                          <m:t>shadow</m:t>
                        </m:r>
                      </m:sup>
                    </m:sSup>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nil"/>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-0.0521</w:t>
            </w:r>
          </w:p>
        </w:tc>
        <w:tc>
          <w:tcPr>
            <w:tcW w:w="1173" w:type="dxa"/>
            <w:tcBorders>
              <w:top w:val="nil"/>
              <w:left w:val="single" w:sz="4" w:space="0" w:color="BCBDBC"/>
              <w:bottom w:val="nil"/>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-0.0477</w:t>
            </w:r>
          </w:p>
        </w:tc>
      </w:tr>
      <w:tr w:rsidR="003054F1" w:rsidRPr="00731C8B" w:rsidTr="00253B06">
        <w:trPr>
          <w:cantSplit/>
          <w:trHeight w:val="20"/>
        </w:trPr>
        <w:tc>
          <w:tcPr>
            <w:tcW w:w="1945" w:type="dxa"/>
            <w:vMerge/>
            <w:tcBorders>
              <w:left w:val="nil"/>
              <w:bottom w:val="single" w:sz="4" w:space="0" w:color="BCBDBC"/>
              <w:right w:val="single" w:sz="4" w:space="0" w:color="BCBDBC"/>
            </w:tcBorders>
          </w:tcPr>
          <w:p w:rsidR="003054F1" w:rsidRPr="002D5C47" w:rsidRDefault="003054F1" w:rsidP="003054F1">
            <w:pPr>
              <w:pStyle w:val="TableRowHeading"/>
              <w:rPr>
                <w:rFonts w:ascii="Times New Roman" w:eastAsia="Calibri" w:hAnsi="Times New Roman"/>
                <w:iCs/>
              </w:rPr>
            </w:pPr>
          </w:p>
        </w:tc>
        <w:tc>
          <w:tcPr>
            <w:tcW w:w="1238" w:type="dxa"/>
            <w:tcBorders>
              <w:top w:val="nil"/>
              <w:left w:val="single" w:sz="4" w:space="0" w:color="BCBDBC"/>
              <w:bottom w:val="single" w:sz="4" w:space="0" w:color="auto"/>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auto"/>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auto"/>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(0.0532)</w:t>
            </w:r>
          </w:p>
        </w:tc>
        <w:tc>
          <w:tcPr>
            <w:tcW w:w="1173" w:type="dxa"/>
            <w:tcBorders>
              <w:top w:val="nil"/>
              <w:left w:val="single" w:sz="4" w:space="0" w:color="BCBDBC"/>
              <w:bottom w:val="single" w:sz="4" w:space="0" w:color="auto"/>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(0.0496)</w:t>
            </w:r>
          </w:p>
        </w:tc>
      </w:tr>
      <w:tr w:rsidR="003054F1" w:rsidRPr="00731C8B" w:rsidTr="00253B06">
        <w:trPr>
          <w:cantSplit/>
          <w:trHeight w:val="20"/>
        </w:trPr>
        <w:tc>
          <w:tcPr>
            <w:tcW w:w="1945" w:type="dxa"/>
            <w:tcBorders>
              <w:top w:val="single" w:sz="4" w:space="0" w:color="auto"/>
              <w:left w:val="nil"/>
              <w:bottom w:val="single" w:sz="4" w:space="0" w:color="BCBDBC"/>
              <w:right w:val="single" w:sz="4" w:space="0" w:color="BCBDBC"/>
            </w:tcBorders>
          </w:tcPr>
          <w:p w:rsidR="003054F1" w:rsidRPr="002D5C47" w:rsidRDefault="003054F1" w:rsidP="003054F1">
            <w:pPr>
              <w:pStyle w:val="TableRowHeading"/>
              <w:rPr>
                <w:rFonts w:ascii="Times New Roman" w:eastAsia="Calibri" w:hAnsi="Times New Roman"/>
                <w:iCs/>
              </w:rPr>
            </w:pPr>
            <w:proofErr w:type="spellStart"/>
            <w:r w:rsidRPr="002D5C47">
              <w:rPr>
                <w:rFonts w:ascii="Times New Roman" w:eastAsia="Calibri" w:hAnsi="Times New Roman"/>
                <w:iCs/>
              </w:rPr>
              <w:t>Obs</w:t>
            </w:r>
            <w:proofErr w:type="spellEnd"/>
          </w:p>
        </w:tc>
        <w:tc>
          <w:tcPr>
            <w:tcW w:w="1238" w:type="dxa"/>
            <w:tcBorders>
              <w:top w:val="single" w:sz="4" w:space="0" w:color="auto"/>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7,860</w:t>
            </w:r>
          </w:p>
        </w:tc>
        <w:tc>
          <w:tcPr>
            <w:tcW w:w="1238" w:type="dxa"/>
            <w:tcBorders>
              <w:top w:val="single" w:sz="4" w:space="0" w:color="auto"/>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7,860</w:t>
            </w:r>
          </w:p>
        </w:tc>
        <w:tc>
          <w:tcPr>
            <w:tcW w:w="1173" w:type="dxa"/>
            <w:tcBorders>
              <w:top w:val="single" w:sz="4" w:space="0" w:color="auto"/>
              <w:left w:val="single" w:sz="4" w:space="0" w:color="BCBDBC"/>
              <w:bottom w:val="single" w:sz="4" w:space="0" w:color="BCBDBC"/>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7,860</w:t>
            </w:r>
          </w:p>
        </w:tc>
        <w:tc>
          <w:tcPr>
            <w:tcW w:w="1173" w:type="dxa"/>
            <w:tcBorders>
              <w:top w:val="single" w:sz="4" w:space="0" w:color="auto"/>
              <w:left w:val="single" w:sz="4" w:space="0" w:color="BCBDBC"/>
              <w:bottom w:val="single" w:sz="4" w:space="0" w:color="BCBDBC"/>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7,860</w:t>
            </w:r>
          </w:p>
        </w:tc>
      </w:tr>
      <w:tr w:rsidR="003054F1" w:rsidRPr="00731C8B" w:rsidTr="00253B06">
        <w:trPr>
          <w:cantSplit/>
          <w:trHeight w:val="20"/>
        </w:trPr>
        <w:tc>
          <w:tcPr>
            <w:tcW w:w="1945" w:type="dxa"/>
            <w:tcBorders>
              <w:top w:val="single" w:sz="4" w:space="0" w:color="BCBDBC"/>
              <w:left w:val="nil"/>
              <w:bottom w:val="single" w:sz="4" w:space="0" w:color="auto"/>
              <w:right w:val="single" w:sz="4" w:space="0" w:color="BCBDBC"/>
            </w:tcBorders>
          </w:tcPr>
          <w:p w:rsidR="003054F1" w:rsidRPr="002D5C47" w:rsidRDefault="003054F1" w:rsidP="003054F1">
            <w:pPr>
              <w:pStyle w:val="TableRowHeading"/>
              <w:rPr>
                <w:rFonts w:ascii="Times New Roman" w:eastAsia="Malgun Gothic" w:hAnsi="Times New Roman"/>
                <w:lang w:eastAsia="ko-KR"/>
              </w:rPr>
            </w:pPr>
            <w:r w:rsidRPr="002D5C47">
              <w:rPr>
                <w:rFonts w:ascii="Times New Roman" w:eastAsia="Malgun Gothic" w:hAnsi="Times New Roman"/>
                <w:lang w:eastAsia="ko-KR"/>
              </w:rPr>
              <w:t>R-squared</w:t>
            </w:r>
          </w:p>
        </w:tc>
        <w:tc>
          <w:tcPr>
            <w:tcW w:w="1238" w:type="dxa"/>
            <w:tcBorders>
              <w:top w:val="single" w:sz="4" w:space="0" w:color="BCBDBC"/>
              <w:left w:val="single" w:sz="4" w:space="0" w:color="BCBDBC"/>
              <w:bottom w:val="single" w:sz="4" w:space="0" w:color="auto"/>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0.547</w:t>
            </w:r>
          </w:p>
        </w:tc>
        <w:tc>
          <w:tcPr>
            <w:tcW w:w="1238" w:type="dxa"/>
            <w:tcBorders>
              <w:top w:val="single" w:sz="4" w:space="0" w:color="BCBDBC"/>
              <w:left w:val="single" w:sz="4" w:space="0" w:color="BCBDBC"/>
              <w:bottom w:val="single" w:sz="4" w:space="0" w:color="auto"/>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0.537</w:t>
            </w:r>
          </w:p>
        </w:tc>
        <w:tc>
          <w:tcPr>
            <w:tcW w:w="1173" w:type="dxa"/>
            <w:tcBorders>
              <w:top w:val="single" w:sz="4" w:space="0" w:color="BCBDBC"/>
              <w:left w:val="single" w:sz="4" w:space="0" w:color="BCBDBC"/>
              <w:bottom w:val="single" w:sz="4" w:space="0" w:color="auto"/>
              <w:right w:val="single" w:sz="4" w:space="0" w:color="BCBDBC"/>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0.559</w:t>
            </w:r>
          </w:p>
        </w:tc>
        <w:tc>
          <w:tcPr>
            <w:tcW w:w="1173" w:type="dxa"/>
            <w:tcBorders>
              <w:top w:val="single" w:sz="4" w:space="0" w:color="BCBDBC"/>
              <w:left w:val="single" w:sz="4" w:space="0" w:color="BCBDBC"/>
              <w:bottom w:val="single" w:sz="4" w:space="0" w:color="auto"/>
              <w:right w:val="nil"/>
            </w:tcBorders>
          </w:tcPr>
          <w:p w:rsidR="003054F1" w:rsidRPr="003054F1" w:rsidRDefault="003054F1" w:rsidP="003054F1">
            <w:pPr>
              <w:widowControl w:val="0"/>
              <w:autoSpaceDE w:val="0"/>
              <w:autoSpaceDN w:val="0"/>
              <w:adjustRightInd w:val="0"/>
              <w:jc w:val="center"/>
              <w:rPr>
                <w:rFonts w:cs="Segoe UI"/>
                <w:sz w:val="18"/>
                <w:szCs w:val="18"/>
              </w:rPr>
            </w:pPr>
            <w:r w:rsidRPr="003054F1">
              <w:rPr>
                <w:rFonts w:cs="Segoe UI"/>
                <w:sz w:val="18"/>
                <w:szCs w:val="18"/>
              </w:rPr>
              <w:t>0.550</w:t>
            </w:r>
          </w:p>
        </w:tc>
      </w:tr>
    </w:tbl>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rPr>
          <w:rFonts w:ascii="Times New Roman" w:eastAsia="Malgun Gothic" w:hAnsi="Times New Roman"/>
          <w:sz w:val="24"/>
          <w:szCs w:val="24"/>
          <w:lang w:eastAsia="ko-KR"/>
        </w:rPr>
      </w:pPr>
    </w:p>
    <w:p w:rsidR="00495497" w:rsidRDefault="00495497" w:rsidP="00495497">
      <w:pPr>
        <w:pStyle w:val="TblNote"/>
        <w:spacing w:line="480" w:lineRule="auto"/>
        <w:jc w:val="left"/>
        <w:rPr>
          <w:rFonts w:ascii="Times New Roman" w:eastAsia="Malgun Gothic" w:hAnsi="Times New Roman"/>
          <w:sz w:val="24"/>
          <w:szCs w:val="24"/>
          <w:lang w:eastAsia="ko-KR"/>
        </w:rPr>
      </w:pPr>
    </w:p>
    <w:p w:rsidR="00495497" w:rsidRDefault="00495497" w:rsidP="00495497">
      <w:pPr>
        <w:pStyle w:val="TblNote"/>
        <w:spacing w:line="480" w:lineRule="auto"/>
        <w:jc w:val="left"/>
        <w:rPr>
          <w:rFonts w:ascii="Times New Roman" w:eastAsia="Malgun Gothic" w:hAnsi="Times New Roman"/>
          <w:sz w:val="24"/>
          <w:szCs w:val="24"/>
          <w:lang w:eastAsia="ko-KR"/>
        </w:rPr>
      </w:pPr>
    </w:p>
    <w:p w:rsidR="00495497" w:rsidRDefault="00495497" w:rsidP="00495497">
      <w:pPr>
        <w:pStyle w:val="TblNote"/>
        <w:spacing w:line="480" w:lineRule="auto"/>
        <w:jc w:val="left"/>
        <w:rPr>
          <w:rFonts w:ascii="Times New Roman" w:eastAsia="Malgun Gothic" w:hAnsi="Times New Roman"/>
          <w:sz w:val="24"/>
          <w:szCs w:val="24"/>
          <w:lang w:eastAsia="ko-KR"/>
        </w:rPr>
      </w:pPr>
    </w:p>
    <w:p w:rsidR="00495497" w:rsidRPr="002D5C47" w:rsidRDefault="00495497" w:rsidP="00495497">
      <w:pPr>
        <w:pStyle w:val="TblNote"/>
        <w:spacing w:line="480" w:lineRule="auto"/>
        <w:jc w:val="left"/>
        <w:rPr>
          <w:rFonts w:ascii="Times New Roman" w:eastAsia="Malgun Gothic" w:hAnsi="Times New Roman"/>
          <w:sz w:val="24"/>
          <w:szCs w:val="24"/>
          <w:lang w:eastAsia="ko-KR"/>
        </w:rPr>
      </w:pPr>
      <w:r>
        <w:rPr>
          <w:rFonts w:ascii="Times New Roman" w:eastAsia="Malgun Gothic" w:hAnsi="Times New Roman"/>
          <w:sz w:val="24"/>
          <w:szCs w:val="24"/>
          <w:lang w:eastAsia="ko-KR"/>
        </w:rPr>
        <w:t>Online Annex Table A</w:t>
      </w:r>
      <w:r w:rsidR="002136CE">
        <w:rPr>
          <w:rFonts w:ascii="Times New Roman" w:eastAsia="Malgun Gothic" w:hAnsi="Times New Roman"/>
          <w:sz w:val="24"/>
          <w:szCs w:val="24"/>
          <w:lang w:eastAsia="ko-KR"/>
        </w:rPr>
        <w:t>5</w:t>
      </w:r>
      <w:r>
        <w:rPr>
          <w:rFonts w:ascii="Times New Roman" w:eastAsia="Malgun Gothic" w:hAnsi="Times New Roman"/>
          <w:sz w:val="24"/>
          <w:szCs w:val="24"/>
          <w:lang w:eastAsia="ko-KR"/>
        </w:rPr>
        <w:t>: Forecast d</w:t>
      </w:r>
      <w:r w:rsidRPr="002D5C47">
        <w:rPr>
          <w:rFonts w:ascii="Times New Roman" w:eastAsia="Malgun Gothic" w:hAnsi="Times New Roman"/>
          <w:sz w:val="24"/>
          <w:szCs w:val="24"/>
          <w:lang w:eastAsia="ko-KR"/>
        </w:rPr>
        <w:t>isagreemen</w:t>
      </w:r>
      <w:r>
        <w:rPr>
          <w:rFonts w:ascii="Times New Roman" w:eastAsia="Malgun Gothic" w:hAnsi="Times New Roman"/>
          <w:sz w:val="24"/>
          <w:szCs w:val="24"/>
          <w:lang w:eastAsia="ko-KR"/>
        </w:rPr>
        <w:t>t, alternative control variables</w:t>
      </w:r>
    </w:p>
    <w:p w:rsidR="00495497" w:rsidRDefault="00495497" w:rsidP="00495497">
      <w:pPr>
        <w:spacing w:line="480" w:lineRule="auto"/>
        <w:rPr>
          <w:rFonts w:ascii="Times New Roman" w:eastAsia="Malgun Gothic" w:hAnsi="Times New Roman"/>
          <w:lang w:eastAsia="ko-KR"/>
        </w:rPr>
      </w:pPr>
      <w:r w:rsidRPr="002D5C47">
        <w:rPr>
          <w:rFonts w:ascii="Times New Roman" w:eastAsia="Malgun Gothic" w:hAnsi="Times New Roman"/>
          <w:i/>
          <w:lang w:eastAsia="ko-KR"/>
        </w:rPr>
        <w:t>Notes:</w:t>
      </w:r>
      <w:r w:rsidRPr="002D5C47">
        <w:rPr>
          <w:rFonts w:ascii="Times New Roman" w:eastAsia="Malgun Gothic" w:hAnsi="Times New Roman"/>
          <w:lang w:eastAsia="ko-KR"/>
        </w:rPr>
        <w:t xml:space="preserve"> Dependent variable is the interquartile range of expected inflation </w:t>
      </w:r>
      <w:r w:rsidRPr="00F06BCE">
        <w:rPr>
          <w:rFonts w:ascii="Times New Roman" w:eastAsia="Malgun Gothic" w:hAnsi="Times New Roman"/>
          <w:lang w:eastAsia="ko-KR"/>
        </w:rPr>
        <w:t>over the next 12 months</w:t>
      </w:r>
      <w:r w:rsidRPr="002D5C47">
        <w:rPr>
          <w:rFonts w:ascii="Times New Roman" w:eastAsia="Malgun Gothic" w:hAnsi="Times New Roman"/>
          <w:lang w:eastAsia="ko-KR"/>
        </w:rPr>
        <w:t xml:space="preserve">. </w:t>
      </w:r>
      <m:oMath>
        <m:r>
          <m:rPr>
            <m:sty m:val="p"/>
          </m:rPr>
          <w:rPr>
            <w:rFonts w:ascii="Cambria Math" w:hAnsi="Cambria Math"/>
          </w:rPr>
          <w:br/>
        </m:r>
        <m:sSubSup>
          <m:sSubSupPr>
            <m:ctrlPr>
              <w:rPr>
                <w:rFonts w:ascii="Cambria Math" w:hAnsi="Cambria Math"/>
                <w:iCs/>
              </w:rPr>
            </m:ctrlPr>
          </m:sSubSupPr>
          <m:e>
            <m:r>
              <w:rPr>
                <w:rFonts w:ascii="Cambria Math" w:hAnsi="Cambria Math"/>
                <w:lang w:val="en-US"/>
              </w:rPr>
              <m:t>y</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gap, one sided</m:t>
            </m:r>
          </m:sup>
        </m:sSubSup>
      </m:oMath>
      <w:r w:rsidR="0007646C">
        <w:rPr>
          <w:rFonts w:ascii="Times New Roman" w:eastAsia="Malgun Gothic" w:hAnsi="Times New Roman"/>
          <w:iCs/>
        </w:rPr>
        <w:t xml:space="preserve"> </w:t>
      </w:r>
      <w:proofErr w:type="gramStart"/>
      <w:r w:rsidR="0007646C">
        <w:rPr>
          <w:rFonts w:ascii="Times New Roman" w:eastAsia="Malgun Gothic" w:hAnsi="Times New Roman"/>
          <w:iCs/>
        </w:rPr>
        <w:t>denotes</w:t>
      </w:r>
      <w:proofErr w:type="gramEnd"/>
      <w:r w:rsidR="0007646C">
        <w:rPr>
          <w:rFonts w:ascii="Times New Roman" w:eastAsia="Malgun Gothic" w:hAnsi="Times New Roman"/>
          <w:iCs/>
        </w:rPr>
        <w:t xml:space="preserve"> a one</w:t>
      </w:r>
      <w:r w:rsidR="009C670F">
        <w:rPr>
          <w:rFonts w:ascii="Times New Roman" w:eastAsia="Malgun Gothic" w:hAnsi="Times New Roman"/>
          <w:iCs/>
        </w:rPr>
        <w:t xml:space="preserve">-sided output gap and </w:t>
      </w:r>
      <m:oMath>
        <m:d>
          <m:dPr>
            <m:begChr m:val=""/>
            <m:endChr m:val=""/>
            <m:ctrlPr>
              <w:rPr>
                <w:rFonts w:ascii="Cambria Math" w:hAnsi="Cambria Math"/>
                <w:iCs/>
              </w:rPr>
            </m:ctrlPr>
          </m:dPr>
          <m:e>
            <m:d>
              <m:dPr>
                <m:begChr m:val=""/>
                <m:endChr m:val=""/>
                <m:ctrlPr>
                  <w:rPr>
                    <w:rFonts w:ascii="Cambria Math" w:hAnsi="Cambria Math"/>
                    <w:iCs/>
                  </w:rPr>
                </m:ctrlPr>
              </m:dPr>
              <m:e>
                <m:sSub>
                  <m:sSubPr>
                    <m:ctrlPr>
                      <w:rPr>
                        <w:rFonts w:ascii="Cambria Math" w:hAnsi="Cambria Math"/>
                        <w:iCs/>
                      </w:rPr>
                    </m:ctrlPr>
                  </m:sSubPr>
                  <m:e>
                    <m:sSup>
                      <m:sSupPr>
                        <m:ctrlPr>
                          <w:rPr>
                            <w:rFonts w:ascii="Cambria Math" w:hAnsi="Cambria Math"/>
                            <w:i/>
                            <w:lang w:val="en-US"/>
                          </w:rPr>
                        </m:ctrlPr>
                      </m:sSupPr>
                      <m:e>
                        <m:r>
                          <w:rPr>
                            <w:rFonts w:ascii="Cambria Math" w:hAnsi="Cambria Math"/>
                            <w:lang w:val="en-US"/>
                          </w:rPr>
                          <m:t>i</m:t>
                        </m:r>
                      </m:e>
                      <m:sup>
                        <m:r>
                          <w:rPr>
                            <w:rFonts w:ascii="Cambria Math" w:hAnsi="Cambria Math"/>
                            <w:lang w:val="en-US"/>
                          </w:rPr>
                          <m:t>shadow</m:t>
                        </m:r>
                      </m:sup>
                    </m:sSup>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r>
          <w:rPr>
            <w:rFonts w:ascii="Cambria Math" w:hAnsi="Cambria Math"/>
          </w:rPr>
          <m:t xml:space="preserve"> </m:t>
        </m:r>
      </m:oMath>
      <w:r w:rsidR="00E01B81">
        <w:rPr>
          <w:rFonts w:ascii="Times New Roman" w:eastAsia="Malgun Gothic" w:hAnsi="Times New Roman"/>
          <w:iCs/>
        </w:rPr>
        <w:t xml:space="preserve"> is a shadow policy rate from Krippner (2016). </w:t>
      </w:r>
      <w:r w:rsidRPr="002D5C47">
        <w:rPr>
          <w:rFonts w:ascii="Times New Roman" w:eastAsia="Malgun Gothic" w:hAnsi="Times New Roman"/>
          <w:lang w:eastAsia="ko-KR"/>
        </w:rPr>
        <w:t xml:space="preserve">Robust standard errors clustered by country and time in parentheses. </w:t>
      </w:r>
      <w:r w:rsidRPr="002F3C86">
        <w:rPr>
          <w:rFonts w:ascii="Times New Roman" w:eastAsia="Malgun Gothic" w:hAnsi="Times New Roman"/>
          <w:lang w:eastAsia="ko-KR"/>
        </w:rPr>
        <w:t>*, ** and *** denote statistical significance at 10%, 5% and 1% level, respectively.</w:t>
      </w:r>
      <w:r w:rsidRPr="002D5C47">
        <w:rPr>
          <w:rFonts w:ascii="Times New Roman" w:eastAsia="Malgun Gothic" w:hAnsi="Times New Roman"/>
          <w:lang w:eastAsia="ko-KR"/>
        </w:rPr>
        <w:t xml:space="preserve"> All models include country and time fixed effects.</w:t>
      </w:r>
    </w:p>
    <w:p w:rsidR="00015409" w:rsidRDefault="00015409" w:rsidP="00495497">
      <w:pPr>
        <w:spacing w:line="480" w:lineRule="auto"/>
        <w:rPr>
          <w:rFonts w:ascii="Times New Roman" w:eastAsia="Malgun Gothic" w:hAnsi="Times New Roman"/>
          <w:lang w:eastAsia="ko-KR"/>
        </w:rPr>
      </w:pPr>
    </w:p>
    <w:p w:rsidR="00015409" w:rsidRDefault="00015409" w:rsidP="00015409">
      <w:pPr>
        <w:spacing w:line="480" w:lineRule="auto"/>
        <w:jc w:val="both"/>
      </w:pPr>
    </w:p>
    <w:tbl>
      <w:tblPr>
        <w:tblpPr w:leftFromText="180" w:rightFromText="180" w:topFromText="120" w:bottomFromText="240" w:vertAnchor="text" w:tblpXSpec="center" w:tblpY="121"/>
        <w:tblOverlap w:val="neve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238"/>
        <w:gridCol w:w="1238"/>
        <w:gridCol w:w="1173"/>
        <w:gridCol w:w="1173"/>
        <w:gridCol w:w="1238"/>
        <w:gridCol w:w="1238"/>
      </w:tblGrid>
      <w:tr w:rsidR="00015409" w:rsidRPr="00731C8B" w:rsidTr="00253B06">
        <w:trPr>
          <w:cantSplit/>
          <w:trHeight w:val="20"/>
        </w:trPr>
        <w:tc>
          <w:tcPr>
            <w:tcW w:w="1945" w:type="dxa"/>
            <w:tcBorders>
              <w:top w:val="single" w:sz="4" w:space="0" w:color="auto"/>
              <w:left w:val="nil"/>
              <w:bottom w:val="single" w:sz="4" w:space="0" w:color="auto"/>
              <w:right w:val="single" w:sz="4" w:space="0" w:color="BCBDBC"/>
            </w:tcBorders>
            <w:vAlign w:val="center"/>
          </w:tcPr>
          <w:p w:rsidR="00015409" w:rsidRPr="002D5C47" w:rsidRDefault="00015409" w:rsidP="00253B06">
            <w:pPr>
              <w:pStyle w:val="TableColumnHeading"/>
              <w:rPr>
                <w:rFonts w:eastAsia="Malgun Gothic"/>
                <w:lang w:eastAsia="ko-KR"/>
              </w:rPr>
            </w:pPr>
          </w:p>
        </w:tc>
        <w:tc>
          <w:tcPr>
            <w:tcW w:w="1238" w:type="dxa"/>
            <w:tcBorders>
              <w:top w:val="single" w:sz="4" w:space="0" w:color="auto"/>
              <w:left w:val="single" w:sz="4" w:space="0" w:color="BCBDBC"/>
              <w:bottom w:val="single" w:sz="4" w:space="0" w:color="auto"/>
              <w:right w:val="single" w:sz="4" w:space="0" w:color="BCBDBC"/>
            </w:tcBorders>
            <w:vAlign w:val="center"/>
          </w:tcPr>
          <w:p w:rsidR="00015409" w:rsidRDefault="00015409" w:rsidP="00253B06">
            <w:pPr>
              <w:pStyle w:val="TableColumnHeading"/>
            </w:pPr>
            <w:r>
              <w:t>(1)</w:t>
            </w:r>
          </w:p>
        </w:tc>
        <w:tc>
          <w:tcPr>
            <w:tcW w:w="1238" w:type="dxa"/>
            <w:tcBorders>
              <w:top w:val="single" w:sz="4" w:space="0" w:color="auto"/>
              <w:left w:val="single" w:sz="4" w:space="0" w:color="BCBDBC"/>
              <w:bottom w:val="single" w:sz="4" w:space="0" w:color="auto"/>
              <w:right w:val="single" w:sz="4" w:space="0" w:color="BCBDBC"/>
            </w:tcBorders>
            <w:vAlign w:val="center"/>
          </w:tcPr>
          <w:p w:rsidR="00015409" w:rsidRDefault="00015409" w:rsidP="00253B06">
            <w:pPr>
              <w:pStyle w:val="TableColumnHeading"/>
            </w:pPr>
            <w:r>
              <w:t>(2)</w:t>
            </w:r>
          </w:p>
        </w:tc>
        <w:tc>
          <w:tcPr>
            <w:tcW w:w="1173" w:type="dxa"/>
            <w:tcBorders>
              <w:top w:val="single" w:sz="4" w:space="0" w:color="auto"/>
              <w:left w:val="single" w:sz="4" w:space="0" w:color="BCBDBC"/>
              <w:bottom w:val="single" w:sz="4" w:space="0" w:color="auto"/>
              <w:right w:val="single" w:sz="4" w:space="0" w:color="BCBDBC"/>
            </w:tcBorders>
            <w:vAlign w:val="center"/>
          </w:tcPr>
          <w:p w:rsidR="00015409" w:rsidRPr="002D5C47" w:rsidRDefault="00015409" w:rsidP="00253B06">
            <w:pPr>
              <w:pStyle w:val="TableColumnHeading"/>
            </w:pPr>
            <w:r>
              <w:t>(3)</w:t>
            </w:r>
          </w:p>
        </w:tc>
        <w:tc>
          <w:tcPr>
            <w:tcW w:w="1173" w:type="dxa"/>
            <w:tcBorders>
              <w:top w:val="single" w:sz="4" w:space="0" w:color="auto"/>
              <w:left w:val="single" w:sz="4" w:space="0" w:color="BCBDBC"/>
              <w:bottom w:val="single" w:sz="4" w:space="0" w:color="auto"/>
              <w:right w:val="single" w:sz="4" w:space="0" w:color="BCBDBC"/>
            </w:tcBorders>
            <w:vAlign w:val="center"/>
          </w:tcPr>
          <w:p w:rsidR="00015409" w:rsidRPr="002D5C47" w:rsidRDefault="00015409" w:rsidP="00253B06">
            <w:pPr>
              <w:pStyle w:val="TableColumnHeading"/>
            </w:pPr>
            <w:r>
              <w:t>(4)</w:t>
            </w:r>
          </w:p>
        </w:tc>
        <w:tc>
          <w:tcPr>
            <w:tcW w:w="1238" w:type="dxa"/>
            <w:tcBorders>
              <w:top w:val="single" w:sz="4" w:space="0" w:color="auto"/>
              <w:left w:val="single" w:sz="4" w:space="0" w:color="BCBDBC"/>
              <w:bottom w:val="single" w:sz="4" w:space="0" w:color="auto"/>
              <w:right w:val="single" w:sz="4" w:space="0" w:color="BCBDBC"/>
            </w:tcBorders>
            <w:vAlign w:val="center"/>
          </w:tcPr>
          <w:p w:rsidR="00015409" w:rsidRPr="002D5C47" w:rsidRDefault="00015409" w:rsidP="00253B06">
            <w:pPr>
              <w:pStyle w:val="TableColumnHeading"/>
            </w:pPr>
            <w:r>
              <w:t>(5)</w:t>
            </w:r>
          </w:p>
        </w:tc>
        <w:tc>
          <w:tcPr>
            <w:tcW w:w="1238" w:type="dxa"/>
            <w:tcBorders>
              <w:top w:val="single" w:sz="4" w:space="0" w:color="auto"/>
              <w:left w:val="single" w:sz="4" w:space="0" w:color="BCBDBC"/>
              <w:bottom w:val="single" w:sz="4" w:space="0" w:color="auto"/>
              <w:right w:val="nil"/>
            </w:tcBorders>
            <w:vAlign w:val="center"/>
          </w:tcPr>
          <w:p w:rsidR="00015409" w:rsidRPr="002D5C47" w:rsidRDefault="00015409" w:rsidP="00253B06">
            <w:pPr>
              <w:pStyle w:val="TableColumnHeading"/>
            </w:pPr>
            <w:r>
              <w:t>(6)</w:t>
            </w:r>
          </w:p>
        </w:tc>
      </w:tr>
      <w:tr w:rsidR="00015409" w:rsidRPr="00731C8B" w:rsidTr="00253B06">
        <w:trPr>
          <w:cantSplit/>
          <w:trHeight w:val="20"/>
        </w:trPr>
        <w:tc>
          <w:tcPr>
            <w:tcW w:w="1945" w:type="dxa"/>
            <w:tcBorders>
              <w:top w:val="single" w:sz="4" w:space="0" w:color="auto"/>
              <w:left w:val="nil"/>
              <w:bottom w:val="single" w:sz="4" w:space="0" w:color="auto"/>
              <w:right w:val="single" w:sz="4" w:space="0" w:color="BCBDBC"/>
            </w:tcBorders>
            <w:vAlign w:val="center"/>
            <w:hideMark/>
          </w:tcPr>
          <w:p w:rsidR="00015409" w:rsidRPr="002D5C47" w:rsidRDefault="00015409" w:rsidP="00253B06">
            <w:pPr>
              <w:pStyle w:val="TableColumnHeading"/>
              <w:rPr>
                <w:rFonts w:eastAsia="Malgun Gothic"/>
                <w:lang w:eastAsia="ko-KR"/>
              </w:rPr>
            </w:pPr>
            <w:r w:rsidRPr="002D5C47">
              <w:rPr>
                <w:rFonts w:eastAsia="Malgun Gothic"/>
                <w:lang w:eastAsia="ko-KR"/>
              </w:rPr>
              <w:t>Variable</w:t>
            </w:r>
          </w:p>
        </w:tc>
        <w:tc>
          <w:tcPr>
            <w:tcW w:w="1238" w:type="dxa"/>
            <w:tcBorders>
              <w:top w:val="single" w:sz="4" w:space="0" w:color="auto"/>
              <w:left w:val="single" w:sz="4" w:space="0" w:color="BCBDBC"/>
              <w:bottom w:val="single" w:sz="4" w:space="0" w:color="auto"/>
              <w:right w:val="single" w:sz="4" w:space="0" w:color="BCBDBC"/>
            </w:tcBorders>
            <w:vAlign w:val="center"/>
            <w:hideMark/>
          </w:tcPr>
          <w:p w:rsidR="00015409" w:rsidRPr="002D5C47" w:rsidRDefault="00015409" w:rsidP="00253B06">
            <w:pPr>
              <w:pStyle w:val="TableColumnHeading"/>
            </w:pPr>
            <w:r w:rsidRPr="002D5C47">
              <w:t>IT</w:t>
            </w:r>
          </w:p>
        </w:tc>
        <w:tc>
          <w:tcPr>
            <w:tcW w:w="1238" w:type="dxa"/>
            <w:tcBorders>
              <w:top w:val="single" w:sz="4" w:space="0" w:color="auto"/>
              <w:left w:val="single" w:sz="4" w:space="0" w:color="BCBDBC"/>
              <w:bottom w:val="single" w:sz="4" w:space="0" w:color="auto"/>
              <w:right w:val="single" w:sz="4" w:space="0" w:color="BCBDBC"/>
            </w:tcBorders>
            <w:vAlign w:val="center"/>
            <w:hideMark/>
          </w:tcPr>
          <w:p w:rsidR="00015409" w:rsidRPr="002D5C47" w:rsidRDefault="00015409" w:rsidP="00253B06">
            <w:pPr>
              <w:pStyle w:val="TableColumnHeading"/>
            </w:pPr>
            <w:r w:rsidRPr="002D5C47">
              <w:t>Non-IT</w:t>
            </w:r>
          </w:p>
        </w:tc>
        <w:tc>
          <w:tcPr>
            <w:tcW w:w="1173" w:type="dxa"/>
            <w:tcBorders>
              <w:top w:val="single" w:sz="4" w:space="0" w:color="auto"/>
              <w:left w:val="single" w:sz="4" w:space="0" w:color="BCBDBC"/>
              <w:bottom w:val="single" w:sz="4" w:space="0" w:color="auto"/>
              <w:right w:val="single" w:sz="4" w:space="0" w:color="BCBDBC"/>
            </w:tcBorders>
            <w:vAlign w:val="center"/>
          </w:tcPr>
          <w:p w:rsidR="00015409" w:rsidRPr="002D5C47" w:rsidRDefault="00015409" w:rsidP="00253B06">
            <w:pPr>
              <w:pStyle w:val="TableColumnHeading"/>
            </w:pPr>
            <w:r w:rsidRPr="002D5C47">
              <w:t>IT</w:t>
            </w:r>
          </w:p>
        </w:tc>
        <w:tc>
          <w:tcPr>
            <w:tcW w:w="1173" w:type="dxa"/>
            <w:tcBorders>
              <w:top w:val="single" w:sz="4" w:space="0" w:color="auto"/>
              <w:left w:val="single" w:sz="4" w:space="0" w:color="BCBDBC"/>
              <w:bottom w:val="single" w:sz="4" w:space="0" w:color="auto"/>
              <w:right w:val="single" w:sz="4" w:space="0" w:color="BCBDBC"/>
            </w:tcBorders>
            <w:vAlign w:val="center"/>
            <w:hideMark/>
          </w:tcPr>
          <w:p w:rsidR="00015409" w:rsidRPr="002D5C47" w:rsidRDefault="00015409" w:rsidP="00253B06">
            <w:pPr>
              <w:pStyle w:val="TableColumnHeading"/>
            </w:pPr>
            <w:r w:rsidRPr="002D5C47">
              <w:t>Non-IT</w:t>
            </w:r>
          </w:p>
        </w:tc>
        <w:tc>
          <w:tcPr>
            <w:tcW w:w="1238" w:type="dxa"/>
            <w:tcBorders>
              <w:top w:val="single" w:sz="4" w:space="0" w:color="auto"/>
              <w:left w:val="single" w:sz="4" w:space="0" w:color="BCBDBC"/>
              <w:bottom w:val="single" w:sz="4" w:space="0" w:color="auto"/>
              <w:right w:val="single" w:sz="4" w:space="0" w:color="BCBDBC"/>
            </w:tcBorders>
            <w:vAlign w:val="center"/>
          </w:tcPr>
          <w:p w:rsidR="00015409" w:rsidRPr="002D5C47" w:rsidRDefault="00015409" w:rsidP="00253B06">
            <w:pPr>
              <w:pStyle w:val="TableColumnHeading"/>
            </w:pPr>
            <w:proofErr w:type="spellStart"/>
            <w:r>
              <w:t>Excl</w:t>
            </w:r>
            <w:proofErr w:type="spellEnd"/>
            <w:r>
              <w:t xml:space="preserve"> ZLB</w:t>
            </w:r>
          </w:p>
        </w:tc>
        <w:tc>
          <w:tcPr>
            <w:tcW w:w="1238" w:type="dxa"/>
            <w:tcBorders>
              <w:top w:val="single" w:sz="4" w:space="0" w:color="auto"/>
              <w:left w:val="single" w:sz="4" w:space="0" w:color="BCBDBC"/>
              <w:bottom w:val="single" w:sz="4" w:space="0" w:color="auto"/>
              <w:right w:val="nil"/>
            </w:tcBorders>
            <w:vAlign w:val="center"/>
          </w:tcPr>
          <w:p w:rsidR="00015409" w:rsidRDefault="00015409" w:rsidP="00253B06">
            <w:pPr>
              <w:pStyle w:val="TableColumnHeading"/>
            </w:pPr>
            <w:proofErr w:type="spellStart"/>
            <w:r>
              <w:t>Excl</w:t>
            </w:r>
            <w:proofErr w:type="spellEnd"/>
            <w:r>
              <w:t xml:space="preserve"> ZLB</w:t>
            </w:r>
          </w:p>
        </w:tc>
      </w:tr>
      <w:tr w:rsidR="00015409" w:rsidRPr="00731C8B" w:rsidTr="00253B06">
        <w:trPr>
          <w:cantSplit/>
          <w:trHeight w:val="20"/>
        </w:trPr>
        <w:tc>
          <w:tcPr>
            <w:tcW w:w="1945" w:type="dxa"/>
            <w:vMerge w:val="restart"/>
            <w:tcBorders>
              <w:top w:val="single" w:sz="4" w:space="0" w:color="auto"/>
              <w:left w:val="nil"/>
              <w:right w:val="single" w:sz="4" w:space="0" w:color="BCBDBC"/>
            </w:tcBorders>
            <w:hideMark/>
          </w:tcPr>
          <w:p w:rsidR="00015409" w:rsidRPr="002D5C47" w:rsidRDefault="001A4E58" w:rsidP="00253B06">
            <w:pPr>
              <w:pStyle w:val="TableRowHeading"/>
              <w:rPr>
                <w:rFonts w:ascii="Times New Roman" w:eastAsia="Malgun Gothic" w:hAnsi="Times New Roman"/>
                <w:lang w:eastAsia="ko-KR"/>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pos</m:t>
                        </m:r>
                      </m:sup>
                    </m:sSubSup>
                  </m:e>
                </m:d>
              </m:oMath>
            </m:oMathPara>
          </w:p>
        </w:tc>
        <w:tc>
          <w:tcPr>
            <w:tcW w:w="1238" w:type="dxa"/>
            <w:tcBorders>
              <w:top w:val="single" w:sz="4" w:space="0" w:color="auto"/>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0.940***</w:t>
            </w:r>
          </w:p>
        </w:tc>
        <w:tc>
          <w:tcPr>
            <w:tcW w:w="1238" w:type="dxa"/>
            <w:tcBorders>
              <w:top w:val="single" w:sz="4" w:space="0" w:color="auto"/>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0.871***</w:t>
            </w:r>
          </w:p>
        </w:tc>
        <w:tc>
          <w:tcPr>
            <w:tcW w:w="1173" w:type="dxa"/>
            <w:tcBorders>
              <w:top w:val="single" w:sz="4" w:space="0" w:color="auto"/>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0.939***</w:t>
            </w:r>
          </w:p>
        </w:tc>
        <w:tc>
          <w:tcPr>
            <w:tcW w:w="1173" w:type="dxa"/>
            <w:tcBorders>
              <w:top w:val="single" w:sz="4" w:space="0" w:color="auto"/>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0.875***</w:t>
            </w:r>
          </w:p>
        </w:tc>
        <w:tc>
          <w:tcPr>
            <w:tcW w:w="1238" w:type="dxa"/>
            <w:tcBorders>
              <w:top w:val="single" w:sz="4" w:space="0" w:color="auto"/>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0.888***</w:t>
            </w:r>
          </w:p>
        </w:tc>
        <w:tc>
          <w:tcPr>
            <w:tcW w:w="1238" w:type="dxa"/>
            <w:tcBorders>
              <w:top w:val="single" w:sz="4" w:space="0" w:color="auto"/>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0.890***</w:t>
            </w:r>
          </w:p>
        </w:tc>
      </w:tr>
      <w:tr w:rsidR="00015409"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(0.0106)</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(0.0392)</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(0.0107)</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(0.0387)</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(0.0306)</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(0.0291)</w:t>
            </w:r>
          </w:p>
        </w:tc>
      </w:tr>
      <w:tr w:rsidR="00015409"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015409" w:rsidRDefault="001A4E58" w:rsidP="00253B06">
            <w:pPr>
              <w:pStyle w:val="TableRowHeading"/>
              <w:rPr>
                <w:iCs/>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neg</m:t>
                        </m:r>
                      </m:sup>
                    </m:sSubSup>
                  </m:e>
                </m:d>
              </m:oMath>
            </m:oMathPara>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1.319***</w:t>
            </w:r>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0.881***</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1.282***</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0.879***</w:t>
            </w:r>
          </w:p>
        </w:tc>
        <w:tc>
          <w:tcPr>
            <w:tcW w:w="1238" w:type="dxa"/>
            <w:tcBorders>
              <w:top w:val="nil"/>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0.940***</w:t>
            </w:r>
          </w:p>
        </w:tc>
        <w:tc>
          <w:tcPr>
            <w:tcW w:w="1238" w:type="dxa"/>
            <w:tcBorders>
              <w:top w:val="nil"/>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0.940***</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(0.155)</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(0.0576)</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(0.139)</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(0.0520)</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(0.0535)</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(0.0372)</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Malgun Gothic" w:hAnsi="Times New Roman"/>
                <w:lang w:eastAsia="ko-KR"/>
              </w:rPr>
            </w:pPr>
            <m:oMathPara>
              <m:oMath>
                <m:sSubSup>
                  <m:sSubSupPr>
                    <m:ctrlPr>
                      <w:rPr>
                        <w:rFonts w:ascii="Cambria Math" w:hAnsi="Cambria Math"/>
                        <w:iCs/>
                      </w:rPr>
                    </m:ctrlPr>
                  </m:sSubSupPr>
                  <m:e>
                    <m:r>
                      <w:rPr>
                        <w:rFonts w:ascii="Cambria Math" w:hAnsi="Cambria Math"/>
                        <w:lang w:val="en-US"/>
                      </w:rPr>
                      <m:t>D</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defl</m:t>
                    </m:r>
                  </m:sup>
                </m:sSub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1.62e-05</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-0.167***</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-0.186***</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(0.0352)</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(0.0527)</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(0.0620)</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Malgun Gothic" w:hAnsi="Times New Roman"/>
                <w:lang w:eastAsia="ko-KR"/>
              </w:rPr>
            </w:pPr>
            <m:oMathPara>
              <m:oMath>
                <m:sSubSup>
                  <m:sSubSupPr>
                    <m:ctrlPr>
                      <w:rPr>
                        <w:rFonts w:ascii="Cambria Math" w:hAnsi="Cambria Math"/>
                        <w:iCs/>
                      </w:rPr>
                    </m:ctrlPr>
                  </m:sSubSupPr>
                  <m:e>
                    <m:r>
                      <w:rPr>
                        <w:rFonts w:ascii="Cambria Math" w:hAnsi="Cambria Math"/>
                        <w:lang w:val="en-US"/>
                      </w:rPr>
                      <m:t>D</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High</m:t>
                    </m:r>
                    <m:r>
                      <m:rPr>
                        <m:sty m:val="p"/>
                      </m:rPr>
                      <w:rPr>
                        <w:rFonts w:ascii="Cambria Math" w:hAnsi="Cambria Math"/>
                        <w:lang w:val="en-US"/>
                      </w:rPr>
                      <m:t xml:space="preserve"> </m:t>
                    </m:r>
                    <m:r>
                      <w:rPr>
                        <w:rFonts w:ascii="Cambria Math" w:hAnsi="Cambria Math"/>
                        <w:lang w:val="en-US"/>
                      </w:rPr>
                      <m:t>infl</m:t>
                    </m:r>
                  </m:sup>
                </m:sSub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0.0103</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0.216**</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0.0119</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0.216**</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0.107***</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0.110**</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(0.0121)</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(0.0835)</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(0.0113)</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(0.0871)</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(0.0391)</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(0.0408)</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Malgun Gothic" w:hAnsi="Times New Roman"/>
                <w:lang w:eastAsia="ko-KR"/>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pos</m:t>
                    </m:r>
                  </m:sup>
                </m:sSub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0.0126</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-0.0310*</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0.0114</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-0.0334*</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-0.00741</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-0.0112</w:t>
            </w:r>
          </w:p>
        </w:tc>
      </w:tr>
      <w:tr w:rsidR="00015409"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015409" w:rsidRDefault="00015409" w:rsidP="00253B06">
            <w:pPr>
              <w:pStyle w:val="TableRowHeading"/>
              <w:rPr>
                <w:lang w:val="en-U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(0.00892)</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(0.0167)</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(0.00810)</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(0.0165)</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(0.00737)</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(0.00746)</w:t>
            </w:r>
          </w:p>
        </w:tc>
      </w:tr>
      <w:tr w:rsidR="00015409"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015409" w:rsidRDefault="001A4E58" w:rsidP="00253B06">
            <w:pPr>
              <w:pStyle w:val="TableRowHeading"/>
              <w:rPr>
                <w:lang w:val="en-US"/>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neg</m:t>
                    </m:r>
                  </m:sup>
                </m:sSubSup>
              </m:oMath>
            </m:oMathPara>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0.0194*</w:t>
            </w:r>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0.0770***</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0.0185*</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0.0919***</w:t>
            </w:r>
          </w:p>
        </w:tc>
        <w:tc>
          <w:tcPr>
            <w:tcW w:w="1238" w:type="dxa"/>
            <w:tcBorders>
              <w:top w:val="nil"/>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0.0414***</w:t>
            </w:r>
          </w:p>
        </w:tc>
        <w:tc>
          <w:tcPr>
            <w:tcW w:w="1238" w:type="dxa"/>
            <w:tcBorders>
              <w:top w:val="nil"/>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0.0526***</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lang w:val="en-U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(0.0105)</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(0.0230)</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(0.00986)</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(0.0243)</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(0.0115)</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(0.0130)</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Malgun Gothic" w:hAnsi="Times New Roman"/>
                <w:lang w:eastAsia="ko-KR"/>
              </w:rPr>
            </w:pPr>
            <m:oMathPara>
              <m:oMath>
                <m:sSup>
                  <m:sSupPr>
                    <m:ctrlPr>
                      <w:rPr>
                        <w:rFonts w:ascii="Cambria Math" w:hAnsi="Cambria Math"/>
                        <w:lang w:val="en-US"/>
                      </w:rPr>
                    </m:ctrlPr>
                  </m:sSupPr>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infl</m:t>
                        </m:r>
                        <m:r>
                          <m:rPr>
                            <m:sty m:val="p"/>
                          </m:rPr>
                          <w:rPr>
                            <w:rFonts w:ascii="Cambria Math" w:hAnsi="Cambria Math"/>
                            <w:lang w:val="en-US"/>
                          </w:rPr>
                          <m:t xml:space="preserve"> </m:t>
                        </m:r>
                        <m:r>
                          <w:rPr>
                            <w:rFonts w:ascii="Cambria Math" w:hAnsi="Cambria Math"/>
                            <w:lang w:val="en-US"/>
                          </w:rPr>
                          <m:t>gap</m:t>
                        </m:r>
                        <m:ctrlPr>
                          <w:rPr>
                            <w:rFonts w:ascii="Cambria Math" w:hAnsi="Cambria Math"/>
                            <w:iCs/>
                          </w:rPr>
                        </m:ctrlP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ctrlPr>
                          <w:rPr>
                            <w:rFonts w:ascii="Cambria Math" w:hAnsi="Cambria Math"/>
                            <w:iCs/>
                          </w:rPr>
                        </m:ctrlPr>
                      </m:sub>
                    </m:sSub>
                    <m:r>
                      <m:rPr>
                        <m:sty m:val="p"/>
                      </m:rPr>
                      <w:rPr>
                        <w:rFonts w:ascii="Cambria Math" w:hAnsi="Cambria Math"/>
                      </w:rPr>
                      <m:t>)</m:t>
                    </m:r>
                  </m:e>
                  <m:sup>
                    <m:r>
                      <m:rPr>
                        <m:sty m:val="p"/>
                      </m:rPr>
                      <w:rPr>
                        <w:rFonts w:ascii="Cambria Math" w:hAnsi="Cambria Math"/>
                        <w:lang w:val="en-US"/>
                      </w:rPr>
                      <m:t>2</m:t>
                    </m:r>
                  </m:sup>
                </m:s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-0.00356*</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0.00302**</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-0.00327*</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0.00366***</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0.00130*</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0.00179**</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lang w:val="en-U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(0.00173)</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(0.00121)</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(0.00159)</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(0.00127)</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(0.000647)</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(0.000710)</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Calibri" w:hAnsi="Times New Roman"/>
                <w:iCs/>
              </w:rPr>
            </w:pPr>
            <m:oMathPara>
              <m:oMath>
                <m:sSubSup>
                  <m:sSubSupPr>
                    <m:ctrlPr>
                      <w:rPr>
                        <w:rFonts w:ascii="Cambria Math" w:hAnsi="Cambria Math"/>
                        <w:iCs/>
                      </w:rPr>
                    </m:ctrlPr>
                  </m:sSubSupPr>
                  <m:e>
                    <m:r>
                      <w:rPr>
                        <w:rFonts w:ascii="Cambria Math" w:hAnsi="Cambria Math"/>
                        <w:lang w:val="en-US"/>
                      </w:rPr>
                      <m:t>y</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gap</m:t>
                    </m:r>
                  </m:sup>
                </m:sSub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0.00728</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0.0253***</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0.00767</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0.0262***</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0.0189***</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0.0200***</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(0.00487)</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(0.00674)</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(0.00489)</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(0.00675)</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(0.00564)</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(0.00612)</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015409" w:rsidP="00253B06">
            <w:pPr>
              <w:pStyle w:val="TableRowHeading"/>
              <w:rPr>
                <w:rFonts w:ascii="Times New Roman" w:eastAsia="Calibri" w:hAnsi="Times New Roman"/>
                <w:iCs/>
              </w:rPr>
            </w:pPr>
            <m:oMathPara>
              <m:oMath>
                <m:r>
                  <w:rPr>
                    <w:rFonts w:ascii="Cambria Math" w:hAnsi="Cambria Math"/>
                  </w:rPr>
                  <m:t>abs</m:t>
                </m:r>
                <m:d>
                  <m:dPr>
                    <m:ctrlPr>
                      <w:rPr>
                        <w:rFonts w:ascii="Cambria Math" w:hAnsi="Cambria Math"/>
                        <w:iCs/>
                      </w:rPr>
                    </m:ctrlPr>
                  </m:dPr>
                  <m:e>
                    <m:sSub>
                      <m:sSubPr>
                        <m:ctrlPr>
                          <w:rPr>
                            <w:rFonts w:ascii="Cambria Math" w:hAnsi="Cambria Math"/>
                            <w:iCs/>
                          </w:rPr>
                        </m:ctrlPr>
                      </m:sSubPr>
                      <m:e>
                        <m:r>
                          <w:rPr>
                            <w:rFonts w:ascii="Cambria Math" w:hAnsi="Cambria Math"/>
                            <w:lang w:val="en-US"/>
                          </w:rPr>
                          <m:t>Δπ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-0.0182*</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-0.0238</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-0.0183**</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-0.0207</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-0.0126</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-0.0116</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(0.00899)</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(0.0226)</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(0.00881)</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(0.0227)</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(0.0152)</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(0.0162)</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Calibri" w:hAnsi="Times New Roman"/>
                <w:iCs/>
              </w:rPr>
            </w:pPr>
            <m:oMathPara>
              <m:oMath>
                <m:sSup>
                  <m:sSupPr>
                    <m:ctrlPr>
                      <w:rPr>
                        <w:rFonts w:ascii="Cambria Math" w:hAnsi="Cambria Math"/>
                        <w:iCs/>
                      </w:rPr>
                    </m:ctrlPr>
                  </m:sSupPr>
                  <m:e>
                    <m:d>
                      <m:dPr>
                        <m:begChr m:val=""/>
                        <m:endChr m:val=""/>
                        <m:ctrlPr>
                          <w:rPr>
                            <w:rFonts w:ascii="Cambria Math" w:hAnsi="Cambria Math"/>
                            <w:iCs/>
                          </w:rPr>
                        </m:ctrlPr>
                      </m:dPr>
                      <m:e>
                        <m:d>
                          <m:dPr>
                            <m:ctrlPr>
                              <w:rPr>
                                <w:rFonts w:ascii="Cambria Math" w:hAnsi="Cambria Math"/>
                                <w:iCs/>
                              </w:rPr>
                            </m:ctrlPr>
                          </m:dPr>
                          <m:e>
                            <m:sSub>
                              <m:sSubPr>
                                <m:ctrlPr>
                                  <w:rPr>
                                    <w:rFonts w:ascii="Cambria Math" w:hAnsi="Cambria Math"/>
                                    <w:iCs/>
                                  </w:rPr>
                                </m:ctrlPr>
                              </m:sSubPr>
                              <m:e>
                                <m:r>
                                  <w:rPr>
                                    <w:rFonts w:ascii="Cambria Math" w:hAnsi="Cambria Math"/>
                                    <w:lang w:val="en-US"/>
                                  </w:rPr>
                                  <m:t>Δπ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0.00220</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-0.00175</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0.00224</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-0.00205</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-0.00296</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-0.00309</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(0.00208)</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(0.00349)</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(0.00206)</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(0.00338)</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(0.00368)</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(0.00360)</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015409" w:rsidP="00253B06">
            <w:pPr>
              <w:pStyle w:val="TableRowHeading"/>
              <w:rPr>
                <w:rFonts w:ascii="Times New Roman" w:eastAsia="Calibri" w:hAnsi="Times New Roman"/>
                <w:iCs/>
              </w:rPr>
            </w:pPr>
            <m:oMathPara>
              <m:oMath>
                <m:r>
                  <w:rPr>
                    <w:rFonts w:ascii="Cambria Math" w:hAnsi="Cambria Math"/>
                  </w:rPr>
                  <m:t>abs</m:t>
                </m:r>
                <m:d>
                  <m:dPr>
                    <m:ctrlPr>
                      <w:rPr>
                        <w:rFonts w:ascii="Cambria Math" w:hAnsi="Cambria Math"/>
                        <w:iCs/>
                      </w:rPr>
                    </m:ctrlPr>
                  </m:dPr>
                  <m:e>
                    <m:sSub>
                      <m:sSubPr>
                        <m:ctrlPr>
                          <w:rPr>
                            <w:rFonts w:ascii="Cambria Math" w:hAnsi="Cambria Math"/>
                            <w:iCs/>
                          </w:rPr>
                        </m:ctrlPr>
                      </m:sSubPr>
                      <m:e>
                        <m:r>
                          <w:rPr>
                            <w:rFonts w:ascii="Cambria Math" w:hAnsi="Cambria Math"/>
                            <w:lang w:val="en-US"/>
                          </w:rPr>
                          <m:t>Δneer</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-0.631**</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-2.235**</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-0.633**</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-2.336**</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-2.308***</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-2.362***</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(0.283)</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(0.869)</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(0.282)</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(0.875)</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(0.703)</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(0.760)</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2D5C47" w:rsidRDefault="001A4E58" w:rsidP="00253B06">
            <w:pPr>
              <w:pStyle w:val="TableRowHeading"/>
              <w:rPr>
                <w:rFonts w:ascii="Times New Roman" w:eastAsia="Calibri" w:hAnsi="Times New Roman"/>
                <w:iCs/>
              </w:rPr>
            </w:pPr>
            <m:oMathPara>
              <m:oMath>
                <m:d>
                  <m:dPr>
                    <m:begChr m:val=""/>
                    <m:endChr m:val=""/>
                    <m:ctrlPr>
                      <w:rPr>
                        <w:rFonts w:ascii="Cambria Math" w:hAnsi="Cambria Math"/>
                        <w:iCs/>
                      </w:rPr>
                    </m:ctrlPr>
                  </m:dPr>
                  <m:e>
                    <m:d>
                      <m:dPr>
                        <m:begChr m:val=""/>
                        <m:endChr m:val=""/>
                        <m:ctrlPr>
                          <w:rPr>
                            <w:rFonts w:ascii="Cambria Math" w:hAnsi="Cambria Math"/>
                            <w:iCs/>
                          </w:rPr>
                        </m:ctrlPr>
                      </m:dPr>
                      <m:e>
                        <m:sSub>
                          <m:sSubPr>
                            <m:ctrlPr>
                              <w:rPr>
                                <w:rFonts w:ascii="Cambria Math" w:hAnsi="Cambria Math"/>
                                <w:iCs/>
                              </w:rPr>
                            </m:ctrlPr>
                          </m:sSubPr>
                          <m:e>
                            <m:r>
                              <w:rPr>
                                <w:rFonts w:ascii="Cambria Math" w:hAnsi="Cambria Math"/>
                                <w:lang w:val="en-US"/>
                              </w:rPr>
                              <m:t>i</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0.00586</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-0.0223**</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0.00586</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-0.0228**</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0.0104*</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0.00959</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Default="00015409" w:rsidP="00253B06">
            <w:pPr>
              <w:pStyle w:val="TableRowHeading"/>
              <w:rPr>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(0.00420)</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(0.00968)</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(0.00422)</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(0.0102)</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(0.00606)</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(0.00583)</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Default="001A4E58" w:rsidP="00253B06">
            <w:pPr>
              <w:pStyle w:val="TableRowHeading"/>
              <w:rPr>
                <w:iCs/>
              </w:rPr>
            </w:pPr>
            <m:oMathPara>
              <m:oMath>
                <m:sSup>
                  <m:sSupPr>
                    <m:ctrlPr>
                      <w:rPr>
                        <w:rFonts w:ascii="Cambria Math" w:hAnsi="Cambria Math"/>
                        <w:iCs/>
                      </w:rPr>
                    </m:ctrlPr>
                  </m:sSupPr>
                  <m:e>
                    <m:sSub>
                      <m:sSubPr>
                        <m:ctrlPr>
                          <w:rPr>
                            <w:rFonts w:ascii="Cambria Math" w:hAnsi="Cambria Math"/>
                            <w:iCs/>
                          </w:rPr>
                        </m:ctrlPr>
                      </m:sSubPr>
                      <m:e>
                        <m:r>
                          <m:rPr>
                            <m:sty m:val="p"/>
                          </m:rPr>
                          <w:rPr>
                            <w:rFonts w:ascii="Cambria Math" w:hAnsi="Cambria Math"/>
                            <w:lang w:val="en-US"/>
                          </w:rPr>
                          <m:t>(Δ</m:t>
                        </m:r>
                        <m:r>
                          <w:rPr>
                            <w:rFonts w:ascii="Cambria Math" w:hAnsi="Cambria Math"/>
                            <w:lang w:val="en-US"/>
                          </w:rPr>
                          <m:t>i</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r>
                      <m:rPr>
                        <m:sty m:val="p"/>
                      </m:rPr>
                      <w:rPr>
                        <w:rFonts w:ascii="Cambria Math" w:hAnsi="Cambria Math"/>
                      </w:rPr>
                      <m:t>)</m:t>
                    </m:r>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-0.00814*</w:t>
            </w: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-3.80e-06***</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-0.00799*</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-4.00e-06***</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-0.00161***</w:t>
            </w: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-0.00162***</w:t>
            </w:r>
          </w:p>
        </w:tc>
      </w:tr>
      <w:tr w:rsidR="00015409"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015409" w:rsidRPr="002D5C47" w:rsidRDefault="00015409" w:rsidP="00253B06">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(0.00416)</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(8.07e-07)</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(0.00409)</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(8.51e-07)</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(0.000265)</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(0.000264)</w:t>
            </w:r>
          </w:p>
        </w:tc>
      </w:tr>
      <w:tr w:rsidR="00015409"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015409" w:rsidRPr="002D5C47" w:rsidRDefault="001A4E58" w:rsidP="00253B06">
            <w:pPr>
              <w:pStyle w:val="TableRowHeading"/>
              <w:rPr>
                <w:rFonts w:ascii="Times New Roman" w:eastAsia="Calibri" w:hAnsi="Times New Roman"/>
                <w:iCs/>
              </w:rPr>
            </w:pPr>
            <m:oMathPara>
              <m:oMath>
                <m:sSub>
                  <m:sSubPr>
                    <m:ctrlPr>
                      <w:rPr>
                        <w:rFonts w:ascii="Cambria Math" w:hAnsi="Cambria Math"/>
                        <w:i/>
                        <w:sz w:val="18"/>
                        <w:szCs w:val="18"/>
                        <w:lang w:val="en-US"/>
                      </w:rPr>
                    </m:ctrlPr>
                  </m:sSubPr>
                  <m:e>
                    <m:r>
                      <w:rPr>
                        <w:rFonts w:ascii="Cambria Math" w:hAnsi="Cambria Math"/>
                        <w:sz w:val="18"/>
                        <w:szCs w:val="18"/>
                        <w:lang w:val="en-US"/>
                      </w:rPr>
                      <m:t>recession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0.00594</w:t>
            </w:r>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-0.0174</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0.00619</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-0.0182</w:t>
            </w:r>
          </w:p>
        </w:tc>
        <w:tc>
          <w:tcPr>
            <w:tcW w:w="1238" w:type="dxa"/>
            <w:tcBorders>
              <w:top w:val="nil"/>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-0.0112</w:t>
            </w:r>
          </w:p>
        </w:tc>
        <w:tc>
          <w:tcPr>
            <w:tcW w:w="1238" w:type="dxa"/>
            <w:tcBorders>
              <w:top w:val="nil"/>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-0.0130</w:t>
            </w:r>
          </w:p>
        </w:tc>
      </w:tr>
      <w:tr w:rsidR="00015409" w:rsidRPr="00731C8B" w:rsidTr="00253B06">
        <w:trPr>
          <w:cantSplit/>
          <w:trHeight w:val="20"/>
        </w:trPr>
        <w:tc>
          <w:tcPr>
            <w:tcW w:w="1945" w:type="dxa"/>
            <w:vMerge/>
            <w:tcBorders>
              <w:left w:val="nil"/>
              <w:bottom w:val="single" w:sz="4" w:space="0" w:color="BFBFBF" w:themeColor="background1" w:themeShade="BF"/>
              <w:right w:val="single" w:sz="4" w:space="0" w:color="BCBDBC"/>
            </w:tcBorders>
          </w:tcPr>
          <w:p w:rsidR="00015409" w:rsidRPr="002D5C47" w:rsidRDefault="00015409" w:rsidP="00253B06">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(0.0116)</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(0.0115)</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(0.0112)</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(0.0117)</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(0.0103)</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(0.0102)</w:t>
            </w:r>
          </w:p>
        </w:tc>
      </w:tr>
      <w:tr w:rsidR="00015409" w:rsidRPr="00731C8B" w:rsidTr="00253B06">
        <w:trPr>
          <w:cantSplit/>
          <w:trHeight w:val="20"/>
        </w:trPr>
        <w:tc>
          <w:tcPr>
            <w:tcW w:w="1945" w:type="dxa"/>
            <w:vMerge w:val="restart"/>
            <w:tcBorders>
              <w:top w:val="single" w:sz="4" w:space="0" w:color="BFBFBF" w:themeColor="background1" w:themeShade="BF"/>
              <w:left w:val="nil"/>
              <w:right w:val="single" w:sz="4" w:space="0" w:color="BCBDBC"/>
            </w:tcBorders>
          </w:tcPr>
          <w:p w:rsidR="00015409" w:rsidRPr="002D5C47" w:rsidRDefault="001A4E58" w:rsidP="00253B06">
            <w:pPr>
              <w:pStyle w:val="TableRowHeading"/>
              <w:rPr>
                <w:rFonts w:ascii="Times New Roman" w:eastAsia="Calibri" w:hAnsi="Times New Roman"/>
                <w:iCs/>
              </w:rPr>
            </w:pPr>
            <m:oMathPara>
              <m:oMath>
                <m:sSub>
                  <m:sSubPr>
                    <m:ctrlPr>
                      <w:rPr>
                        <w:rFonts w:ascii="Cambria Math" w:hAnsi="Cambria Math"/>
                        <w:i/>
                        <w:sz w:val="18"/>
                        <w:szCs w:val="18"/>
                        <w:lang w:val="en-US"/>
                      </w:rPr>
                    </m:ctrlPr>
                  </m:sSubPr>
                  <m:e>
                    <m:r>
                      <w:rPr>
                        <w:rFonts w:ascii="Cambria Math" w:hAnsi="Cambria Math"/>
                        <w:sz w:val="18"/>
                        <w:szCs w:val="18"/>
                        <w:lang w:val="en-US"/>
                      </w:rPr>
                      <m:t>mp_contraction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0.00501</w:t>
            </w:r>
          </w:p>
        </w:tc>
        <w:tc>
          <w:tcPr>
            <w:tcW w:w="1238"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-0.00942</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0.00782</w:t>
            </w:r>
          </w:p>
        </w:tc>
        <w:tc>
          <w:tcPr>
            <w:tcW w:w="1173" w:type="dxa"/>
            <w:tcBorders>
              <w:top w:val="nil"/>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-0.00731</w:t>
            </w:r>
          </w:p>
        </w:tc>
        <w:tc>
          <w:tcPr>
            <w:tcW w:w="1238" w:type="dxa"/>
            <w:tcBorders>
              <w:top w:val="nil"/>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-0.0327**</w:t>
            </w:r>
          </w:p>
        </w:tc>
        <w:tc>
          <w:tcPr>
            <w:tcW w:w="1238" w:type="dxa"/>
            <w:tcBorders>
              <w:top w:val="nil"/>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-0.0290**</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Pr="002D5C47" w:rsidRDefault="00015409" w:rsidP="00253B06">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(0.0136)</w:t>
            </w: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(0.0183)</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(0.0140)</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(0.0167)</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(0.0143)</w:t>
            </w: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(0.0135)</w:t>
            </w:r>
          </w:p>
        </w:tc>
      </w:tr>
      <w:tr w:rsidR="00015409" w:rsidRPr="00731C8B" w:rsidTr="00253B06">
        <w:trPr>
          <w:cantSplit/>
          <w:trHeight w:val="20"/>
        </w:trPr>
        <w:tc>
          <w:tcPr>
            <w:tcW w:w="1945" w:type="dxa"/>
            <w:vMerge w:val="restart"/>
            <w:tcBorders>
              <w:top w:val="single" w:sz="4" w:space="0" w:color="BCBDBC"/>
              <w:left w:val="nil"/>
              <w:right w:val="single" w:sz="4" w:space="0" w:color="BCBDBC"/>
            </w:tcBorders>
          </w:tcPr>
          <w:p w:rsidR="00015409" w:rsidRPr="006108F7" w:rsidRDefault="001A4E58" w:rsidP="00253B06">
            <w:pPr>
              <w:pStyle w:val="TableRowHeading"/>
              <w:rPr>
                <w:rFonts w:cs="Segoe UI"/>
                <w:iCs/>
                <w:sz w:val="18"/>
                <w:szCs w:val="18"/>
              </w:rPr>
            </w:pPr>
            <m:oMathPara>
              <m:oMath>
                <m:sSubSup>
                  <m:sSubSupPr>
                    <m:ctrlPr>
                      <w:rPr>
                        <w:rFonts w:ascii="Cambria Math" w:hAnsi="Cambria Math" w:cs="Segoe UI"/>
                        <w:iCs/>
                        <w:sz w:val="18"/>
                        <w:szCs w:val="18"/>
                      </w:rPr>
                    </m:ctrlPr>
                  </m:sSubSupPr>
                  <m:e>
                    <m:r>
                      <w:rPr>
                        <w:rFonts w:ascii="Cambria Math" w:hAnsi="Cambria Math" w:cs="Segoe UI"/>
                        <w:sz w:val="18"/>
                        <w:szCs w:val="18"/>
                      </w:rPr>
                      <m:t>D</m:t>
                    </m:r>
                  </m:e>
                  <m:sub>
                    <m:r>
                      <w:rPr>
                        <w:rFonts w:ascii="Cambria Math" w:hAnsi="Cambria Math" w:cs="Segoe UI"/>
                        <w:sz w:val="18"/>
                        <w:szCs w:val="18"/>
                      </w:rPr>
                      <m:t>c</m:t>
                    </m:r>
                    <m:r>
                      <m:rPr>
                        <m:sty m:val="p"/>
                      </m:rPr>
                      <w:rPr>
                        <w:rFonts w:ascii="Cambria Math" w:hAnsi="Cambria Math" w:cs="Segoe UI"/>
                        <w:sz w:val="18"/>
                        <w:szCs w:val="18"/>
                      </w:rPr>
                      <m:t>, </m:t>
                    </m:r>
                    <m:r>
                      <w:rPr>
                        <w:rFonts w:ascii="Cambria Math" w:hAnsi="Cambria Math" w:cs="Segoe UI"/>
                        <w:sz w:val="18"/>
                        <w:szCs w:val="18"/>
                      </w:rPr>
                      <m:t>t</m:t>
                    </m:r>
                  </m:sub>
                  <m:sup>
                    <m:r>
                      <w:rPr>
                        <w:rFonts w:ascii="Cambria Math" w:hAnsi="Cambria Math" w:cs="Segoe UI"/>
                        <w:sz w:val="18"/>
                        <w:szCs w:val="18"/>
                      </w:rPr>
                      <m:t>defl</m:t>
                    </m:r>
                    <m:r>
                      <m:rPr>
                        <m:sty m:val="p"/>
                      </m:rPr>
                      <w:rPr>
                        <w:rFonts w:ascii="Cambria Math" w:hAnsi="Cambria Math" w:cs="Segoe UI"/>
                        <w:sz w:val="18"/>
                        <w:szCs w:val="18"/>
                      </w:rPr>
                      <m:t xml:space="preserve"> </m:t>
                    </m:r>
                    <m:r>
                      <w:rPr>
                        <w:rFonts w:ascii="Cambria Math" w:hAnsi="Cambria Math" w:cs="Segoe UI"/>
                        <w:sz w:val="18"/>
                        <w:szCs w:val="18"/>
                      </w:rPr>
                      <m:t>long</m:t>
                    </m:r>
                  </m:sup>
                </m:sSubSup>
              </m:oMath>
            </m:oMathPara>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-0.0372</w:t>
            </w:r>
          </w:p>
        </w:tc>
        <w:tc>
          <w:tcPr>
            <w:tcW w:w="1173" w:type="dxa"/>
            <w:tcBorders>
              <w:top w:val="single" w:sz="4" w:space="0" w:color="BCBDBC"/>
              <w:left w:val="single" w:sz="4" w:space="0" w:color="BCBDBC"/>
              <w:bottom w:val="nil"/>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-0.158***</w:t>
            </w:r>
          </w:p>
        </w:tc>
        <w:tc>
          <w:tcPr>
            <w:tcW w:w="1238" w:type="dxa"/>
            <w:tcBorders>
              <w:top w:val="single" w:sz="4" w:space="0" w:color="BCBDBC"/>
              <w:left w:val="single" w:sz="4" w:space="0" w:color="BCBDBC"/>
              <w:bottom w:val="nil"/>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-0.238***</w:t>
            </w:r>
          </w:p>
        </w:tc>
      </w:tr>
      <w:tr w:rsidR="00015409" w:rsidRPr="00731C8B" w:rsidTr="00253B06">
        <w:trPr>
          <w:cantSplit/>
          <w:trHeight w:val="20"/>
        </w:trPr>
        <w:tc>
          <w:tcPr>
            <w:tcW w:w="1945" w:type="dxa"/>
            <w:vMerge/>
            <w:tcBorders>
              <w:left w:val="nil"/>
              <w:bottom w:val="single" w:sz="4" w:space="0" w:color="BCBDBC"/>
              <w:right w:val="single" w:sz="4" w:space="0" w:color="BCBDBC"/>
            </w:tcBorders>
          </w:tcPr>
          <w:p w:rsidR="00015409" w:rsidRPr="006108F7" w:rsidRDefault="00015409" w:rsidP="00253B06">
            <w:pPr>
              <w:pStyle w:val="TableRowHeading"/>
              <w:rPr>
                <w:rFonts w:cs="Segoe UI"/>
                <w:iCs/>
                <w:sz w:val="18"/>
                <w:szCs w:val="18"/>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(0.0430)</w:t>
            </w:r>
          </w:p>
        </w:tc>
        <w:tc>
          <w:tcPr>
            <w:tcW w:w="1173" w:type="dxa"/>
            <w:tcBorders>
              <w:top w:val="nil"/>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(0.0568)</w:t>
            </w:r>
          </w:p>
        </w:tc>
        <w:tc>
          <w:tcPr>
            <w:tcW w:w="1238" w:type="dxa"/>
            <w:tcBorders>
              <w:top w:val="nil"/>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(0.0737)</w:t>
            </w:r>
          </w:p>
        </w:tc>
      </w:tr>
      <w:tr w:rsidR="00015409" w:rsidRPr="00731C8B" w:rsidTr="00253B06">
        <w:trPr>
          <w:cantSplit/>
          <w:trHeight w:val="20"/>
        </w:trPr>
        <w:tc>
          <w:tcPr>
            <w:tcW w:w="1945" w:type="dxa"/>
            <w:tcBorders>
              <w:top w:val="single" w:sz="4" w:space="0" w:color="auto"/>
              <w:left w:val="nil"/>
              <w:bottom w:val="single" w:sz="4" w:space="0" w:color="BCBDBC"/>
              <w:right w:val="single" w:sz="4" w:space="0" w:color="BCBDBC"/>
            </w:tcBorders>
          </w:tcPr>
          <w:p w:rsidR="00015409" w:rsidRPr="002D5C47" w:rsidRDefault="00015409" w:rsidP="00253B06">
            <w:pPr>
              <w:pStyle w:val="TableRowHeading"/>
              <w:rPr>
                <w:rFonts w:ascii="Times New Roman" w:eastAsia="Calibri" w:hAnsi="Times New Roman"/>
                <w:iCs/>
              </w:rPr>
            </w:pPr>
            <w:proofErr w:type="spellStart"/>
            <w:r w:rsidRPr="002D5C47">
              <w:rPr>
                <w:rFonts w:ascii="Times New Roman" w:eastAsia="Calibri" w:hAnsi="Times New Roman"/>
                <w:iCs/>
              </w:rPr>
              <w:t>Obs</w:t>
            </w:r>
            <w:proofErr w:type="spellEnd"/>
          </w:p>
        </w:tc>
        <w:tc>
          <w:tcPr>
            <w:tcW w:w="1238" w:type="dxa"/>
            <w:tcBorders>
              <w:top w:val="single" w:sz="4" w:space="0" w:color="auto"/>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3,195</w:t>
            </w:r>
          </w:p>
        </w:tc>
        <w:tc>
          <w:tcPr>
            <w:tcW w:w="1238" w:type="dxa"/>
            <w:tcBorders>
              <w:top w:val="single" w:sz="4" w:space="0" w:color="auto"/>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4,653</w:t>
            </w:r>
          </w:p>
        </w:tc>
        <w:tc>
          <w:tcPr>
            <w:tcW w:w="1173" w:type="dxa"/>
            <w:tcBorders>
              <w:top w:val="single" w:sz="4" w:space="0" w:color="auto"/>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3,195</w:t>
            </w:r>
          </w:p>
        </w:tc>
        <w:tc>
          <w:tcPr>
            <w:tcW w:w="1173" w:type="dxa"/>
            <w:tcBorders>
              <w:top w:val="single" w:sz="4" w:space="0" w:color="auto"/>
              <w:left w:val="single" w:sz="4" w:space="0" w:color="BCBDBC"/>
              <w:bottom w:val="single" w:sz="4" w:space="0" w:color="BCBDBC"/>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4,653</w:t>
            </w:r>
          </w:p>
        </w:tc>
        <w:tc>
          <w:tcPr>
            <w:tcW w:w="1238" w:type="dxa"/>
            <w:tcBorders>
              <w:top w:val="single" w:sz="4" w:space="0" w:color="auto"/>
              <w:left w:val="single" w:sz="4" w:space="0" w:color="BCBDBC"/>
              <w:bottom w:val="single" w:sz="4" w:space="0" w:color="BCBDBC"/>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6,532</w:t>
            </w:r>
          </w:p>
        </w:tc>
        <w:tc>
          <w:tcPr>
            <w:tcW w:w="1238" w:type="dxa"/>
            <w:tcBorders>
              <w:top w:val="single" w:sz="4" w:space="0" w:color="auto"/>
              <w:left w:val="single" w:sz="4" w:space="0" w:color="BCBDBC"/>
              <w:bottom w:val="single" w:sz="4" w:space="0" w:color="BCBDBC"/>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6,532</w:t>
            </w:r>
          </w:p>
        </w:tc>
      </w:tr>
      <w:tr w:rsidR="00015409" w:rsidRPr="00731C8B" w:rsidTr="00253B06">
        <w:trPr>
          <w:cantSplit/>
          <w:trHeight w:val="20"/>
        </w:trPr>
        <w:tc>
          <w:tcPr>
            <w:tcW w:w="1945" w:type="dxa"/>
            <w:tcBorders>
              <w:top w:val="single" w:sz="4" w:space="0" w:color="BCBDBC"/>
              <w:left w:val="nil"/>
              <w:bottom w:val="single" w:sz="4" w:space="0" w:color="auto"/>
              <w:right w:val="single" w:sz="4" w:space="0" w:color="BCBDBC"/>
            </w:tcBorders>
          </w:tcPr>
          <w:p w:rsidR="00015409" w:rsidRPr="002D5C47" w:rsidRDefault="00015409" w:rsidP="00253B06">
            <w:pPr>
              <w:pStyle w:val="TableRowHeading"/>
              <w:rPr>
                <w:rFonts w:ascii="Times New Roman" w:eastAsia="Malgun Gothic" w:hAnsi="Times New Roman"/>
                <w:lang w:eastAsia="ko-KR"/>
              </w:rPr>
            </w:pPr>
            <w:r w:rsidRPr="002D5C47">
              <w:rPr>
                <w:rFonts w:ascii="Times New Roman" w:eastAsia="Malgun Gothic" w:hAnsi="Times New Roman"/>
                <w:lang w:eastAsia="ko-KR"/>
              </w:rPr>
              <w:t>R-squared</w:t>
            </w:r>
          </w:p>
        </w:tc>
        <w:tc>
          <w:tcPr>
            <w:tcW w:w="1238" w:type="dxa"/>
            <w:tcBorders>
              <w:top w:val="single" w:sz="4" w:space="0" w:color="BCBDBC"/>
              <w:left w:val="single" w:sz="4" w:space="0" w:color="BCBDBC"/>
              <w:bottom w:val="single" w:sz="4" w:space="0" w:color="auto"/>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0.996</w:t>
            </w:r>
          </w:p>
        </w:tc>
        <w:tc>
          <w:tcPr>
            <w:tcW w:w="1238" w:type="dxa"/>
            <w:tcBorders>
              <w:top w:val="single" w:sz="4" w:space="0" w:color="BCBDBC"/>
              <w:left w:val="single" w:sz="4" w:space="0" w:color="BCBDBC"/>
              <w:bottom w:val="single" w:sz="4" w:space="0" w:color="auto"/>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0.992</w:t>
            </w:r>
          </w:p>
        </w:tc>
        <w:tc>
          <w:tcPr>
            <w:tcW w:w="1173" w:type="dxa"/>
            <w:tcBorders>
              <w:top w:val="single" w:sz="4" w:space="0" w:color="BCBDBC"/>
              <w:left w:val="single" w:sz="4" w:space="0" w:color="BCBDBC"/>
              <w:bottom w:val="single" w:sz="4" w:space="0" w:color="auto"/>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0.996</w:t>
            </w:r>
          </w:p>
        </w:tc>
        <w:tc>
          <w:tcPr>
            <w:tcW w:w="1173" w:type="dxa"/>
            <w:tcBorders>
              <w:top w:val="single" w:sz="4" w:space="0" w:color="BCBDBC"/>
              <w:left w:val="single" w:sz="4" w:space="0" w:color="BCBDBC"/>
              <w:bottom w:val="single" w:sz="4" w:space="0" w:color="auto"/>
              <w:right w:val="single" w:sz="4" w:space="0" w:color="BCBDBC"/>
            </w:tcBorders>
          </w:tcPr>
          <w:p w:rsidR="00015409" w:rsidRPr="00CA625F" w:rsidRDefault="00015409" w:rsidP="00253B06">
            <w:pPr>
              <w:widowControl w:val="0"/>
              <w:autoSpaceDE w:val="0"/>
              <w:autoSpaceDN w:val="0"/>
              <w:adjustRightInd w:val="0"/>
              <w:jc w:val="center"/>
              <w:rPr>
                <w:rFonts w:cs="Segoe UI"/>
                <w:sz w:val="18"/>
                <w:szCs w:val="18"/>
              </w:rPr>
            </w:pPr>
            <w:r w:rsidRPr="00CA625F">
              <w:rPr>
                <w:rFonts w:cs="Segoe UI"/>
                <w:sz w:val="18"/>
                <w:szCs w:val="18"/>
              </w:rPr>
              <w:t>0.992</w:t>
            </w:r>
          </w:p>
        </w:tc>
        <w:tc>
          <w:tcPr>
            <w:tcW w:w="1238" w:type="dxa"/>
            <w:tcBorders>
              <w:top w:val="single" w:sz="4" w:space="0" w:color="BCBDBC"/>
              <w:left w:val="single" w:sz="4" w:space="0" w:color="BCBDBC"/>
              <w:bottom w:val="single" w:sz="4" w:space="0" w:color="auto"/>
              <w:right w:val="single" w:sz="4" w:space="0" w:color="BCBDBC"/>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0.993</w:t>
            </w:r>
          </w:p>
        </w:tc>
        <w:tc>
          <w:tcPr>
            <w:tcW w:w="1238" w:type="dxa"/>
            <w:tcBorders>
              <w:top w:val="single" w:sz="4" w:space="0" w:color="BCBDBC"/>
              <w:left w:val="single" w:sz="4" w:space="0" w:color="BCBDBC"/>
              <w:bottom w:val="single" w:sz="4" w:space="0" w:color="auto"/>
              <w:right w:val="nil"/>
            </w:tcBorders>
          </w:tcPr>
          <w:p w:rsidR="00015409" w:rsidRPr="00BD24A7" w:rsidRDefault="00015409" w:rsidP="00253B06">
            <w:pPr>
              <w:widowControl w:val="0"/>
              <w:autoSpaceDE w:val="0"/>
              <w:autoSpaceDN w:val="0"/>
              <w:adjustRightInd w:val="0"/>
              <w:jc w:val="center"/>
              <w:rPr>
                <w:rFonts w:cs="Segoe UI"/>
                <w:sz w:val="18"/>
                <w:szCs w:val="18"/>
              </w:rPr>
            </w:pPr>
            <w:r w:rsidRPr="00BD24A7">
              <w:rPr>
                <w:rFonts w:cs="Segoe UI"/>
                <w:sz w:val="18"/>
                <w:szCs w:val="18"/>
              </w:rPr>
              <w:t>0.993</w:t>
            </w:r>
          </w:p>
        </w:tc>
      </w:tr>
    </w:tbl>
    <w:p w:rsidR="00015409" w:rsidRPr="002D5C47" w:rsidRDefault="00015409" w:rsidP="00015409">
      <w:pPr>
        <w:pStyle w:val="TblNote"/>
        <w:spacing w:line="480" w:lineRule="auto"/>
        <w:rPr>
          <w:rFonts w:ascii="Times New Roman" w:eastAsia="Malgun Gothic" w:hAnsi="Times New Roman"/>
          <w:sz w:val="24"/>
          <w:szCs w:val="24"/>
          <w:lang w:eastAsia="ko-KR"/>
        </w:rPr>
      </w:pPr>
      <w:r>
        <w:rPr>
          <w:rFonts w:ascii="Times New Roman" w:eastAsia="Malgun Gothic" w:hAnsi="Times New Roman"/>
          <w:sz w:val="24"/>
          <w:szCs w:val="24"/>
          <w:lang w:eastAsia="ko-KR"/>
        </w:rPr>
        <w:lastRenderedPageBreak/>
        <w:t xml:space="preserve">Online Annex </w:t>
      </w:r>
      <w:r w:rsidRPr="002D5C47">
        <w:rPr>
          <w:rFonts w:ascii="Times New Roman" w:eastAsia="Malgun Gothic" w:hAnsi="Times New Roman"/>
          <w:sz w:val="24"/>
          <w:szCs w:val="24"/>
          <w:lang w:eastAsia="ko-KR"/>
        </w:rPr>
        <w:t xml:space="preserve">Table </w:t>
      </w:r>
      <w:r>
        <w:rPr>
          <w:rFonts w:ascii="Times New Roman" w:eastAsia="Malgun Gothic" w:hAnsi="Times New Roman"/>
          <w:sz w:val="24"/>
          <w:szCs w:val="24"/>
          <w:lang w:eastAsia="ko-KR"/>
        </w:rPr>
        <w:t>A</w:t>
      </w:r>
      <w:r w:rsidR="002136CE">
        <w:rPr>
          <w:rFonts w:ascii="Times New Roman" w:eastAsia="Malgun Gothic" w:hAnsi="Times New Roman"/>
          <w:sz w:val="24"/>
          <w:szCs w:val="24"/>
          <w:lang w:eastAsia="ko-KR"/>
        </w:rPr>
        <w:t>6</w:t>
      </w:r>
      <w:r w:rsidRPr="002D5C47">
        <w:rPr>
          <w:rFonts w:ascii="Times New Roman" w:eastAsia="Malgun Gothic" w:hAnsi="Times New Roman"/>
          <w:sz w:val="24"/>
          <w:szCs w:val="24"/>
          <w:lang w:eastAsia="ko-KR"/>
        </w:rPr>
        <w:t xml:space="preserve">: </w:t>
      </w:r>
      <w:r w:rsidRPr="002D5C47">
        <w:t xml:space="preserve"> </w:t>
      </w:r>
      <w:r>
        <w:rPr>
          <w:rFonts w:ascii="Times New Roman" w:eastAsia="Malgun Gothic" w:hAnsi="Times New Roman"/>
          <w:sz w:val="24"/>
          <w:szCs w:val="24"/>
          <w:lang w:eastAsia="ko-KR"/>
        </w:rPr>
        <w:t xml:space="preserve">Left tail of forecast distribution and monetary policy </w:t>
      </w:r>
    </w:p>
    <w:p w:rsidR="00015409" w:rsidRDefault="00015409" w:rsidP="00015409">
      <w:pPr>
        <w:spacing w:after="160" w:line="480" w:lineRule="auto"/>
        <w:jc w:val="both"/>
        <w:rPr>
          <w:rFonts w:ascii="Times New Roman" w:eastAsia="Malgun Gothic" w:hAnsi="Times New Roman"/>
          <w:sz w:val="24"/>
          <w:szCs w:val="24"/>
          <w:lang w:eastAsia="ko-KR"/>
        </w:rPr>
      </w:pPr>
      <w:r w:rsidRPr="00383795">
        <w:rPr>
          <w:rFonts w:ascii="Times New Roman" w:eastAsia="Malgun Gothic" w:hAnsi="Times New Roman"/>
          <w:i/>
          <w:lang w:eastAsia="ko-KR"/>
        </w:rPr>
        <w:t>Notes:</w:t>
      </w:r>
      <w:r w:rsidRPr="00383795">
        <w:rPr>
          <w:rFonts w:ascii="Times New Roman" w:eastAsia="Malgun Gothic" w:hAnsi="Times New Roman"/>
          <w:lang w:eastAsia="ko-KR"/>
        </w:rPr>
        <w:t xml:space="preserve"> Dependent variable is the 25th percentile of the forecast distribution of inflation over the next 12 months. Robust standard errors clustered by country and time in parentheses. *, ** and *** denote statistical significance at 10%, 5% and 1% level, respectively. </w:t>
      </w:r>
      <w:proofErr w:type="gramStart"/>
      <w:r w:rsidRPr="00383795">
        <w:rPr>
          <w:rFonts w:ascii="Times New Roman" w:eastAsia="Malgun Gothic" w:hAnsi="Times New Roman"/>
          <w:lang w:eastAsia="ko-KR"/>
        </w:rPr>
        <w:t>Columns (1)</w:t>
      </w:r>
      <w:r>
        <w:rPr>
          <w:rFonts w:ascii="Times New Roman" w:eastAsia="Malgun Gothic" w:hAnsi="Times New Roman"/>
          <w:lang w:eastAsia="ko-KR"/>
        </w:rPr>
        <w:t>,</w:t>
      </w:r>
      <w:r w:rsidRPr="00383795">
        <w:rPr>
          <w:rFonts w:ascii="Times New Roman" w:eastAsia="Malgun Gothic" w:hAnsi="Times New Roman"/>
          <w:lang w:eastAsia="ko-KR"/>
        </w:rPr>
        <w:t xml:space="preserve"> (</w:t>
      </w:r>
      <w:r w:rsidR="00903756">
        <w:rPr>
          <w:rFonts w:ascii="Times New Roman" w:eastAsia="Malgun Gothic" w:hAnsi="Times New Roman"/>
          <w:lang w:eastAsia="ko-KR"/>
        </w:rPr>
        <w:t>2</w:t>
      </w:r>
      <w:r w:rsidRPr="00383795">
        <w:rPr>
          <w:rFonts w:ascii="Times New Roman" w:eastAsia="Malgun Gothic" w:hAnsi="Times New Roman"/>
          <w:lang w:eastAsia="ko-KR"/>
        </w:rPr>
        <w:t xml:space="preserve">) </w:t>
      </w:r>
      <w:r>
        <w:rPr>
          <w:rFonts w:ascii="Times New Roman" w:eastAsia="Malgun Gothic" w:hAnsi="Times New Roman"/>
          <w:lang w:eastAsia="ko-KR"/>
        </w:rPr>
        <w:t>and (</w:t>
      </w:r>
      <w:r w:rsidR="00903756">
        <w:rPr>
          <w:rFonts w:ascii="Times New Roman" w:eastAsia="Malgun Gothic" w:hAnsi="Times New Roman"/>
          <w:lang w:eastAsia="ko-KR"/>
        </w:rPr>
        <w:t>5</w:t>
      </w:r>
      <w:r>
        <w:rPr>
          <w:rFonts w:ascii="Times New Roman" w:eastAsia="Malgun Gothic" w:hAnsi="Times New Roman"/>
          <w:lang w:eastAsia="ko-KR"/>
        </w:rPr>
        <w:t>)</w:t>
      </w:r>
      <w:proofErr w:type="gramEnd"/>
      <w:r>
        <w:rPr>
          <w:rFonts w:ascii="Times New Roman" w:eastAsia="Malgun Gothic" w:hAnsi="Times New Roman"/>
          <w:lang w:eastAsia="ko-KR"/>
        </w:rPr>
        <w:t xml:space="preserve"> </w:t>
      </w:r>
      <w:r w:rsidRPr="00383795">
        <w:rPr>
          <w:rFonts w:ascii="Times New Roman" w:eastAsia="Malgun Gothic" w:hAnsi="Times New Roman"/>
          <w:lang w:eastAsia="ko-KR"/>
        </w:rPr>
        <w:t>show results from estimations where the deflation dummy includes all deflations; Columns (</w:t>
      </w:r>
      <w:r w:rsidR="00903756">
        <w:rPr>
          <w:rFonts w:ascii="Times New Roman" w:eastAsia="Malgun Gothic" w:hAnsi="Times New Roman"/>
          <w:lang w:eastAsia="ko-KR"/>
        </w:rPr>
        <w:t>3</w:t>
      </w:r>
      <w:r>
        <w:rPr>
          <w:rFonts w:ascii="Times New Roman" w:eastAsia="Malgun Gothic" w:hAnsi="Times New Roman"/>
          <w:lang w:eastAsia="ko-KR"/>
        </w:rPr>
        <w:t>), (</w:t>
      </w:r>
      <w:r w:rsidR="00903756">
        <w:rPr>
          <w:rFonts w:ascii="Times New Roman" w:eastAsia="Malgun Gothic" w:hAnsi="Times New Roman"/>
          <w:lang w:eastAsia="ko-KR"/>
        </w:rPr>
        <w:t>4</w:t>
      </w:r>
      <w:r>
        <w:rPr>
          <w:rFonts w:ascii="Times New Roman" w:eastAsia="Malgun Gothic" w:hAnsi="Times New Roman"/>
          <w:lang w:eastAsia="ko-KR"/>
        </w:rPr>
        <w:t>) and</w:t>
      </w:r>
      <w:r w:rsidRPr="00383795">
        <w:rPr>
          <w:rFonts w:ascii="Times New Roman" w:eastAsia="Malgun Gothic" w:hAnsi="Times New Roman"/>
          <w:lang w:eastAsia="ko-KR"/>
        </w:rPr>
        <w:t xml:space="preserve"> (</w:t>
      </w:r>
      <w:r>
        <w:rPr>
          <w:rFonts w:ascii="Times New Roman" w:eastAsia="Malgun Gothic" w:hAnsi="Times New Roman"/>
          <w:lang w:eastAsia="ko-KR"/>
        </w:rPr>
        <w:t>6</w:t>
      </w:r>
      <w:r w:rsidRPr="00383795">
        <w:rPr>
          <w:rFonts w:ascii="Times New Roman" w:eastAsia="Malgun Gothic" w:hAnsi="Times New Roman"/>
          <w:lang w:eastAsia="ko-KR"/>
        </w:rPr>
        <w:t>) include only persistent deflations.</w:t>
      </w:r>
      <w:r>
        <w:rPr>
          <w:rFonts w:ascii="Times New Roman" w:eastAsia="Malgun Gothic" w:hAnsi="Times New Roman"/>
          <w:lang w:eastAsia="ko-KR"/>
        </w:rPr>
        <w:t xml:space="preserve"> </w:t>
      </w:r>
      <w:r w:rsidRPr="00383795">
        <w:rPr>
          <w:rFonts w:ascii="Times New Roman" w:eastAsia="Malgun Gothic" w:hAnsi="Times New Roman"/>
          <w:lang w:eastAsia="ko-KR"/>
        </w:rPr>
        <w:t>All models include country and time fixed effects.</w:t>
      </w:r>
    </w:p>
    <w:p w:rsidR="00015409" w:rsidRDefault="00015409" w:rsidP="00495497">
      <w:pPr>
        <w:spacing w:line="480" w:lineRule="auto"/>
      </w:pPr>
    </w:p>
    <w:tbl>
      <w:tblPr>
        <w:tblStyle w:val="TableGrid"/>
        <w:tblW w:w="9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7"/>
        <w:gridCol w:w="3077"/>
        <w:gridCol w:w="3078"/>
      </w:tblGrid>
      <w:tr w:rsidR="009F44E5" w:rsidTr="00253B06">
        <w:tc>
          <w:tcPr>
            <w:tcW w:w="3077" w:type="dxa"/>
          </w:tcPr>
          <w:p w:rsidR="009F44E5" w:rsidRPr="00CF4E77" w:rsidRDefault="009F44E5" w:rsidP="00253B06">
            <w:pPr>
              <w:pStyle w:val="GraphFootnoteSegoeUI"/>
              <w:framePr w:hSpace="0" w:vSpace="0" w:wrap="auto" w:vAnchor="margin" w:yAlign="inline"/>
              <w:spacing w:line="480" w:lineRule="auto"/>
              <w:suppressOverlap w:val="0"/>
              <w:jc w:val="center"/>
              <w:rPr>
                <w:rFonts w:ascii="Segoe UI" w:hAnsi="Segoe UI" w:cs="Segoe UI"/>
                <w:b/>
                <w:i/>
                <w:sz w:val="16"/>
                <w:szCs w:val="16"/>
              </w:rPr>
            </w:pPr>
            <w:r w:rsidRPr="00CF4E77">
              <w:rPr>
                <w:rFonts w:ascii="Segoe UI" w:hAnsi="Segoe UI" w:cs="Segoe UI"/>
                <w:b/>
                <w:i/>
                <w:sz w:val="16"/>
                <w:szCs w:val="16"/>
              </w:rPr>
              <w:t>Lower tail of inflation expectations</w:t>
            </w:r>
          </w:p>
        </w:tc>
        <w:tc>
          <w:tcPr>
            <w:tcW w:w="3077" w:type="dxa"/>
          </w:tcPr>
          <w:p w:rsidR="009F44E5" w:rsidRPr="00CF4E77" w:rsidRDefault="009F44E5" w:rsidP="00253B06">
            <w:pPr>
              <w:pStyle w:val="GraphFootnoteSegoeUI"/>
              <w:framePr w:hSpace="0" w:vSpace="0" w:wrap="auto" w:vAnchor="margin" w:yAlign="inline"/>
              <w:spacing w:line="480" w:lineRule="auto"/>
              <w:suppressOverlap w:val="0"/>
              <w:jc w:val="center"/>
              <w:rPr>
                <w:rFonts w:ascii="Segoe UI" w:hAnsi="Segoe UI" w:cs="Segoe UI"/>
                <w:b/>
                <w:i/>
                <w:sz w:val="16"/>
                <w:szCs w:val="16"/>
              </w:rPr>
            </w:pPr>
            <w:r w:rsidRPr="00CF4E77">
              <w:rPr>
                <w:rFonts w:ascii="Segoe UI" w:hAnsi="Segoe UI" w:cs="Segoe UI"/>
                <w:b/>
                <w:i/>
                <w:sz w:val="16"/>
                <w:szCs w:val="16"/>
              </w:rPr>
              <w:t>Median infl. expectation for next year</w:t>
            </w:r>
          </w:p>
        </w:tc>
        <w:tc>
          <w:tcPr>
            <w:tcW w:w="3078" w:type="dxa"/>
          </w:tcPr>
          <w:p w:rsidR="009F44E5" w:rsidRPr="00CF4E77" w:rsidRDefault="009F44E5" w:rsidP="00253B06">
            <w:pPr>
              <w:pStyle w:val="GraphFootnoteSegoeUI"/>
              <w:framePr w:hSpace="0" w:vSpace="0" w:wrap="auto" w:vAnchor="margin" w:yAlign="inline"/>
              <w:spacing w:line="480" w:lineRule="auto"/>
              <w:suppressOverlap w:val="0"/>
              <w:jc w:val="center"/>
              <w:rPr>
                <w:rFonts w:ascii="Segoe UI" w:hAnsi="Segoe UI" w:cs="Segoe UI"/>
                <w:b/>
                <w:i/>
                <w:sz w:val="16"/>
                <w:szCs w:val="16"/>
              </w:rPr>
            </w:pPr>
            <w:r w:rsidRPr="00CF4E77">
              <w:rPr>
                <w:rFonts w:ascii="Segoe UI" w:hAnsi="Segoe UI" w:cs="Segoe UI"/>
                <w:b/>
                <w:i/>
                <w:sz w:val="16"/>
                <w:szCs w:val="16"/>
              </w:rPr>
              <w:t>GDP forecast disagreement</w:t>
            </w:r>
          </w:p>
        </w:tc>
      </w:tr>
      <w:tr w:rsidR="009F44E5" w:rsidTr="00253B06">
        <w:tc>
          <w:tcPr>
            <w:tcW w:w="3077" w:type="dxa"/>
          </w:tcPr>
          <w:p w:rsidR="009F44E5" w:rsidRPr="00CF4E77" w:rsidRDefault="009F44E5" w:rsidP="00253B06">
            <w:pPr>
              <w:pStyle w:val="GraphFootnoteSegoeUI"/>
              <w:framePr w:hSpace="0" w:vSpace="0" w:wrap="auto" w:vAnchor="margin" w:yAlign="inline"/>
              <w:spacing w:line="480" w:lineRule="auto"/>
              <w:suppressOverlap w:val="0"/>
              <w:rPr>
                <w:rFonts w:ascii="Segoe UI" w:hAnsi="Segoe UI" w:cs="Segoe UI"/>
                <w:sz w:val="16"/>
                <w:szCs w:val="16"/>
              </w:rPr>
            </w:pPr>
            <w:r>
              <w:object w:dxaOrig="7464" w:dyaOrig="4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02pt" o:ole="">
                  <v:imagedata r:id="rId6" o:title=""/>
                </v:shape>
                <o:OLEObject Type="Embed" ProgID="EViews.Workfile.2" ShapeID="_x0000_i1025" DrawAspect="Content" ObjectID="_1630563001" r:id="rId7"/>
              </w:object>
            </w:r>
          </w:p>
        </w:tc>
        <w:tc>
          <w:tcPr>
            <w:tcW w:w="3077" w:type="dxa"/>
          </w:tcPr>
          <w:p w:rsidR="009F44E5" w:rsidRPr="00CF4E77" w:rsidRDefault="009F44E5" w:rsidP="00253B06">
            <w:pPr>
              <w:pStyle w:val="GraphFootnoteSegoeUI"/>
              <w:framePr w:hSpace="0" w:vSpace="0" w:wrap="auto" w:vAnchor="margin" w:yAlign="inline"/>
              <w:spacing w:line="480" w:lineRule="auto"/>
              <w:suppressOverlap w:val="0"/>
              <w:rPr>
                <w:rFonts w:ascii="Segoe UI" w:hAnsi="Segoe UI" w:cs="Segoe UI"/>
                <w:sz w:val="16"/>
                <w:szCs w:val="16"/>
              </w:rPr>
            </w:pPr>
            <w:r>
              <w:object w:dxaOrig="7464" w:dyaOrig="4644">
                <v:shape id="_x0000_i1026" type="#_x0000_t75" style="width:2in;height:102pt" o:ole="">
                  <v:imagedata r:id="rId8" o:title=""/>
                </v:shape>
                <o:OLEObject Type="Embed" ProgID="EViews.Workfile.2" ShapeID="_x0000_i1026" DrawAspect="Content" ObjectID="_1630563002" r:id="rId9"/>
              </w:object>
            </w:r>
          </w:p>
        </w:tc>
        <w:tc>
          <w:tcPr>
            <w:tcW w:w="3078" w:type="dxa"/>
          </w:tcPr>
          <w:p w:rsidR="009F44E5" w:rsidRPr="00CF4E77" w:rsidRDefault="009F44E5" w:rsidP="00253B06">
            <w:pPr>
              <w:pStyle w:val="GraphFootnoteSegoeUI"/>
              <w:framePr w:hSpace="0" w:vSpace="0" w:wrap="auto" w:vAnchor="margin" w:yAlign="inline"/>
              <w:spacing w:line="480" w:lineRule="auto"/>
              <w:suppressOverlap w:val="0"/>
              <w:rPr>
                <w:rFonts w:ascii="Segoe UI" w:hAnsi="Segoe UI" w:cs="Segoe UI"/>
                <w:sz w:val="16"/>
                <w:szCs w:val="16"/>
              </w:rPr>
            </w:pPr>
            <w:r>
              <w:object w:dxaOrig="7608" w:dyaOrig="4644">
                <v:shape id="_x0000_i1027" type="#_x0000_t75" style="width:2in;height:102pt" o:ole="">
                  <v:imagedata r:id="rId10" o:title=""/>
                </v:shape>
                <o:OLEObject Type="Embed" ProgID="EViews.Workfile.2" ShapeID="_x0000_i1027" DrawAspect="Content" ObjectID="_1630563003" r:id="rId11"/>
              </w:object>
            </w:r>
          </w:p>
        </w:tc>
      </w:tr>
      <w:tr w:rsidR="009F44E5" w:rsidTr="00253B06">
        <w:tc>
          <w:tcPr>
            <w:tcW w:w="3077" w:type="dxa"/>
          </w:tcPr>
          <w:p w:rsidR="009F44E5" w:rsidRPr="00CF4E77" w:rsidRDefault="009F44E5" w:rsidP="00253B06">
            <w:pPr>
              <w:pStyle w:val="GraphFootnoteSegoeUI"/>
              <w:framePr w:hSpace="0" w:vSpace="0" w:wrap="auto" w:vAnchor="margin" w:yAlign="inline"/>
              <w:spacing w:line="480" w:lineRule="auto"/>
              <w:suppressOverlap w:val="0"/>
              <w:jc w:val="center"/>
              <w:rPr>
                <w:rFonts w:ascii="Segoe UI" w:hAnsi="Segoe UI" w:cs="Segoe UI"/>
                <w:b/>
                <w:i/>
                <w:sz w:val="16"/>
                <w:szCs w:val="16"/>
              </w:rPr>
            </w:pPr>
            <w:r w:rsidRPr="00CF4E77">
              <w:rPr>
                <w:rFonts w:ascii="Segoe UI" w:hAnsi="Segoe UI" w:cs="Segoe UI"/>
                <w:b/>
                <w:i/>
                <w:sz w:val="16"/>
                <w:szCs w:val="16"/>
              </w:rPr>
              <w:t>Output gap</w:t>
            </w:r>
          </w:p>
        </w:tc>
        <w:tc>
          <w:tcPr>
            <w:tcW w:w="3077" w:type="dxa"/>
          </w:tcPr>
          <w:p w:rsidR="009F44E5" w:rsidRPr="00CF4E77" w:rsidRDefault="009F44E5" w:rsidP="00253B06">
            <w:pPr>
              <w:pStyle w:val="GraphFootnoteSegoeUI"/>
              <w:framePr w:hSpace="0" w:vSpace="0" w:wrap="auto" w:vAnchor="margin" w:yAlign="inline"/>
              <w:spacing w:line="480" w:lineRule="auto"/>
              <w:suppressOverlap w:val="0"/>
              <w:jc w:val="center"/>
              <w:rPr>
                <w:rFonts w:ascii="Segoe UI" w:hAnsi="Segoe UI" w:cs="Segoe UI"/>
                <w:b/>
                <w:i/>
                <w:sz w:val="16"/>
                <w:szCs w:val="16"/>
              </w:rPr>
            </w:pPr>
            <w:r w:rsidRPr="00CF4E77">
              <w:rPr>
                <w:rFonts w:ascii="Segoe UI" w:hAnsi="Segoe UI" w:cs="Segoe UI"/>
                <w:b/>
                <w:i/>
                <w:sz w:val="16"/>
                <w:szCs w:val="16"/>
              </w:rPr>
              <w:t>Inflation</w:t>
            </w:r>
          </w:p>
        </w:tc>
        <w:tc>
          <w:tcPr>
            <w:tcW w:w="3078" w:type="dxa"/>
          </w:tcPr>
          <w:p w:rsidR="009F44E5" w:rsidRPr="00CF4E77" w:rsidRDefault="009F44E5" w:rsidP="00253B06">
            <w:pPr>
              <w:pStyle w:val="GraphFootnoteSegoeUI"/>
              <w:framePr w:hSpace="0" w:vSpace="0" w:wrap="auto" w:vAnchor="margin" w:yAlign="inline"/>
              <w:spacing w:line="480" w:lineRule="auto"/>
              <w:suppressOverlap w:val="0"/>
              <w:jc w:val="center"/>
              <w:rPr>
                <w:rFonts w:ascii="Segoe UI" w:hAnsi="Segoe UI" w:cs="Segoe UI"/>
                <w:b/>
                <w:i/>
                <w:sz w:val="16"/>
                <w:szCs w:val="16"/>
              </w:rPr>
            </w:pPr>
            <w:r w:rsidRPr="00CF4E77">
              <w:rPr>
                <w:rFonts w:ascii="Segoe UI" w:hAnsi="Segoe UI" w:cs="Segoe UI"/>
                <w:b/>
                <w:i/>
                <w:sz w:val="16"/>
                <w:szCs w:val="16"/>
              </w:rPr>
              <w:t>Policy rate</w:t>
            </w:r>
          </w:p>
        </w:tc>
      </w:tr>
      <w:tr w:rsidR="009F44E5" w:rsidTr="00253B06">
        <w:tc>
          <w:tcPr>
            <w:tcW w:w="3077" w:type="dxa"/>
          </w:tcPr>
          <w:p w:rsidR="009F44E5" w:rsidRDefault="009F44E5" w:rsidP="00253B06">
            <w:pPr>
              <w:pStyle w:val="GraphFootnoteSegoeUI"/>
              <w:framePr w:hSpace="0" w:vSpace="0" w:wrap="auto" w:vAnchor="margin" w:yAlign="inline"/>
              <w:spacing w:line="480" w:lineRule="auto"/>
              <w:suppressOverlap w:val="0"/>
            </w:pPr>
            <w:r>
              <w:object w:dxaOrig="7464" w:dyaOrig="4644">
                <v:shape id="_x0000_i1028" type="#_x0000_t75" style="width:2in;height:102pt" o:ole="">
                  <v:imagedata r:id="rId12" o:title=""/>
                </v:shape>
                <o:OLEObject Type="Embed" ProgID="EViews.Workfile.2" ShapeID="_x0000_i1028" DrawAspect="Content" ObjectID="_1630563004" r:id="rId13"/>
              </w:object>
            </w:r>
            <w:r>
              <w:t xml:space="preserve"> </w:t>
            </w:r>
          </w:p>
        </w:tc>
        <w:tc>
          <w:tcPr>
            <w:tcW w:w="3077" w:type="dxa"/>
          </w:tcPr>
          <w:p w:rsidR="009F44E5" w:rsidRDefault="009F44E5" w:rsidP="00253B06">
            <w:pPr>
              <w:pStyle w:val="GraphFootnoteSegoeUI"/>
              <w:framePr w:hSpace="0" w:vSpace="0" w:wrap="auto" w:vAnchor="margin" w:yAlign="inline"/>
              <w:spacing w:line="480" w:lineRule="auto"/>
              <w:suppressOverlap w:val="0"/>
            </w:pPr>
            <w:r>
              <w:object w:dxaOrig="7464" w:dyaOrig="4644">
                <v:shape id="_x0000_i1029" type="#_x0000_t75" style="width:2in;height:102pt" o:ole="">
                  <v:imagedata r:id="rId14" o:title=""/>
                </v:shape>
                <o:OLEObject Type="Embed" ProgID="EViews.Workfile.2" ShapeID="_x0000_i1029" DrawAspect="Content" ObjectID="_1630563005" r:id="rId15"/>
              </w:object>
            </w:r>
          </w:p>
        </w:tc>
        <w:tc>
          <w:tcPr>
            <w:tcW w:w="3078" w:type="dxa"/>
          </w:tcPr>
          <w:p w:rsidR="009F44E5" w:rsidRDefault="009F44E5" w:rsidP="00253B06">
            <w:pPr>
              <w:pStyle w:val="GraphFootnoteSegoeUI"/>
              <w:framePr w:hSpace="0" w:vSpace="0" w:wrap="auto" w:vAnchor="margin" w:yAlign="inline"/>
              <w:spacing w:line="480" w:lineRule="auto"/>
              <w:suppressOverlap w:val="0"/>
            </w:pPr>
            <w:r>
              <w:object w:dxaOrig="7308" w:dyaOrig="4644">
                <v:shape id="_x0000_i1030" type="#_x0000_t75" style="width:2in;height:102pt" o:ole="">
                  <v:imagedata r:id="rId16" o:title=""/>
                </v:shape>
                <o:OLEObject Type="Embed" ProgID="EViews.Workfile.2" ShapeID="_x0000_i1030" DrawAspect="Content" ObjectID="_1630563006" r:id="rId17"/>
              </w:object>
            </w:r>
          </w:p>
        </w:tc>
      </w:tr>
    </w:tbl>
    <w:tbl>
      <w:tblPr>
        <w:tblpPr w:vertAnchor="text" w:tblpXSpec="center" w:tblpY="1"/>
        <w:tblOverlap w:val="never"/>
        <w:tblW w:w="9242" w:type="dxa"/>
        <w:tblBorders>
          <w:top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42"/>
      </w:tblGrid>
      <w:tr w:rsidR="009F44E5" w:rsidRPr="00731C8B" w:rsidTr="00253B06">
        <w:trPr>
          <w:cantSplit/>
        </w:trPr>
        <w:tc>
          <w:tcPr>
            <w:tcW w:w="9242" w:type="dxa"/>
            <w:tcBorders>
              <w:top w:val="nil"/>
              <w:bottom w:val="nil"/>
            </w:tcBorders>
          </w:tcPr>
          <w:p w:rsidR="009F44E5" w:rsidRPr="00DF4EB2" w:rsidRDefault="009F44E5" w:rsidP="00253B06">
            <w:pPr>
              <w:pStyle w:val="GraphFootnoteSegoeUI"/>
              <w:framePr w:hSpace="0" w:vSpace="0" w:wrap="auto" w:vAnchor="margin" w:yAlign="inline"/>
              <w:spacing w:line="480" w:lineRule="auto"/>
              <w:suppressOverlap w:val="0"/>
            </w:pPr>
            <w:r>
              <w:t xml:space="preserve">Online Annex Graph A1: </w:t>
            </w:r>
            <w:r w:rsidRPr="00731C8B">
              <w:t>Responses to shock in left-hand tail, alternative ordering</w:t>
            </w:r>
          </w:p>
          <w:p w:rsidR="009F44E5" w:rsidRPr="00731C8B" w:rsidRDefault="009F44E5" w:rsidP="00253B06">
            <w:pPr>
              <w:pStyle w:val="GraphFootnoteSegoeUI"/>
              <w:framePr w:hSpace="0" w:vSpace="0" w:wrap="auto" w:vAnchor="margin" w:yAlign="inline"/>
              <w:spacing w:line="480" w:lineRule="auto"/>
              <w:suppressOverlap w:val="0"/>
            </w:pPr>
            <w:r w:rsidRPr="00D41318">
              <w:rPr>
                <w:sz w:val="20"/>
                <w:szCs w:val="20"/>
              </w:rPr>
              <w:t xml:space="preserve">Notes: The titles of the panels show the name of the response variable. The underlying shock is a negative one standard deviation shock to the </w:t>
            </w:r>
            <w:r>
              <w:rPr>
                <w:sz w:val="20"/>
                <w:szCs w:val="20"/>
              </w:rPr>
              <w:t>25</w:t>
            </w:r>
            <w:r w:rsidRPr="00D41318">
              <w:rPr>
                <w:sz w:val="20"/>
                <w:szCs w:val="20"/>
              </w:rPr>
              <w:t xml:space="preserve">th percentile of inflation expectations. The numbers on the x-axis denote the number of months that have passed from the shock. The order of the variables </w:t>
            </w:r>
            <w:proofErr w:type="gramStart"/>
            <w:r w:rsidRPr="00D41318">
              <w:rPr>
                <w:sz w:val="20"/>
                <w:szCs w:val="20"/>
              </w:rPr>
              <w:t>is:</w:t>
            </w:r>
            <w:proofErr w:type="gramEnd"/>
            <w:r w:rsidRPr="00D41318">
              <w:rPr>
                <w:sz w:val="20"/>
                <w:szCs w:val="20"/>
              </w:rPr>
              <w:t xml:space="preserve"> the output gap, inflation and the policy rate, left-hand tail of inflation expectations, median inflation expectations, GDP growth forecast disagreement.</w:t>
            </w:r>
          </w:p>
        </w:tc>
      </w:tr>
    </w:tbl>
    <w:p w:rsidR="009F44E5" w:rsidRDefault="009F44E5" w:rsidP="00495497">
      <w:pPr>
        <w:spacing w:line="480" w:lineRule="auto"/>
      </w:pPr>
    </w:p>
    <w:sectPr w:rsidR="009F44E5">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4D9" w:rsidRDefault="004F74D9" w:rsidP="004F74D9">
      <w:r>
        <w:separator/>
      </w:r>
    </w:p>
  </w:endnote>
  <w:endnote w:type="continuationSeparator" w:id="0">
    <w:p w:rsidR="004F74D9" w:rsidRDefault="004F74D9" w:rsidP="004F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076407"/>
      <w:docPartObj>
        <w:docPartGallery w:val="Page Numbers (Bottom of Page)"/>
        <w:docPartUnique/>
      </w:docPartObj>
    </w:sdtPr>
    <w:sdtEndPr>
      <w:rPr>
        <w:noProof/>
      </w:rPr>
    </w:sdtEndPr>
    <w:sdtContent>
      <w:p w:rsidR="004F74D9" w:rsidRDefault="004F74D9">
        <w:pPr>
          <w:pStyle w:val="Footer"/>
          <w:jc w:val="center"/>
        </w:pPr>
        <w:r>
          <w:fldChar w:fldCharType="begin"/>
        </w:r>
        <w:r>
          <w:instrText xml:space="preserve"> PAGE   \* MERGEFORMAT </w:instrText>
        </w:r>
        <w:r>
          <w:fldChar w:fldCharType="separate"/>
        </w:r>
        <w:r w:rsidR="001A4E58">
          <w:rPr>
            <w:noProof/>
          </w:rPr>
          <w:t>8</w:t>
        </w:r>
        <w:r>
          <w:rPr>
            <w:noProof/>
          </w:rPr>
          <w:fldChar w:fldCharType="end"/>
        </w:r>
      </w:p>
    </w:sdtContent>
  </w:sdt>
  <w:p w:rsidR="004F74D9" w:rsidRDefault="004F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4D9" w:rsidRDefault="004F74D9" w:rsidP="004F74D9">
      <w:r>
        <w:separator/>
      </w:r>
    </w:p>
  </w:footnote>
  <w:footnote w:type="continuationSeparator" w:id="0">
    <w:p w:rsidR="004F74D9" w:rsidRDefault="004F74D9" w:rsidP="004F7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A2"/>
    <w:rsid w:val="00007501"/>
    <w:rsid w:val="00015409"/>
    <w:rsid w:val="0007646C"/>
    <w:rsid w:val="00172D2D"/>
    <w:rsid w:val="001A4E58"/>
    <w:rsid w:val="002136CE"/>
    <w:rsid w:val="003054F1"/>
    <w:rsid w:val="00495497"/>
    <w:rsid w:val="004F74D9"/>
    <w:rsid w:val="00771C0E"/>
    <w:rsid w:val="007F27BB"/>
    <w:rsid w:val="00903756"/>
    <w:rsid w:val="009C670F"/>
    <w:rsid w:val="009D3501"/>
    <w:rsid w:val="009F44E5"/>
    <w:rsid w:val="00C3174B"/>
    <w:rsid w:val="00CF7CA2"/>
    <w:rsid w:val="00E01B81"/>
    <w:rsid w:val="00E0640E"/>
    <w:rsid w:val="00E53CEC"/>
    <w:rsid w:val="00F021A6"/>
    <w:rsid w:val="00FA2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50D44817-E069-40F2-9DAE-1E4263AC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501"/>
    <w:pPr>
      <w:spacing w:after="0" w:line="240" w:lineRule="auto"/>
    </w:pPr>
    <w:rPr>
      <w:rFonts w:ascii="Segoe UI" w:eastAsia="Times New Roman" w:hAnsi="Segoe UI"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D3501"/>
    <w:rPr>
      <w:rFonts w:ascii="Segoe UI" w:hAnsi="Segoe UI" w:cs="Times New Roman"/>
      <w:vertAlign w:val="superscript"/>
    </w:rPr>
  </w:style>
  <w:style w:type="paragraph" w:customStyle="1" w:styleId="TableRowHeading">
    <w:name w:val="TableRowHeading"/>
    <w:basedOn w:val="Normal"/>
    <w:rsid w:val="009D3501"/>
    <w:pPr>
      <w:tabs>
        <w:tab w:val="left" w:pos="397"/>
        <w:tab w:val="left" w:pos="794"/>
        <w:tab w:val="left" w:pos="1191"/>
      </w:tabs>
      <w:spacing w:before="40" w:after="40"/>
    </w:pPr>
    <w:rPr>
      <w:sz w:val="17"/>
    </w:rPr>
  </w:style>
  <w:style w:type="paragraph" w:customStyle="1" w:styleId="TableNote">
    <w:name w:val="TableNote"/>
    <w:basedOn w:val="Normal"/>
    <w:rsid w:val="009D3501"/>
    <w:pPr>
      <w:spacing w:before="60" w:after="120"/>
      <w:jc w:val="both"/>
    </w:pPr>
    <w:rPr>
      <w:sz w:val="15"/>
    </w:rPr>
  </w:style>
  <w:style w:type="paragraph" w:customStyle="1" w:styleId="TableCell">
    <w:name w:val="TableCell"/>
    <w:basedOn w:val="Normal"/>
    <w:rsid w:val="009D3501"/>
    <w:pPr>
      <w:tabs>
        <w:tab w:val="decimal" w:pos="425"/>
      </w:tabs>
      <w:spacing w:before="40" w:after="40"/>
    </w:pPr>
    <w:rPr>
      <w:sz w:val="17"/>
    </w:rPr>
  </w:style>
  <w:style w:type="paragraph" w:customStyle="1" w:styleId="TblCell2">
    <w:name w:val="TblCell.2"/>
    <w:basedOn w:val="Normal"/>
    <w:rsid w:val="009D3501"/>
    <w:pPr>
      <w:tabs>
        <w:tab w:val="decimal" w:pos="284"/>
      </w:tabs>
      <w:spacing w:before="40" w:after="40"/>
      <w:jc w:val="center"/>
    </w:pPr>
    <w:rPr>
      <w:sz w:val="17"/>
      <w:lang w:eastAsia="en-US"/>
    </w:rPr>
  </w:style>
  <w:style w:type="paragraph" w:customStyle="1" w:styleId="TblCol0">
    <w:name w:val="TblCol.0"/>
    <w:basedOn w:val="Normal"/>
    <w:rsid w:val="009D3501"/>
    <w:pPr>
      <w:spacing w:before="40" w:after="40"/>
      <w:jc w:val="center"/>
    </w:pPr>
    <w:rPr>
      <w:sz w:val="17"/>
      <w:lang w:eastAsia="en-US"/>
    </w:rPr>
  </w:style>
  <w:style w:type="paragraph" w:customStyle="1" w:styleId="TableColumnHeading">
    <w:name w:val="TableColumnHeading"/>
    <w:basedOn w:val="Normal"/>
    <w:rsid w:val="00495497"/>
    <w:pPr>
      <w:spacing w:before="40" w:after="40"/>
      <w:jc w:val="center"/>
    </w:pPr>
    <w:rPr>
      <w:sz w:val="17"/>
    </w:rPr>
  </w:style>
  <w:style w:type="paragraph" w:customStyle="1" w:styleId="TblNote">
    <w:name w:val="TblNote"/>
    <w:basedOn w:val="Normal"/>
    <w:rsid w:val="00495497"/>
    <w:pPr>
      <w:spacing w:before="60" w:after="120"/>
      <w:jc w:val="both"/>
    </w:pPr>
    <w:rPr>
      <w:sz w:val="15"/>
      <w:lang w:eastAsia="en-US"/>
    </w:rPr>
  </w:style>
  <w:style w:type="table" w:styleId="TableGrid">
    <w:name w:val="Table Grid"/>
    <w:basedOn w:val="TableNormal"/>
    <w:rsid w:val="009F44E5"/>
    <w:pPr>
      <w:spacing w:after="0" w:line="596" w:lineRule="atLeast"/>
    </w:pPr>
    <w:rPr>
      <w:rFonts w:ascii="Segoe UI" w:eastAsia="Times New Roman" w:hAnsi="Segoe U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phFootnoteSegoeUI">
    <w:name w:val="GraphFootnote_SegoeUI"/>
    <w:basedOn w:val="Normal"/>
    <w:autoRedefine/>
    <w:rsid w:val="009F44E5"/>
    <w:pPr>
      <w:framePr w:hSpace="180" w:vSpace="120" w:wrap="around" w:vAnchor="text" w:hAnchor="text" w:y="121"/>
      <w:spacing w:before="60" w:after="120"/>
      <w:suppressOverlap/>
      <w:jc w:val="both"/>
    </w:pPr>
    <w:rPr>
      <w:rFonts w:ascii="Times New Roman" w:eastAsia="Malgun Gothic" w:hAnsi="Times New Roman"/>
      <w:sz w:val="24"/>
      <w:szCs w:val="24"/>
      <w:lang w:eastAsia="ko-KR"/>
    </w:rPr>
  </w:style>
  <w:style w:type="paragraph" w:styleId="Header">
    <w:name w:val="header"/>
    <w:basedOn w:val="Normal"/>
    <w:link w:val="HeaderChar"/>
    <w:uiPriority w:val="99"/>
    <w:unhideWhenUsed/>
    <w:rsid w:val="004F74D9"/>
    <w:pPr>
      <w:tabs>
        <w:tab w:val="center" w:pos="4513"/>
        <w:tab w:val="right" w:pos="9026"/>
      </w:tabs>
    </w:pPr>
  </w:style>
  <w:style w:type="character" w:customStyle="1" w:styleId="HeaderChar">
    <w:name w:val="Header Char"/>
    <w:basedOn w:val="DefaultParagraphFont"/>
    <w:link w:val="Header"/>
    <w:uiPriority w:val="99"/>
    <w:rsid w:val="004F74D9"/>
    <w:rPr>
      <w:rFonts w:ascii="Segoe UI" w:eastAsia="Times New Roman" w:hAnsi="Segoe UI" w:cs="Times New Roman"/>
      <w:sz w:val="20"/>
      <w:szCs w:val="20"/>
      <w:lang w:eastAsia="en-GB"/>
    </w:rPr>
  </w:style>
  <w:style w:type="paragraph" w:styleId="Footer">
    <w:name w:val="footer"/>
    <w:basedOn w:val="Normal"/>
    <w:link w:val="FooterChar"/>
    <w:uiPriority w:val="99"/>
    <w:unhideWhenUsed/>
    <w:rsid w:val="004F74D9"/>
    <w:pPr>
      <w:tabs>
        <w:tab w:val="center" w:pos="4513"/>
        <w:tab w:val="right" w:pos="9026"/>
      </w:tabs>
    </w:pPr>
  </w:style>
  <w:style w:type="character" w:customStyle="1" w:styleId="FooterChar">
    <w:name w:val="Footer Char"/>
    <w:basedOn w:val="DefaultParagraphFont"/>
    <w:link w:val="Footer"/>
    <w:uiPriority w:val="99"/>
    <w:rsid w:val="004F74D9"/>
    <w:rPr>
      <w:rFonts w:ascii="Segoe UI" w:eastAsia="Times New Roman" w:hAnsi="Segoe UI"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2162</Words>
  <Characters>12844</Characters>
  <Application>Microsoft Office Word</Application>
  <DocSecurity>4</DocSecurity>
  <Lines>389</Lines>
  <Paragraphs>250</Paragraphs>
  <ScaleCrop>false</ScaleCrop>
  <HeadingPairs>
    <vt:vector size="2" baseType="variant">
      <vt:variant>
        <vt:lpstr>Title</vt:lpstr>
      </vt:variant>
      <vt:variant>
        <vt:i4>1</vt:i4>
      </vt:variant>
    </vt:vector>
  </HeadingPairs>
  <TitlesOfParts>
    <vt:vector size="1" baseType="lpstr">
      <vt:lpstr/>
    </vt:vector>
  </TitlesOfParts>
  <Company>Bank for International Settlements</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Mehrotra, Aaron</dc:creator>
  <cp:keywords/>
  <dc:description/>
  <cp:lastModifiedBy>Banerjee, Ryan</cp:lastModifiedBy>
  <cp:revision>2</cp:revision>
  <dcterms:created xsi:type="dcterms:W3CDTF">2019-09-21T07:23:00Z</dcterms:created>
  <dcterms:modified xsi:type="dcterms:W3CDTF">2019-09-21T07:23:00Z</dcterms:modified>
</cp:coreProperties>
</file>