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664E7" w14:textId="77777777" w:rsidR="00401CD1" w:rsidRPr="00731C8B" w:rsidRDefault="00483D8F" w:rsidP="004252FC">
      <w:pPr>
        <w:pStyle w:val="PubliTitle"/>
        <w:spacing w:after="0" w:line="480" w:lineRule="auto"/>
        <w:rPr>
          <w:rFonts w:ascii="Times New Roman" w:hAnsi="Times New Roman"/>
          <w:color w:val="auto"/>
          <w:sz w:val="28"/>
          <w:szCs w:val="28"/>
        </w:rPr>
      </w:pPr>
      <w:r>
        <w:rPr>
          <w:rFonts w:ascii="Times New Roman" w:hAnsi="Times New Roman"/>
          <w:color w:val="auto"/>
          <w:sz w:val="28"/>
          <w:szCs w:val="28"/>
        </w:rPr>
        <w:t>Disagreeing during deflations</w:t>
      </w:r>
      <w:r w:rsidR="00401CD1" w:rsidRPr="00731C8B">
        <w:rPr>
          <w:rFonts w:ascii="Times New Roman" w:hAnsi="Times New Roman"/>
          <w:color w:val="auto"/>
          <w:sz w:val="28"/>
          <w:szCs w:val="28"/>
        </w:rPr>
        <w:t>*</w:t>
      </w:r>
    </w:p>
    <w:p w14:paraId="6009BBDF" w14:textId="77777777" w:rsidR="00401CD1" w:rsidRPr="00731C8B" w:rsidRDefault="00401CD1" w:rsidP="004252FC">
      <w:pPr>
        <w:pStyle w:val="Author"/>
        <w:spacing w:after="120" w:line="480" w:lineRule="auto"/>
        <w:rPr>
          <w:rFonts w:ascii="Times New Roman" w:hAnsi="Times New Roman"/>
          <w:sz w:val="24"/>
          <w:szCs w:val="24"/>
        </w:rPr>
      </w:pPr>
      <w:r w:rsidRPr="00731C8B">
        <w:rPr>
          <w:rFonts w:ascii="Times New Roman" w:hAnsi="Times New Roman"/>
          <w:sz w:val="24"/>
          <w:szCs w:val="24"/>
        </w:rPr>
        <w:t>Ryan Banerjee</w:t>
      </w:r>
      <w:r w:rsidRPr="00731C8B">
        <w:rPr>
          <w:rStyle w:val="FootnoteReference"/>
          <w:rFonts w:ascii="Times New Roman" w:hAnsi="Times New Roman"/>
          <w:sz w:val="24"/>
          <w:szCs w:val="24"/>
        </w:rPr>
        <w:footnoteReference w:id="2"/>
      </w:r>
      <w:r w:rsidRPr="00731C8B">
        <w:rPr>
          <w:rFonts w:ascii="Times New Roman" w:hAnsi="Times New Roman"/>
          <w:sz w:val="24"/>
          <w:szCs w:val="24"/>
        </w:rPr>
        <w:t xml:space="preserve"> and Aaron Mehrotra</w:t>
      </w:r>
      <w:r w:rsidRPr="00731C8B">
        <w:rPr>
          <w:rStyle w:val="FootnoteReference"/>
          <w:rFonts w:ascii="Times New Roman" w:hAnsi="Times New Roman"/>
          <w:sz w:val="24"/>
          <w:szCs w:val="24"/>
        </w:rPr>
        <w:footnoteReference w:id="3"/>
      </w:r>
    </w:p>
    <w:p w14:paraId="70793E90" w14:textId="77777777" w:rsidR="00401CD1" w:rsidRPr="00731C8B" w:rsidRDefault="00401CD1" w:rsidP="008E3F37">
      <w:pPr>
        <w:pStyle w:val="ContentsTitle"/>
        <w:spacing w:after="120" w:line="480" w:lineRule="auto"/>
        <w:rPr>
          <w:rFonts w:ascii="Times New Roman" w:hAnsi="Times New Roman"/>
          <w:color w:val="auto"/>
          <w:szCs w:val="24"/>
        </w:rPr>
      </w:pPr>
      <w:r w:rsidRPr="00731C8B">
        <w:rPr>
          <w:rFonts w:ascii="Times New Roman" w:hAnsi="Times New Roman"/>
          <w:color w:val="auto"/>
          <w:szCs w:val="24"/>
        </w:rPr>
        <w:t>Abstract</w:t>
      </w:r>
    </w:p>
    <w:p w14:paraId="7662115F" w14:textId="23608AAE" w:rsidR="00401CD1" w:rsidRPr="00731C8B" w:rsidRDefault="00401CD1" w:rsidP="008E3F37">
      <w:pPr>
        <w:pStyle w:val="FirstParagraph"/>
        <w:spacing w:before="0" w:after="0" w:line="480" w:lineRule="auto"/>
        <w:rPr>
          <w:rFonts w:ascii="Times New Roman" w:eastAsia="Malgun Gothic" w:hAnsi="Times New Roman"/>
          <w:sz w:val="24"/>
          <w:szCs w:val="24"/>
          <w:lang w:eastAsia="ko-KR"/>
        </w:rPr>
      </w:pPr>
      <w:r w:rsidRPr="00731C8B">
        <w:rPr>
          <w:rFonts w:ascii="Times New Roman" w:hAnsi="Times New Roman"/>
          <w:sz w:val="24"/>
          <w:szCs w:val="24"/>
        </w:rPr>
        <w:t xml:space="preserve">We </w:t>
      </w:r>
      <w:r w:rsidR="004E7BD8">
        <w:rPr>
          <w:rFonts w:ascii="Times New Roman" w:hAnsi="Times New Roman"/>
          <w:sz w:val="24"/>
          <w:szCs w:val="24"/>
        </w:rPr>
        <w:t>examine</w:t>
      </w:r>
      <w:r w:rsidR="004E7BD8" w:rsidRPr="00731C8B">
        <w:rPr>
          <w:rFonts w:ascii="Times New Roman" w:hAnsi="Times New Roman"/>
          <w:sz w:val="24"/>
          <w:szCs w:val="24"/>
        </w:rPr>
        <w:t xml:space="preserve"> </w:t>
      </w:r>
      <w:r w:rsidRPr="00731C8B">
        <w:rPr>
          <w:rFonts w:ascii="Times New Roman" w:hAnsi="Times New Roman"/>
          <w:sz w:val="24"/>
          <w:szCs w:val="24"/>
        </w:rPr>
        <w:t xml:space="preserve">inflation </w:t>
      </w:r>
      <w:r w:rsidR="00483D8F">
        <w:rPr>
          <w:rFonts w:ascii="Times New Roman" w:hAnsi="Times New Roman"/>
          <w:sz w:val="24"/>
          <w:szCs w:val="24"/>
        </w:rPr>
        <w:t>forecast disagreement</w:t>
      </w:r>
      <w:r w:rsidRPr="00731C8B">
        <w:rPr>
          <w:rFonts w:ascii="Times New Roman" w:hAnsi="Times New Roman"/>
          <w:sz w:val="24"/>
          <w:szCs w:val="24"/>
        </w:rPr>
        <w:t xml:space="preserve"> during periods of deflation</w:t>
      </w:r>
      <w:r w:rsidR="00042A73">
        <w:rPr>
          <w:rFonts w:ascii="Times New Roman" w:hAnsi="Times New Roman"/>
          <w:sz w:val="24"/>
          <w:szCs w:val="24"/>
        </w:rPr>
        <w:t>. U</w:t>
      </w:r>
      <w:r w:rsidR="00042A73" w:rsidRPr="00731C8B">
        <w:rPr>
          <w:rFonts w:ascii="Times New Roman" w:hAnsi="Times New Roman"/>
          <w:sz w:val="24"/>
          <w:szCs w:val="24"/>
        </w:rPr>
        <w:t xml:space="preserve">sing a </w:t>
      </w:r>
      <w:r w:rsidR="00442036">
        <w:rPr>
          <w:rFonts w:ascii="Times New Roman" w:hAnsi="Times New Roman"/>
          <w:sz w:val="24"/>
          <w:szCs w:val="24"/>
        </w:rPr>
        <w:t xml:space="preserve">large </w:t>
      </w:r>
      <w:r w:rsidR="00042A73" w:rsidRPr="00731C8B">
        <w:rPr>
          <w:rFonts w:ascii="Times New Roman" w:hAnsi="Times New Roman"/>
          <w:sz w:val="24"/>
          <w:szCs w:val="24"/>
        </w:rPr>
        <w:t>cross-country data set of professional forecasters’ expectations</w:t>
      </w:r>
      <w:r w:rsidR="00042A73">
        <w:rPr>
          <w:rFonts w:ascii="Times New Roman" w:hAnsi="Times New Roman"/>
          <w:sz w:val="24"/>
          <w:szCs w:val="24"/>
        </w:rPr>
        <w:t xml:space="preserve">, we show that the </w:t>
      </w:r>
      <w:r w:rsidR="004E7BD8">
        <w:rPr>
          <w:rFonts w:ascii="Times New Roman" w:hAnsi="Times New Roman"/>
          <w:sz w:val="24"/>
          <w:szCs w:val="24"/>
        </w:rPr>
        <w:t xml:space="preserve">relationship between inflation outcomes and </w:t>
      </w:r>
      <w:r w:rsidR="00F06241">
        <w:rPr>
          <w:rFonts w:ascii="Times New Roman" w:hAnsi="Times New Roman"/>
          <w:sz w:val="24"/>
          <w:szCs w:val="24"/>
        </w:rPr>
        <w:t xml:space="preserve">forecast disagreement </w:t>
      </w:r>
      <w:r w:rsidR="00042A73">
        <w:rPr>
          <w:rFonts w:ascii="Times New Roman" w:hAnsi="Times New Roman"/>
          <w:sz w:val="24"/>
          <w:szCs w:val="24"/>
        </w:rPr>
        <w:t xml:space="preserve">is </w:t>
      </w:r>
      <w:r w:rsidR="004E7BD8">
        <w:rPr>
          <w:rFonts w:ascii="Times New Roman" w:hAnsi="Times New Roman"/>
          <w:sz w:val="24"/>
          <w:szCs w:val="24"/>
        </w:rPr>
        <w:t>U-shaped: disagreement rises with both positive and negative inflation</w:t>
      </w:r>
      <w:r w:rsidR="0038463B">
        <w:rPr>
          <w:rFonts w:ascii="Times New Roman" w:hAnsi="Times New Roman"/>
          <w:sz w:val="24"/>
          <w:szCs w:val="24"/>
        </w:rPr>
        <w:t xml:space="preserve"> outcomes</w:t>
      </w:r>
      <w:r w:rsidR="00E92867">
        <w:rPr>
          <w:rFonts w:ascii="Times New Roman" w:hAnsi="Times New Roman"/>
          <w:sz w:val="24"/>
          <w:szCs w:val="24"/>
        </w:rPr>
        <w:t xml:space="preserve">. </w:t>
      </w:r>
      <w:r w:rsidR="0038463B">
        <w:rPr>
          <w:rFonts w:ascii="Times New Roman" w:hAnsi="Times New Roman"/>
          <w:sz w:val="24"/>
          <w:szCs w:val="24"/>
        </w:rPr>
        <w:t>We show that information frictions</w:t>
      </w:r>
      <w:r w:rsidR="005745B8">
        <w:rPr>
          <w:rFonts w:ascii="Times New Roman" w:hAnsi="Times New Roman"/>
          <w:sz w:val="24"/>
          <w:szCs w:val="24"/>
        </w:rPr>
        <w:t xml:space="preserve"> do not explain </w:t>
      </w:r>
      <w:r w:rsidR="00315EAD">
        <w:rPr>
          <w:rFonts w:ascii="Times New Roman" w:hAnsi="Times New Roman"/>
          <w:sz w:val="24"/>
          <w:szCs w:val="24"/>
        </w:rPr>
        <w:t xml:space="preserve">rising </w:t>
      </w:r>
      <w:r w:rsidR="005745B8">
        <w:rPr>
          <w:rFonts w:ascii="Times New Roman" w:hAnsi="Times New Roman"/>
          <w:sz w:val="24"/>
          <w:szCs w:val="24"/>
        </w:rPr>
        <w:t>disagreement in deflation</w:t>
      </w:r>
      <w:r w:rsidR="00C3408F">
        <w:rPr>
          <w:rFonts w:ascii="Times New Roman" w:hAnsi="Times New Roman"/>
          <w:sz w:val="24"/>
          <w:szCs w:val="24"/>
        </w:rPr>
        <w:t>s</w:t>
      </w:r>
      <w:r w:rsidR="009459B3">
        <w:rPr>
          <w:rFonts w:ascii="Times New Roman" w:hAnsi="Times New Roman"/>
          <w:sz w:val="24"/>
          <w:szCs w:val="24"/>
        </w:rPr>
        <w:t xml:space="preserve"> and other</w:t>
      </w:r>
      <w:r w:rsidR="00C921B8">
        <w:rPr>
          <w:rFonts w:ascii="Times New Roman" w:hAnsi="Times New Roman"/>
          <w:sz w:val="24"/>
          <w:szCs w:val="24"/>
        </w:rPr>
        <w:t xml:space="preserve"> </w:t>
      </w:r>
      <w:r w:rsidR="0038463B">
        <w:rPr>
          <w:rFonts w:ascii="Times New Roman" w:hAnsi="Times New Roman"/>
          <w:sz w:val="24"/>
          <w:szCs w:val="24"/>
        </w:rPr>
        <w:t xml:space="preserve">macroeconomic factors that </w:t>
      </w:r>
      <w:r w:rsidR="00441F17">
        <w:rPr>
          <w:rFonts w:ascii="Times New Roman" w:hAnsi="Times New Roman"/>
          <w:sz w:val="24"/>
          <w:szCs w:val="24"/>
        </w:rPr>
        <w:t xml:space="preserve">generally </w:t>
      </w:r>
      <w:r w:rsidR="0038463B">
        <w:rPr>
          <w:rFonts w:ascii="Times New Roman" w:hAnsi="Times New Roman"/>
          <w:sz w:val="24"/>
          <w:szCs w:val="24"/>
        </w:rPr>
        <w:t>tend to</w:t>
      </w:r>
      <w:r w:rsidR="00441F17">
        <w:rPr>
          <w:rFonts w:ascii="Times New Roman" w:hAnsi="Times New Roman"/>
          <w:sz w:val="24"/>
          <w:szCs w:val="24"/>
        </w:rPr>
        <w:t xml:space="preserve"> correlate</w:t>
      </w:r>
      <w:r w:rsidR="0038463B">
        <w:rPr>
          <w:rFonts w:ascii="Times New Roman" w:hAnsi="Times New Roman"/>
          <w:sz w:val="24"/>
          <w:szCs w:val="24"/>
        </w:rPr>
        <w:t xml:space="preserve"> with forecast disagreement</w:t>
      </w:r>
      <w:r w:rsidR="005745B8">
        <w:rPr>
          <w:rFonts w:ascii="Times New Roman" w:hAnsi="Times New Roman"/>
          <w:sz w:val="24"/>
          <w:szCs w:val="24"/>
        </w:rPr>
        <w:t xml:space="preserve"> cannot fully</w:t>
      </w:r>
      <w:r w:rsidR="0038463B">
        <w:rPr>
          <w:rFonts w:ascii="Times New Roman" w:hAnsi="Times New Roman"/>
          <w:sz w:val="24"/>
          <w:szCs w:val="24"/>
        </w:rPr>
        <w:t xml:space="preserve"> </w:t>
      </w:r>
      <w:r w:rsidR="00E00022">
        <w:rPr>
          <w:rFonts w:ascii="Times New Roman" w:hAnsi="Times New Roman"/>
          <w:sz w:val="24"/>
          <w:szCs w:val="24"/>
        </w:rPr>
        <w:t>explain its</w:t>
      </w:r>
      <w:r w:rsidR="0038463B">
        <w:rPr>
          <w:rFonts w:ascii="Times New Roman" w:hAnsi="Times New Roman"/>
          <w:sz w:val="24"/>
          <w:szCs w:val="24"/>
        </w:rPr>
        <w:t xml:space="preserve"> increase. Instead, our results are consistent with forecasters having heterogeneous views about the inflation process</w:t>
      </w:r>
      <w:r w:rsidR="008F7933">
        <w:rPr>
          <w:rFonts w:ascii="Times New Roman" w:hAnsi="Times New Roman"/>
          <w:sz w:val="24"/>
          <w:szCs w:val="24"/>
        </w:rPr>
        <w:t>, with those</w:t>
      </w:r>
      <w:r w:rsidR="005745B8">
        <w:rPr>
          <w:rFonts w:ascii="Times New Roman" w:hAnsi="Times New Roman"/>
          <w:sz w:val="24"/>
          <w:szCs w:val="24"/>
        </w:rPr>
        <w:t xml:space="preserve"> in</w:t>
      </w:r>
      <w:r w:rsidR="0038463B">
        <w:rPr>
          <w:rFonts w:ascii="Times New Roman" w:hAnsi="Times New Roman"/>
          <w:sz w:val="24"/>
          <w:szCs w:val="24"/>
        </w:rPr>
        <w:t xml:space="preserve"> the left-tail of the </w:t>
      </w:r>
      <w:r w:rsidR="00442036">
        <w:rPr>
          <w:rFonts w:ascii="Times New Roman" w:hAnsi="Times New Roman"/>
          <w:sz w:val="24"/>
          <w:szCs w:val="24"/>
        </w:rPr>
        <w:t xml:space="preserve">forecast </w:t>
      </w:r>
      <w:r w:rsidR="0038463B">
        <w:rPr>
          <w:rFonts w:ascii="Times New Roman" w:hAnsi="Times New Roman"/>
          <w:sz w:val="24"/>
          <w:szCs w:val="24"/>
        </w:rPr>
        <w:t>distribution</w:t>
      </w:r>
      <w:r w:rsidR="008F7933">
        <w:rPr>
          <w:rFonts w:ascii="Times New Roman" w:hAnsi="Times New Roman"/>
          <w:sz w:val="24"/>
          <w:szCs w:val="24"/>
        </w:rPr>
        <w:t xml:space="preserve"> shifting downwards during deflations</w:t>
      </w:r>
      <w:r w:rsidR="0038463B">
        <w:rPr>
          <w:rFonts w:ascii="Times New Roman" w:hAnsi="Times New Roman"/>
          <w:sz w:val="24"/>
          <w:szCs w:val="24"/>
        </w:rPr>
        <w:t xml:space="preserve">. </w:t>
      </w:r>
      <w:r w:rsidRPr="00731C8B">
        <w:rPr>
          <w:rFonts w:ascii="Times New Roman" w:hAnsi="Times New Roman"/>
          <w:sz w:val="24"/>
          <w:szCs w:val="24"/>
        </w:rPr>
        <w:t xml:space="preserve">Econometric evidence indicates that such shifts have </w:t>
      </w:r>
      <w:r w:rsidR="00483D8F">
        <w:rPr>
          <w:rFonts w:ascii="Times New Roman" w:hAnsi="Times New Roman"/>
          <w:sz w:val="24"/>
          <w:szCs w:val="24"/>
        </w:rPr>
        <w:t xml:space="preserve">adverse </w:t>
      </w:r>
      <w:r w:rsidRPr="00731C8B">
        <w:rPr>
          <w:rFonts w:ascii="Times New Roman" w:hAnsi="Times New Roman"/>
          <w:sz w:val="24"/>
          <w:szCs w:val="24"/>
        </w:rPr>
        <w:t>consequences for real activity.</w:t>
      </w:r>
    </w:p>
    <w:p w14:paraId="2B415B7B" w14:textId="788EC3CF" w:rsidR="00401CD1" w:rsidRPr="004252FC" w:rsidRDefault="00401CD1" w:rsidP="008E3F37">
      <w:pPr>
        <w:pStyle w:val="FirstParagraph"/>
        <w:spacing w:before="0" w:after="0" w:line="480" w:lineRule="auto"/>
        <w:rPr>
          <w:rFonts w:ascii="Times New Roman" w:hAnsi="Times New Roman"/>
        </w:rPr>
      </w:pPr>
      <w:r w:rsidRPr="004252FC">
        <w:rPr>
          <w:rFonts w:ascii="Times New Roman" w:hAnsi="Times New Roman"/>
        </w:rPr>
        <w:t>JEL classification: E31; E58</w:t>
      </w:r>
    </w:p>
    <w:p w14:paraId="055F3BCE" w14:textId="77777777" w:rsidR="00401CD1" w:rsidRPr="004252FC" w:rsidRDefault="00401CD1" w:rsidP="0097396C">
      <w:pPr>
        <w:pStyle w:val="FirstParagraph"/>
        <w:spacing w:before="0" w:after="0"/>
        <w:rPr>
          <w:rFonts w:ascii="Times New Roman" w:hAnsi="Times New Roman"/>
        </w:rPr>
      </w:pPr>
      <w:r w:rsidRPr="004252FC">
        <w:rPr>
          <w:rFonts w:ascii="Times New Roman" w:hAnsi="Times New Roman"/>
        </w:rPr>
        <w:t>Keywords: deflation; inflation expectations; forecast disagreement; monetary policy</w:t>
      </w:r>
    </w:p>
    <w:p w14:paraId="3185F134" w14:textId="77777777" w:rsidR="00401CD1" w:rsidRPr="00731C8B" w:rsidRDefault="00401CD1" w:rsidP="00695AE0">
      <w:pPr>
        <w:pStyle w:val="Heading1"/>
        <w:spacing w:line="480" w:lineRule="auto"/>
        <w:rPr>
          <w:rFonts w:ascii="Times New Roman" w:hAnsi="Times New Roman"/>
          <w:color w:val="auto"/>
          <w:sz w:val="24"/>
          <w:szCs w:val="24"/>
        </w:rPr>
      </w:pPr>
      <w:r w:rsidRPr="00731C8B">
        <w:rPr>
          <w:rFonts w:ascii="Times New Roman" w:hAnsi="Times New Roman"/>
          <w:color w:val="auto"/>
          <w:sz w:val="24"/>
          <w:szCs w:val="24"/>
        </w:rPr>
        <w:lastRenderedPageBreak/>
        <w:t>1.</w:t>
      </w:r>
      <w:r w:rsidR="000800FA" w:rsidRPr="00731C8B">
        <w:rPr>
          <w:rFonts w:ascii="Times New Roman" w:hAnsi="Times New Roman"/>
          <w:color w:val="auto"/>
          <w:sz w:val="24"/>
          <w:szCs w:val="24"/>
        </w:rPr>
        <w:tab/>
      </w:r>
      <w:r w:rsidRPr="00731C8B">
        <w:rPr>
          <w:rFonts w:ascii="Times New Roman" w:hAnsi="Times New Roman"/>
          <w:color w:val="auto"/>
          <w:sz w:val="24"/>
          <w:szCs w:val="24"/>
        </w:rPr>
        <w:t>Introduction</w:t>
      </w:r>
    </w:p>
    <w:p w14:paraId="7A832789" w14:textId="21187C28" w:rsidR="002C764B" w:rsidRDefault="0045227E" w:rsidP="00C50C80">
      <w:pPr>
        <w:pStyle w:val="FirstParagraph"/>
        <w:spacing w:line="480" w:lineRule="auto"/>
        <w:rPr>
          <w:rFonts w:ascii="Times New Roman" w:hAnsi="Times New Roman"/>
          <w:sz w:val="24"/>
          <w:szCs w:val="24"/>
        </w:rPr>
      </w:pPr>
      <w:r>
        <w:rPr>
          <w:rFonts w:ascii="Times New Roman" w:hAnsi="Times New Roman"/>
          <w:sz w:val="24"/>
          <w:szCs w:val="24"/>
        </w:rPr>
        <w:t>Various studies have documented a positive relationship between the level of inflation and forecasters’ disagreement about future inflation (</w:t>
      </w:r>
      <w:proofErr w:type="spellStart"/>
      <w:r w:rsidR="001702D2">
        <w:rPr>
          <w:rFonts w:ascii="Times New Roman" w:hAnsi="Times New Roman"/>
          <w:sz w:val="24"/>
          <w:szCs w:val="24"/>
        </w:rPr>
        <w:t>eg</w:t>
      </w:r>
      <w:proofErr w:type="spellEnd"/>
      <w:r w:rsidR="001702D2">
        <w:rPr>
          <w:rFonts w:ascii="Times New Roman" w:hAnsi="Times New Roman"/>
          <w:sz w:val="24"/>
          <w:szCs w:val="24"/>
        </w:rPr>
        <w:t xml:space="preserve"> </w:t>
      </w:r>
      <w:proofErr w:type="spellStart"/>
      <w:r w:rsidR="001702D2">
        <w:rPr>
          <w:rFonts w:ascii="Times New Roman" w:hAnsi="Times New Roman"/>
          <w:sz w:val="24"/>
          <w:szCs w:val="24"/>
        </w:rPr>
        <w:t>Cukierman</w:t>
      </w:r>
      <w:proofErr w:type="spellEnd"/>
      <w:r w:rsidR="001702D2">
        <w:rPr>
          <w:rFonts w:ascii="Times New Roman" w:hAnsi="Times New Roman"/>
          <w:sz w:val="24"/>
          <w:szCs w:val="24"/>
        </w:rPr>
        <w:t xml:space="preserve"> and </w:t>
      </w:r>
      <w:proofErr w:type="spellStart"/>
      <w:r w:rsidR="001702D2">
        <w:rPr>
          <w:rFonts w:ascii="Times New Roman" w:hAnsi="Times New Roman"/>
          <w:sz w:val="24"/>
          <w:szCs w:val="24"/>
        </w:rPr>
        <w:t>Wachtel</w:t>
      </w:r>
      <w:proofErr w:type="spellEnd"/>
      <w:r w:rsidR="001702D2">
        <w:rPr>
          <w:rFonts w:ascii="Times New Roman" w:hAnsi="Times New Roman"/>
          <w:sz w:val="24"/>
          <w:szCs w:val="24"/>
        </w:rPr>
        <w:t xml:space="preserve"> (1979); </w:t>
      </w:r>
      <w:proofErr w:type="spellStart"/>
      <w:r w:rsidR="001702D2">
        <w:rPr>
          <w:rFonts w:ascii="Times New Roman" w:hAnsi="Times New Roman"/>
          <w:sz w:val="24"/>
          <w:szCs w:val="24"/>
        </w:rPr>
        <w:t>Mankiw</w:t>
      </w:r>
      <w:proofErr w:type="spellEnd"/>
      <w:r w:rsidR="001702D2">
        <w:rPr>
          <w:rFonts w:ascii="Times New Roman" w:hAnsi="Times New Roman"/>
          <w:sz w:val="24"/>
          <w:szCs w:val="24"/>
        </w:rPr>
        <w:t xml:space="preserve"> et al (2004); </w:t>
      </w:r>
      <w:proofErr w:type="spellStart"/>
      <w:r w:rsidR="001702D2">
        <w:rPr>
          <w:rFonts w:ascii="Times New Roman" w:hAnsi="Times New Roman"/>
          <w:sz w:val="24"/>
          <w:szCs w:val="24"/>
        </w:rPr>
        <w:t>Capistran</w:t>
      </w:r>
      <w:proofErr w:type="spellEnd"/>
      <w:r w:rsidR="001702D2">
        <w:rPr>
          <w:rFonts w:ascii="Times New Roman" w:hAnsi="Times New Roman"/>
          <w:sz w:val="24"/>
          <w:szCs w:val="24"/>
        </w:rPr>
        <w:t xml:space="preserve"> and </w:t>
      </w:r>
      <w:proofErr w:type="spellStart"/>
      <w:r w:rsidR="001702D2">
        <w:rPr>
          <w:rFonts w:ascii="Times New Roman" w:hAnsi="Times New Roman"/>
          <w:sz w:val="24"/>
          <w:szCs w:val="24"/>
        </w:rPr>
        <w:t>Timmermann</w:t>
      </w:r>
      <w:proofErr w:type="spellEnd"/>
      <w:r w:rsidR="001702D2">
        <w:rPr>
          <w:rFonts w:ascii="Times New Roman" w:hAnsi="Times New Roman"/>
          <w:sz w:val="24"/>
          <w:szCs w:val="24"/>
        </w:rPr>
        <w:t xml:space="preserve"> (2009))</w:t>
      </w:r>
      <w:r>
        <w:rPr>
          <w:rFonts w:ascii="Times New Roman" w:hAnsi="Times New Roman"/>
          <w:sz w:val="24"/>
          <w:szCs w:val="24"/>
        </w:rPr>
        <w:t xml:space="preserve">. </w:t>
      </w:r>
      <w:r w:rsidR="001702D2">
        <w:rPr>
          <w:rFonts w:ascii="Times New Roman" w:hAnsi="Times New Roman"/>
          <w:sz w:val="24"/>
          <w:szCs w:val="24"/>
        </w:rPr>
        <w:t xml:space="preserve">In </w:t>
      </w:r>
      <w:r w:rsidR="001B2F57">
        <w:rPr>
          <w:rFonts w:ascii="Times New Roman" w:hAnsi="Times New Roman"/>
          <w:sz w:val="24"/>
          <w:szCs w:val="24"/>
        </w:rPr>
        <w:t xml:space="preserve">this paper, we </w:t>
      </w:r>
      <w:r w:rsidR="001702D2">
        <w:rPr>
          <w:rFonts w:ascii="Times New Roman" w:hAnsi="Times New Roman"/>
          <w:sz w:val="24"/>
          <w:szCs w:val="24"/>
        </w:rPr>
        <w:t>show that when deflation periods are included in the analysis, the relationship between actual inflation and forecast</w:t>
      </w:r>
      <w:r w:rsidR="002C764B">
        <w:rPr>
          <w:rFonts w:ascii="Times New Roman" w:hAnsi="Times New Roman"/>
          <w:sz w:val="24"/>
          <w:szCs w:val="24"/>
        </w:rPr>
        <w:t xml:space="preserve"> disagreement becomes U-shaped: inflation forecast disagreement rises </w:t>
      </w:r>
      <w:r w:rsidR="002C764B" w:rsidRPr="007F3C9B">
        <w:rPr>
          <w:rFonts w:ascii="Times New Roman" w:hAnsi="Times New Roman"/>
          <w:sz w:val="24"/>
          <w:szCs w:val="24"/>
        </w:rPr>
        <w:t>with both positive</w:t>
      </w:r>
      <w:r w:rsidR="002C764B">
        <w:rPr>
          <w:rFonts w:ascii="Times New Roman" w:hAnsi="Times New Roman"/>
          <w:sz w:val="24"/>
          <w:szCs w:val="24"/>
        </w:rPr>
        <w:t xml:space="preserve"> and negative inflation outcomes. </w:t>
      </w:r>
      <w:r w:rsidR="002A4B26">
        <w:rPr>
          <w:rFonts w:ascii="Times New Roman" w:hAnsi="Times New Roman"/>
          <w:sz w:val="24"/>
          <w:szCs w:val="24"/>
        </w:rPr>
        <w:t xml:space="preserve">Our findings are based on </w:t>
      </w:r>
      <w:r w:rsidR="002C764B">
        <w:rPr>
          <w:rFonts w:ascii="Times New Roman" w:hAnsi="Times New Roman"/>
          <w:sz w:val="24"/>
          <w:szCs w:val="24"/>
        </w:rPr>
        <w:t xml:space="preserve">a large panel data set of professional forecasters’ expectations </w:t>
      </w:r>
      <w:r w:rsidR="002C764B" w:rsidRPr="00731C8B">
        <w:rPr>
          <w:rFonts w:ascii="Times New Roman" w:hAnsi="Times New Roman"/>
          <w:sz w:val="24"/>
          <w:szCs w:val="24"/>
        </w:rPr>
        <w:t>in 4</w:t>
      </w:r>
      <w:r w:rsidR="002C764B">
        <w:rPr>
          <w:rFonts w:ascii="Times New Roman" w:hAnsi="Times New Roman"/>
          <w:sz w:val="24"/>
          <w:szCs w:val="24"/>
        </w:rPr>
        <w:t>2</w:t>
      </w:r>
      <w:r w:rsidR="002C764B" w:rsidRPr="00731C8B">
        <w:rPr>
          <w:rFonts w:ascii="Times New Roman" w:hAnsi="Times New Roman"/>
          <w:sz w:val="24"/>
          <w:szCs w:val="24"/>
        </w:rPr>
        <w:t xml:space="preserve"> advanced and emerging market economies</w:t>
      </w:r>
      <w:r w:rsidR="00032223">
        <w:rPr>
          <w:rFonts w:ascii="Times New Roman" w:hAnsi="Times New Roman"/>
          <w:sz w:val="24"/>
          <w:szCs w:val="24"/>
        </w:rPr>
        <w:t xml:space="preserve"> (EMEs)</w:t>
      </w:r>
      <w:r w:rsidR="002C764B" w:rsidRPr="00731C8B">
        <w:rPr>
          <w:rFonts w:ascii="Times New Roman" w:hAnsi="Times New Roman"/>
          <w:sz w:val="24"/>
          <w:szCs w:val="24"/>
        </w:rPr>
        <w:t>. The global nature of the data is highly relevant, as deflations have not been limited to advanced economies – 30 of the 47 deflationary episodes identified in our data set occur in e</w:t>
      </w:r>
      <w:r w:rsidR="002C764B">
        <w:rPr>
          <w:rFonts w:ascii="Times New Roman" w:hAnsi="Times New Roman"/>
          <w:sz w:val="24"/>
          <w:szCs w:val="24"/>
        </w:rPr>
        <w:t>merging market economies</w:t>
      </w:r>
      <w:r w:rsidR="002C764B" w:rsidRPr="00731C8B">
        <w:rPr>
          <w:rFonts w:ascii="Times New Roman" w:hAnsi="Times New Roman"/>
          <w:sz w:val="24"/>
          <w:szCs w:val="24"/>
        </w:rPr>
        <w:t>.</w:t>
      </w:r>
      <w:r w:rsidR="002C764B">
        <w:rPr>
          <w:rFonts w:ascii="Times New Roman" w:hAnsi="Times New Roman"/>
          <w:sz w:val="24"/>
          <w:szCs w:val="24"/>
        </w:rPr>
        <w:t xml:space="preserve"> </w:t>
      </w:r>
    </w:p>
    <w:p w14:paraId="76C8E0DA" w14:textId="53B8715F" w:rsidR="001E1191" w:rsidRDefault="00F41B7F" w:rsidP="001E1191">
      <w:pPr>
        <w:pStyle w:val="FirstParagraph"/>
        <w:spacing w:line="480" w:lineRule="auto"/>
        <w:ind w:firstLine="397"/>
        <w:rPr>
          <w:rFonts w:ascii="Times New Roman" w:hAnsi="Times New Roman"/>
          <w:sz w:val="24"/>
          <w:szCs w:val="24"/>
        </w:rPr>
      </w:pPr>
      <w:r>
        <w:rPr>
          <w:rFonts w:ascii="Times New Roman" w:hAnsi="Times New Roman"/>
          <w:sz w:val="24"/>
          <w:szCs w:val="24"/>
        </w:rPr>
        <w:t>A number of models ha</w:t>
      </w:r>
      <w:r w:rsidR="00E00022">
        <w:rPr>
          <w:rFonts w:ascii="Times New Roman" w:hAnsi="Times New Roman"/>
          <w:sz w:val="24"/>
          <w:szCs w:val="24"/>
        </w:rPr>
        <w:t>ve</w:t>
      </w:r>
      <w:r>
        <w:rPr>
          <w:rFonts w:ascii="Times New Roman" w:hAnsi="Times New Roman"/>
          <w:sz w:val="24"/>
          <w:szCs w:val="24"/>
        </w:rPr>
        <w:t xml:space="preserve"> been proposed to explain forecast disagreement. </w:t>
      </w:r>
      <w:r w:rsidR="00705EAE">
        <w:rPr>
          <w:rFonts w:ascii="Times New Roman" w:hAnsi="Times New Roman"/>
          <w:sz w:val="24"/>
          <w:szCs w:val="24"/>
        </w:rPr>
        <w:t>I</w:t>
      </w:r>
      <w:r w:rsidR="00705EAE" w:rsidRPr="00705EAE">
        <w:rPr>
          <w:rFonts w:ascii="Times New Roman" w:hAnsi="Times New Roman"/>
          <w:sz w:val="24"/>
          <w:szCs w:val="24"/>
        </w:rPr>
        <w:t xml:space="preserve">n </w:t>
      </w:r>
      <w:r w:rsidR="006B61C3">
        <w:rPr>
          <w:rFonts w:ascii="Times New Roman" w:hAnsi="Times New Roman"/>
          <w:sz w:val="24"/>
          <w:szCs w:val="24"/>
        </w:rPr>
        <w:t xml:space="preserve">the </w:t>
      </w:r>
      <w:r w:rsidR="00705EAE">
        <w:rPr>
          <w:rFonts w:ascii="Times New Roman" w:hAnsi="Times New Roman"/>
          <w:sz w:val="24"/>
          <w:szCs w:val="24"/>
        </w:rPr>
        <w:t xml:space="preserve">sticky information model of </w:t>
      </w:r>
      <w:proofErr w:type="spellStart"/>
      <w:r w:rsidR="00705EAE" w:rsidRPr="00705EAE">
        <w:rPr>
          <w:rFonts w:ascii="Times New Roman" w:hAnsi="Times New Roman"/>
          <w:sz w:val="24"/>
          <w:szCs w:val="24"/>
        </w:rPr>
        <w:t>Mankiw</w:t>
      </w:r>
      <w:proofErr w:type="spellEnd"/>
      <w:r w:rsidR="00705EAE" w:rsidRPr="00705EAE">
        <w:rPr>
          <w:rFonts w:ascii="Times New Roman" w:hAnsi="Times New Roman"/>
          <w:sz w:val="24"/>
          <w:szCs w:val="24"/>
        </w:rPr>
        <w:t xml:space="preserve"> and Reis (2002)</w:t>
      </w:r>
      <w:r w:rsidR="00705EAE">
        <w:rPr>
          <w:rFonts w:ascii="Times New Roman" w:hAnsi="Times New Roman"/>
          <w:sz w:val="24"/>
          <w:szCs w:val="24"/>
        </w:rPr>
        <w:t xml:space="preserve">, disagreement is driven by </w:t>
      </w:r>
      <w:r w:rsidR="00705EAE" w:rsidRPr="00705EAE">
        <w:rPr>
          <w:rFonts w:ascii="Times New Roman" w:hAnsi="Times New Roman"/>
          <w:sz w:val="24"/>
          <w:szCs w:val="24"/>
        </w:rPr>
        <w:t xml:space="preserve">agents </w:t>
      </w:r>
      <w:r w:rsidR="00705EAE">
        <w:rPr>
          <w:rFonts w:ascii="Times New Roman" w:hAnsi="Times New Roman"/>
          <w:sz w:val="24"/>
          <w:szCs w:val="24"/>
        </w:rPr>
        <w:t>only updating</w:t>
      </w:r>
      <w:r w:rsidR="00705EAE" w:rsidRPr="00705EAE">
        <w:rPr>
          <w:rFonts w:ascii="Times New Roman" w:hAnsi="Times New Roman"/>
          <w:sz w:val="24"/>
          <w:szCs w:val="24"/>
        </w:rPr>
        <w:t xml:space="preserve"> their information sets</w:t>
      </w:r>
      <w:r w:rsidR="00705EAE">
        <w:rPr>
          <w:rFonts w:ascii="Times New Roman" w:hAnsi="Times New Roman"/>
          <w:sz w:val="24"/>
          <w:szCs w:val="24"/>
        </w:rPr>
        <w:t xml:space="preserve"> </w:t>
      </w:r>
      <w:r w:rsidR="00705EAE" w:rsidRPr="00705EAE">
        <w:rPr>
          <w:rFonts w:ascii="Times New Roman" w:hAnsi="Times New Roman"/>
          <w:sz w:val="24"/>
          <w:szCs w:val="24"/>
        </w:rPr>
        <w:t>infrequently</w:t>
      </w:r>
      <w:r w:rsidR="00705EAE">
        <w:rPr>
          <w:rFonts w:ascii="Times New Roman" w:hAnsi="Times New Roman"/>
          <w:sz w:val="24"/>
          <w:szCs w:val="24"/>
        </w:rPr>
        <w:t xml:space="preserve">. </w:t>
      </w:r>
      <w:r>
        <w:rPr>
          <w:rFonts w:ascii="Times New Roman" w:hAnsi="Times New Roman"/>
          <w:sz w:val="24"/>
          <w:szCs w:val="24"/>
        </w:rPr>
        <w:t xml:space="preserve">Disagreement can also arise through </w:t>
      </w:r>
      <w:r w:rsidR="0091498E">
        <w:rPr>
          <w:rFonts w:ascii="Times New Roman" w:hAnsi="Times New Roman"/>
          <w:sz w:val="24"/>
          <w:szCs w:val="24"/>
        </w:rPr>
        <w:t xml:space="preserve"> rational inattention </w:t>
      </w:r>
      <w:r>
        <w:rPr>
          <w:rFonts w:ascii="Times New Roman" w:hAnsi="Times New Roman"/>
          <w:sz w:val="24"/>
          <w:szCs w:val="24"/>
        </w:rPr>
        <w:t>a</w:t>
      </w:r>
      <w:r w:rsidR="00705EAE" w:rsidRPr="00705EAE">
        <w:rPr>
          <w:rFonts w:ascii="Times New Roman" w:hAnsi="Times New Roman"/>
          <w:sz w:val="24"/>
          <w:szCs w:val="24"/>
        </w:rPr>
        <w:t>s in Sims (2003),</w:t>
      </w:r>
      <w:r w:rsidR="00705EAE">
        <w:rPr>
          <w:rFonts w:ascii="Times New Roman" w:hAnsi="Times New Roman"/>
          <w:sz w:val="24"/>
          <w:szCs w:val="24"/>
        </w:rPr>
        <w:t xml:space="preserve"> </w:t>
      </w:r>
      <w:r w:rsidR="0085027D">
        <w:rPr>
          <w:rFonts w:ascii="Times New Roman" w:hAnsi="Times New Roman"/>
          <w:sz w:val="24"/>
          <w:szCs w:val="24"/>
        </w:rPr>
        <w:t>Woodford (2003</w:t>
      </w:r>
      <w:r w:rsidR="00705EAE" w:rsidRPr="00705EAE">
        <w:rPr>
          <w:rFonts w:ascii="Times New Roman" w:hAnsi="Times New Roman"/>
          <w:sz w:val="24"/>
          <w:szCs w:val="24"/>
        </w:rPr>
        <w:t xml:space="preserve">) and </w:t>
      </w:r>
      <w:proofErr w:type="spellStart"/>
      <w:r w:rsidR="00705EAE" w:rsidRPr="00705EAE">
        <w:rPr>
          <w:rFonts w:ascii="Times New Roman" w:hAnsi="Times New Roman"/>
          <w:sz w:val="24"/>
          <w:szCs w:val="24"/>
        </w:rPr>
        <w:t>Mackowiak</w:t>
      </w:r>
      <w:proofErr w:type="spellEnd"/>
      <w:r w:rsidR="00705EAE" w:rsidRPr="00705EAE">
        <w:rPr>
          <w:rFonts w:ascii="Times New Roman" w:hAnsi="Times New Roman"/>
          <w:sz w:val="24"/>
          <w:szCs w:val="24"/>
        </w:rPr>
        <w:t xml:space="preserve"> and </w:t>
      </w:r>
      <w:proofErr w:type="spellStart"/>
      <w:r w:rsidR="00705EAE" w:rsidRPr="00705EAE">
        <w:rPr>
          <w:rFonts w:ascii="Times New Roman" w:hAnsi="Times New Roman"/>
          <w:sz w:val="24"/>
          <w:szCs w:val="24"/>
        </w:rPr>
        <w:t>Wiederholt</w:t>
      </w:r>
      <w:proofErr w:type="spellEnd"/>
      <w:r w:rsidR="00705EAE" w:rsidRPr="00705EAE">
        <w:rPr>
          <w:rFonts w:ascii="Times New Roman" w:hAnsi="Times New Roman"/>
          <w:sz w:val="24"/>
          <w:szCs w:val="24"/>
        </w:rPr>
        <w:t xml:space="preserve"> (2009) in which</w:t>
      </w:r>
      <w:r w:rsidR="00705EAE">
        <w:rPr>
          <w:rFonts w:ascii="Times New Roman" w:hAnsi="Times New Roman"/>
          <w:sz w:val="24"/>
          <w:szCs w:val="24"/>
        </w:rPr>
        <w:t xml:space="preserve"> </w:t>
      </w:r>
      <w:r w:rsidR="00705EAE" w:rsidRPr="00705EAE">
        <w:rPr>
          <w:rFonts w:ascii="Times New Roman" w:hAnsi="Times New Roman"/>
          <w:sz w:val="24"/>
          <w:szCs w:val="24"/>
        </w:rPr>
        <w:t xml:space="preserve">agents are continuously updating their information </w:t>
      </w:r>
      <w:r w:rsidR="00E00022">
        <w:rPr>
          <w:rFonts w:ascii="Times New Roman" w:hAnsi="Times New Roman"/>
          <w:sz w:val="24"/>
          <w:szCs w:val="24"/>
        </w:rPr>
        <w:t xml:space="preserve">sets </w:t>
      </w:r>
      <w:r w:rsidR="00705EAE" w:rsidRPr="00705EAE">
        <w:rPr>
          <w:rFonts w:ascii="Times New Roman" w:hAnsi="Times New Roman"/>
          <w:sz w:val="24"/>
          <w:szCs w:val="24"/>
        </w:rPr>
        <w:t xml:space="preserve">but </w:t>
      </w:r>
      <w:r w:rsidR="0085027D">
        <w:rPr>
          <w:rFonts w:ascii="Times New Roman" w:hAnsi="Times New Roman"/>
          <w:sz w:val="24"/>
          <w:szCs w:val="24"/>
        </w:rPr>
        <w:t xml:space="preserve">only </w:t>
      </w:r>
      <w:r w:rsidR="00705EAE" w:rsidRPr="00705EAE">
        <w:rPr>
          <w:rFonts w:ascii="Times New Roman" w:hAnsi="Times New Roman"/>
          <w:sz w:val="24"/>
          <w:szCs w:val="24"/>
        </w:rPr>
        <w:t>observe noisy signals about the true state</w:t>
      </w:r>
      <w:r w:rsidR="00E00022">
        <w:rPr>
          <w:rFonts w:ascii="Times New Roman" w:hAnsi="Times New Roman"/>
          <w:sz w:val="24"/>
          <w:szCs w:val="24"/>
        </w:rPr>
        <w:t xml:space="preserve"> of the economy</w:t>
      </w:r>
      <w:r>
        <w:rPr>
          <w:rFonts w:ascii="Times New Roman" w:hAnsi="Times New Roman"/>
          <w:sz w:val="24"/>
          <w:szCs w:val="24"/>
        </w:rPr>
        <w:t xml:space="preserve">. </w:t>
      </w:r>
      <w:r w:rsidR="001E1191">
        <w:rPr>
          <w:rFonts w:ascii="Times New Roman" w:hAnsi="Times New Roman"/>
          <w:sz w:val="24"/>
          <w:szCs w:val="24"/>
        </w:rPr>
        <w:t>Other</w:t>
      </w:r>
      <w:r w:rsidR="00E00022">
        <w:rPr>
          <w:rFonts w:ascii="Times New Roman" w:hAnsi="Times New Roman"/>
          <w:sz w:val="24"/>
          <w:szCs w:val="24"/>
        </w:rPr>
        <w:t xml:space="preserve"> studies</w:t>
      </w:r>
      <w:r w:rsidR="001E1191">
        <w:rPr>
          <w:rFonts w:ascii="Times New Roman" w:hAnsi="Times New Roman"/>
          <w:sz w:val="24"/>
          <w:szCs w:val="24"/>
        </w:rPr>
        <w:t xml:space="preserve"> have proposed that diverging views about the underlying inflation process may</w:t>
      </w:r>
      <w:r w:rsidR="00F06EEA">
        <w:rPr>
          <w:rFonts w:ascii="Times New Roman" w:hAnsi="Times New Roman"/>
          <w:sz w:val="24"/>
          <w:szCs w:val="24"/>
        </w:rPr>
        <w:t xml:space="preserve"> </w:t>
      </w:r>
      <w:r w:rsidR="001E1191">
        <w:rPr>
          <w:rFonts w:ascii="Times New Roman" w:hAnsi="Times New Roman"/>
          <w:sz w:val="24"/>
          <w:szCs w:val="24"/>
        </w:rPr>
        <w:t xml:space="preserve">drive forecast disagreement </w:t>
      </w:r>
      <w:r w:rsidR="00F06EEA">
        <w:rPr>
          <w:rFonts w:ascii="Times New Roman" w:hAnsi="Times New Roman"/>
          <w:sz w:val="24"/>
          <w:szCs w:val="24"/>
        </w:rPr>
        <w:t xml:space="preserve">about </w:t>
      </w:r>
      <w:r w:rsidR="001E1191">
        <w:rPr>
          <w:rFonts w:ascii="Times New Roman" w:hAnsi="Times New Roman"/>
          <w:sz w:val="24"/>
          <w:szCs w:val="24"/>
        </w:rPr>
        <w:t>inflation</w:t>
      </w:r>
      <w:r w:rsidR="00B47D9A">
        <w:rPr>
          <w:rFonts w:ascii="Times New Roman" w:hAnsi="Times New Roman"/>
          <w:sz w:val="24"/>
          <w:szCs w:val="24"/>
        </w:rPr>
        <w:t xml:space="preserve"> (</w:t>
      </w:r>
      <w:proofErr w:type="spellStart"/>
      <w:r w:rsidR="00B47D9A">
        <w:rPr>
          <w:rFonts w:ascii="Times New Roman" w:hAnsi="Times New Roman"/>
          <w:sz w:val="24"/>
          <w:szCs w:val="24"/>
        </w:rPr>
        <w:t>eg</w:t>
      </w:r>
      <w:proofErr w:type="spellEnd"/>
      <w:r w:rsidR="00B47D9A">
        <w:rPr>
          <w:rFonts w:ascii="Times New Roman" w:hAnsi="Times New Roman"/>
          <w:sz w:val="24"/>
          <w:szCs w:val="24"/>
        </w:rPr>
        <w:t xml:space="preserve"> Andrade et al (201</w:t>
      </w:r>
      <w:r w:rsidR="00916E6A">
        <w:rPr>
          <w:rFonts w:ascii="Times New Roman" w:hAnsi="Times New Roman"/>
          <w:sz w:val="24"/>
          <w:szCs w:val="24"/>
        </w:rPr>
        <w:t>9</w:t>
      </w:r>
      <w:r w:rsidR="00B47D9A">
        <w:rPr>
          <w:rFonts w:ascii="Times New Roman" w:hAnsi="Times New Roman"/>
          <w:sz w:val="24"/>
          <w:szCs w:val="24"/>
        </w:rPr>
        <w:t>))</w:t>
      </w:r>
      <w:r w:rsidR="001E1191">
        <w:rPr>
          <w:rFonts w:ascii="Times New Roman" w:hAnsi="Times New Roman"/>
          <w:sz w:val="24"/>
          <w:szCs w:val="24"/>
        </w:rPr>
        <w:t>.</w:t>
      </w:r>
    </w:p>
    <w:p w14:paraId="701164A8" w14:textId="64388B49" w:rsidR="00AD25B5" w:rsidRDefault="00613161" w:rsidP="00527682">
      <w:pPr>
        <w:pStyle w:val="FirstParagraph"/>
        <w:spacing w:line="480" w:lineRule="auto"/>
        <w:ind w:firstLine="397"/>
        <w:rPr>
          <w:rFonts w:ascii="Times New Roman" w:hAnsi="Times New Roman"/>
          <w:sz w:val="24"/>
          <w:szCs w:val="24"/>
        </w:rPr>
      </w:pPr>
      <w:r>
        <w:rPr>
          <w:rFonts w:ascii="Times New Roman" w:hAnsi="Times New Roman"/>
          <w:sz w:val="24"/>
          <w:szCs w:val="24"/>
        </w:rPr>
        <w:t xml:space="preserve">Our results suggest that </w:t>
      </w:r>
      <w:r w:rsidR="00E00022">
        <w:rPr>
          <w:rFonts w:ascii="Times New Roman" w:hAnsi="Times New Roman"/>
          <w:sz w:val="24"/>
          <w:szCs w:val="24"/>
        </w:rPr>
        <w:t>information frictions</w:t>
      </w:r>
      <w:r>
        <w:rPr>
          <w:rFonts w:ascii="Times New Roman" w:hAnsi="Times New Roman"/>
          <w:sz w:val="24"/>
          <w:szCs w:val="24"/>
        </w:rPr>
        <w:t xml:space="preserve"> </w:t>
      </w:r>
      <w:r w:rsidR="0085027D">
        <w:rPr>
          <w:rFonts w:ascii="Times New Roman" w:hAnsi="Times New Roman"/>
          <w:sz w:val="24"/>
          <w:szCs w:val="24"/>
        </w:rPr>
        <w:t>do</w:t>
      </w:r>
      <w:r w:rsidR="008B2050">
        <w:rPr>
          <w:rFonts w:ascii="Times New Roman" w:hAnsi="Times New Roman"/>
          <w:sz w:val="24"/>
          <w:szCs w:val="24"/>
        </w:rPr>
        <w:t xml:space="preserve"> not</w:t>
      </w:r>
      <w:r>
        <w:rPr>
          <w:rFonts w:ascii="Times New Roman" w:hAnsi="Times New Roman"/>
          <w:sz w:val="24"/>
          <w:szCs w:val="24"/>
        </w:rPr>
        <w:t xml:space="preserve"> </w:t>
      </w:r>
      <w:r w:rsidR="00E00022">
        <w:rPr>
          <w:rFonts w:ascii="Times New Roman" w:hAnsi="Times New Roman"/>
          <w:sz w:val="24"/>
          <w:szCs w:val="24"/>
        </w:rPr>
        <w:t>account for the</w:t>
      </w:r>
      <w:r>
        <w:rPr>
          <w:rFonts w:ascii="Times New Roman" w:hAnsi="Times New Roman"/>
          <w:sz w:val="24"/>
          <w:szCs w:val="24"/>
        </w:rPr>
        <w:t xml:space="preserve"> </w:t>
      </w:r>
      <w:r w:rsidR="008B2050">
        <w:rPr>
          <w:rFonts w:ascii="Times New Roman" w:hAnsi="Times New Roman"/>
          <w:sz w:val="24"/>
          <w:szCs w:val="24"/>
        </w:rPr>
        <w:t>increased</w:t>
      </w:r>
      <w:r>
        <w:rPr>
          <w:rFonts w:ascii="Times New Roman" w:hAnsi="Times New Roman"/>
          <w:sz w:val="24"/>
          <w:szCs w:val="24"/>
        </w:rPr>
        <w:t xml:space="preserve"> forecast disagreement during deflations. First, higher </w:t>
      </w:r>
      <w:r w:rsidRPr="00613161">
        <w:rPr>
          <w:rFonts w:ascii="Times New Roman" w:hAnsi="Times New Roman"/>
          <w:sz w:val="24"/>
          <w:szCs w:val="24"/>
        </w:rPr>
        <w:t>disagreement</w:t>
      </w:r>
      <w:r>
        <w:rPr>
          <w:rFonts w:ascii="Times New Roman" w:hAnsi="Times New Roman"/>
          <w:sz w:val="24"/>
          <w:szCs w:val="24"/>
        </w:rPr>
        <w:t xml:space="preserve"> during deflations</w:t>
      </w:r>
      <w:r w:rsidRPr="00613161">
        <w:rPr>
          <w:rFonts w:ascii="Times New Roman" w:hAnsi="Times New Roman"/>
          <w:sz w:val="24"/>
          <w:szCs w:val="24"/>
        </w:rPr>
        <w:t xml:space="preserve"> remains after controlling for sticky information</w:t>
      </w:r>
      <w:r w:rsidR="00E00022">
        <w:rPr>
          <w:rFonts w:ascii="Times New Roman" w:hAnsi="Times New Roman"/>
          <w:sz w:val="24"/>
          <w:szCs w:val="24"/>
        </w:rPr>
        <w:t>-</w:t>
      </w:r>
      <w:r w:rsidRPr="00613161">
        <w:rPr>
          <w:rFonts w:ascii="Times New Roman" w:hAnsi="Times New Roman"/>
          <w:sz w:val="24"/>
          <w:szCs w:val="24"/>
        </w:rPr>
        <w:t>related variables</w:t>
      </w:r>
      <w:r w:rsidR="00460EB5">
        <w:rPr>
          <w:rFonts w:ascii="Times New Roman" w:hAnsi="Times New Roman"/>
          <w:sz w:val="24"/>
          <w:szCs w:val="24"/>
        </w:rPr>
        <w:t xml:space="preserve">, of the type considered by </w:t>
      </w:r>
      <w:proofErr w:type="spellStart"/>
      <w:r w:rsidR="00460EB5">
        <w:rPr>
          <w:rFonts w:ascii="Times New Roman" w:hAnsi="Times New Roman"/>
          <w:sz w:val="24"/>
          <w:szCs w:val="24"/>
        </w:rPr>
        <w:t>Mankiw</w:t>
      </w:r>
      <w:proofErr w:type="spellEnd"/>
      <w:r w:rsidR="00460EB5">
        <w:rPr>
          <w:rFonts w:ascii="Times New Roman" w:hAnsi="Times New Roman"/>
          <w:sz w:val="24"/>
          <w:szCs w:val="24"/>
        </w:rPr>
        <w:t xml:space="preserve"> et al (2004</w:t>
      </w:r>
      <w:r>
        <w:rPr>
          <w:rFonts w:ascii="Times New Roman" w:hAnsi="Times New Roman"/>
          <w:sz w:val="24"/>
          <w:szCs w:val="24"/>
        </w:rPr>
        <w:t xml:space="preserve">). Moreover, </w:t>
      </w:r>
      <w:r w:rsidR="00AD25B5">
        <w:rPr>
          <w:rFonts w:ascii="Times New Roman" w:hAnsi="Times New Roman"/>
          <w:sz w:val="24"/>
          <w:szCs w:val="24"/>
        </w:rPr>
        <w:t xml:space="preserve">tests proposed by </w:t>
      </w:r>
      <w:proofErr w:type="spellStart"/>
      <w:r w:rsidR="00364CA3">
        <w:rPr>
          <w:rFonts w:ascii="Times New Roman" w:hAnsi="Times New Roman"/>
          <w:sz w:val="24"/>
          <w:szCs w:val="24"/>
        </w:rPr>
        <w:t>Coibion</w:t>
      </w:r>
      <w:proofErr w:type="spellEnd"/>
      <w:r w:rsidR="00364CA3">
        <w:rPr>
          <w:rFonts w:ascii="Times New Roman" w:hAnsi="Times New Roman"/>
          <w:sz w:val="24"/>
          <w:szCs w:val="24"/>
        </w:rPr>
        <w:t xml:space="preserve"> and </w:t>
      </w:r>
      <w:proofErr w:type="spellStart"/>
      <w:r w:rsidR="00364CA3">
        <w:rPr>
          <w:rFonts w:ascii="Times New Roman" w:hAnsi="Times New Roman"/>
          <w:sz w:val="24"/>
          <w:szCs w:val="24"/>
        </w:rPr>
        <w:t>Gorodnichenko</w:t>
      </w:r>
      <w:proofErr w:type="spellEnd"/>
      <w:r w:rsidR="00364CA3">
        <w:rPr>
          <w:rFonts w:ascii="Times New Roman" w:hAnsi="Times New Roman"/>
          <w:sz w:val="24"/>
          <w:szCs w:val="24"/>
        </w:rPr>
        <w:t xml:space="preserve"> (201</w:t>
      </w:r>
      <w:r w:rsidR="00E00022">
        <w:rPr>
          <w:rFonts w:ascii="Times New Roman" w:hAnsi="Times New Roman"/>
          <w:sz w:val="24"/>
          <w:szCs w:val="24"/>
        </w:rPr>
        <w:t>5</w:t>
      </w:r>
      <w:r w:rsidR="00364CA3">
        <w:rPr>
          <w:rFonts w:ascii="Times New Roman" w:hAnsi="Times New Roman"/>
          <w:sz w:val="24"/>
          <w:szCs w:val="24"/>
        </w:rPr>
        <w:t xml:space="preserve">) </w:t>
      </w:r>
      <w:r w:rsidR="00AD25B5">
        <w:rPr>
          <w:rFonts w:ascii="Times New Roman" w:hAnsi="Times New Roman"/>
          <w:sz w:val="24"/>
          <w:szCs w:val="24"/>
        </w:rPr>
        <w:t xml:space="preserve">to </w:t>
      </w:r>
      <w:r w:rsidR="00E00022">
        <w:rPr>
          <w:rFonts w:ascii="Times New Roman" w:hAnsi="Times New Roman"/>
          <w:sz w:val="24"/>
          <w:szCs w:val="24"/>
        </w:rPr>
        <w:t>examine the presence of information rigidities</w:t>
      </w:r>
      <w:r w:rsidR="00AD25B5">
        <w:rPr>
          <w:rFonts w:ascii="Times New Roman" w:hAnsi="Times New Roman"/>
          <w:sz w:val="24"/>
          <w:szCs w:val="24"/>
        </w:rPr>
        <w:t xml:space="preserve"> suggest that inflation expectations during deflations (and </w:t>
      </w:r>
      <w:r w:rsidR="00AD25B5">
        <w:rPr>
          <w:rFonts w:ascii="Times New Roman" w:hAnsi="Times New Roman"/>
          <w:sz w:val="24"/>
          <w:szCs w:val="24"/>
        </w:rPr>
        <w:lastRenderedPageBreak/>
        <w:t xml:space="preserve">high inflations) are </w:t>
      </w:r>
      <w:r w:rsidR="008B2050">
        <w:rPr>
          <w:rFonts w:ascii="Times New Roman" w:hAnsi="Times New Roman"/>
          <w:sz w:val="24"/>
          <w:szCs w:val="24"/>
        </w:rPr>
        <w:t xml:space="preserve">more </w:t>
      </w:r>
      <w:r w:rsidR="00AD25B5">
        <w:rPr>
          <w:rFonts w:ascii="Times New Roman" w:hAnsi="Times New Roman"/>
          <w:sz w:val="24"/>
          <w:szCs w:val="24"/>
        </w:rPr>
        <w:t>consistent with rational expectations</w:t>
      </w:r>
      <w:r w:rsidR="0085027D">
        <w:rPr>
          <w:rFonts w:ascii="Times New Roman" w:hAnsi="Times New Roman"/>
          <w:sz w:val="24"/>
          <w:szCs w:val="24"/>
        </w:rPr>
        <w:t>.</w:t>
      </w:r>
      <w:r w:rsidR="00F94BD8">
        <w:rPr>
          <w:rStyle w:val="FootnoteReference"/>
          <w:sz w:val="24"/>
          <w:szCs w:val="24"/>
        </w:rPr>
        <w:footnoteReference w:id="4"/>
      </w:r>
      <w:r w:rsidR="0085027D">
        <w:rPr>
          <w:rFonts w:ascii="Times New Roman" w:hAnsi="Times New Roman"/>
          <w:sz w:val="24"/>
          <w:szCs w:val="24"/>
        </w:rPr>
        <w:t xml:space="preserve"> By contrast, we</w:t>
      </w:r>
      <w:r w:rsidR="002F0F32">
        <w:rPr>
          <w:rFonts w:ascii="Times New Roman" w:hAnsi="Times New Roman"/>
          <w:sz w:val="24"/>
          <w:szCs w:val="24"/>
        </w:rPr>
        <w:t xml:space="preserve"> find evidence of information </w:t>
      </w:r>
      <w:r w:rsidR="00E00022">
        <w:rPr>
          <w:rFonts w:ascii="Times New Roman" w:hAnsi="Times New Roman"/>
          <w:sz w:val="24"/>
          <w:szCs w:val="24"/>
        </w:rPr>
        <w:t xml:space="preserve">rigidities </w:t>
      </w:r>
      <w:r w:rsidR="00AD25B5">
        <w:rPr>
          <w:rFonts w:ascii="Times New Roman" w:hAnsi="Times New Roman"/>
          <w:sz w:val="24"/>
          <w:szCs w:val="24"/>
        </w:rPr>
        <w:t>when infl</w:t>
      </w:r>
      <w:r w:rsidR="002969D4">
        <w:rPr>
          <w:rFonts w:ascii="Times New Roman" w:hAnsi="Times New Roman"/>
          <w:sz w:val="24"/>
          <w:szCs w:val="24"/>
        </w:rPr>
        <w:t xml:space="preserve">ation is at </w:t>
      </w:r>
      <w:r w:rsidR="005D30F9">
        <w:rPr>
          <w:rFonts w:ascii="Times New Roman" w:hAnsi="Times New Roman"/>
          <w:sz w:val="24"/>
          <w:szCs w:val="24"/>
        </w:rPr>
        <w:t>moderately positive</w:t>
      </w:r>
      <w:r w:rsidR="002969D4">
        <w:rPr>
          <w:rFonts w:ascii="Times New Roman" w:hAnsi="Times New Roman"/>
          <w:sz w:val="24"/>
          <w:szCs w:val="24"/>
        </w:rPr>
        <w:t xml:space="preserve"> levels.</w:t>
      </w:r>
      <w:r w:rsidR="00D95F72">
        <w:rPr>
          <w:rStyle w:val="FootnoteReference"/>
          <w:sz w:val="24"/>
          <w:szCs w:val="24"/>
        </w:rPr>
        <w:footnoteReference w:id="5"/>
      </w:r>
    </w:p>
    <w:p w14:paraId="0DCFF1D1" w14:textId="4B74022C" w:rsidR="008E22C4" w:rsidRDefault="002969D4" w:rsidP="002969D4">
      <w:pPr>
        <w:pStyle w:val="FirstParagraph"/>
        <w:spacing w:line="480" w:lineRule="auto"/>
        <w:ind w:firstLine="397"/>
        <w:rPr>
          <w:rFonts w:ascii="Times New Roman" w:hAnsi="Times New Roman"/>
          <w:sz w:val="24"/>
          <w:szCs w:val="24"/>
        </w:rPr>
      </w:pPr>
      <w:r w:rsidRPr="00315EAD">
        <w:rPr>
          <w:rFonts w:ascii="Times New Roman" w:hAnsi="Times New Roman"/>
          <w:sz w:val="24"/>
          <w:szCs w:val="24"/>
        </w:rPr>
        <w:t xml:space="preserve">Rather, </w:t>
      </w:r>
      <w:r w:rsidR="0057431D" w:rsidRPr="00315EAD">
        <w:rPr>
          <w:rFonts w:ascii="Times New Roman" w:hAnsi="Times New Roman"/>
          <w:sz w:val="24"/>
          <w:szCs w:val="24"/>
        </w:rPr>
        <w:t xml:space="preserve">our results are </w:t>
      </w:r>
      <w:r w:rsidRPr="00315EAD">
        <w:rPr>
          <w:rFonts w:ascii="Times New Roman" w:hAnsi="Times New Roman"/>
          <w:sz w:val="24"/>
          <w:szCs w:val="24"/>
        </w:rPr>
        <w:t>consistent</w:t>
      </w:r>
      <w:r w:rsidR="008B2050" w:rsidRPr="00315EAD">
        <w:rPr>
          <w:rFonts w:ascii="Times New Roman" w:hAnsi="Times New Roman"/>
          <w:sz w:val="24"/>
          <w:szCs w:val="24"/>
        </w:rPr>
        <w:t xml:space="preserve"> with forecasters having</w:t>
      </w:r>
      <w:r w:rsidRPr="00315EAD">
        <w:rPr>
          <w:rFonts w:ascii="Times New Roman" w:hAnsi="Times New Roman"/>
          <w:sz w:val="24"/>
          <w:szCs w:val="24"/>
        </w:rPr>
        <w:t xml:space="preserve"> heterogeneous views abo</w:t>
      </w:r>
      <w:r w:rsidR="008B2050" w:rsidRPr="00315EAD">
        <w:rPr>
          <w:rFonts w:ascii="Times New Roman" w:hAnsi="Times New Roman"/>
          <w:sz w:val="24"/>
          <w:szCs w:val="24"/>
        </w:rPr>
        <w:t>ut the inflation process</w:t>
      </w:r>
      <w:r w:rsidR="0057431D" w:rsidRPr="00315EAD">
        <w:rPr>
          <w:rFonts w:ascii="Times New Roman" w:hAnsi="Times New Roman"/>
          <w:sz w:val="24"/>
          <w:szCs w:val="24"/>
        </w:rPr>
        <w:t xml:space="preserve"> during deflations</w:t>
      </w:r>
      <w:r w:rsidRPr="00315EAD">
        <w:rPr>
          <w:rFonts w:ascii="Times New Roman" w:hAnsi="Times New Roman"/>
          <w:sz w:val="24"/>
          <w:szCs w:val="24"/>
        </w:rPr>
        <w:t xml:space="preserve">. </w:t>
      </w:r>
      <w:r w:rsidR="008E22C4" w:rsidRPr="00315EAD">
        <w:rPr>
          <w:rFonts w:ascii="Times New Roman" w:hAnsi="Times New Roman"/>
          <w:sz w:val="24"/>
          <w:szCs w:val="24"/>
        </w:rPr>
        <w:t xml:space="preserve">This disagreement is on top of that driven by other macroeconomic factors that </w:t>
      </w:r>
      <w:r w:rsidR="00315EAD">
        <w:rPr>
          <w:rFonts w:ascii="Times New Roman" w:hAnsi="Times New Roman"/>
          <w:sz w:val="24"/>
          <w:szCs w:val="24"/>
        </w:rPr>
        <w:t xml:space="preserve">tend to </w:t>
      </w:r>
      <w:r w:rsidR="008E22C4" w:rsidRPr="00315EAD">
        <w:rPr>
          <w:rFonts w:ascii="Times New Roman" w:hAnsi="Times New Roman"/>
          <w:sz w:val="24"/>
          <w:szCs w:val="24"/>
        </w:rPr>
        <w:t>correlate with greater forecast disagreement</w:t>
      </w:r>
      <w:r w:rsidR="00315EAD">
        <w:rPr>
          <w:rFonts w:ascii="Times New Roman" w:hAnsi="Times New Roman"/>
          <w:sz w:val="24"/>
          <w:szCs w:val="24"/>
        </w:rPr>
        <w:t>,</w:t>
      </w:r>
      <w:r w:rsidR="008E22C4" w:rsidRPr="00315EAD">
        <w:rPr>
          <w:rFonts w:ascii="Times New Roman" w:hAnsi="Times New Roman"/>
          <w:sz w:val="24"/>
          <w:szCs w:val="24"/>
        </w:rPr>
        <w:t xml:space="preserve"> </w:t>
      </w:r>
      <w:proofErr w:type="spellStart"/>
      <w:r w:rsidR="008E22C4" w:rsidRPr="00315EAD">
        <w:rPr>
          <w:rFonts w:ascii="Times New Roman" w:hAnsi="Times New Roman"/>
          <w:sz w:val="24"/>
          <w:szCs w:val="24"/>
        </w:rPr>
        <w:t>eg</w:t>
      </w:r>
      <w:proofErr w:type="spellEnd"/>
      <w:r w:rsidR="008E22C4" w:rsidRPr="00315EAD">
        <w:rPr>
          <w:rFonts w:ascii="Times New Roman" w:hAnsi="Times New Roman"/>
          <w:sz w:val="24"/>
          <w:szCs w:val="24"/>
        </w:rPr>
        <w:t xml:space="preserve"> recessions (Patton and </w:t>
      </w:r>
      <w:proofErr w:type="spellStart"/>
      <w:r w:rsidR="008E22C4" w:rsidRPr="00315EAD">
        <w:rPr>
          <w:rFonts w:ascii="Times New Roman" w:hAnsi="Times New Roman"/>
          <w:sz w:val="24"/>
          <w:szCs w:val="24"/>
        </w:rPr>
        <w:t>Timmermann</w:t>
      </w:r>
      <w:proofErr w:type="spellEnd"/>
      <w:r w:rsidR="008E22C4" w:rsidRPr="00315EAD">
        <w:rPr>
          <w:rFonts w:ascii="Times New Roman" w:hAnsi="Times New Roman"/>
          <w:sz w:val="24"/>
          <w:szCs w:val="24"/>
        </w:rPr>
        <w:t xml:space="preserve"> (2010); </w:t>
      </w:r>
      <w:proofErr w:type="spellStart"/>
      <w:r w:rsidR="008E22C4" w:rsidRPr="00315EAD">
        <w:rPr>
          <w:rFonts w:ascii="Times New Roman" w:hAnsi="Times New Roman"/>
          <w:sz w:val="24"/>
          <w:szCs w:val="24"/>
        </w:rPr>
        <w:t>Döpke</w:t>
      </w:r>
      <w:proofErr w:type="spellEnd"/>
      <w:r w:rsidR="008E22C4" w:rsidRPr="00315EAD">
        <w:rPr>
          <w:rFonts w:ascii="Times New Roman" w:hAnsi="Times New Roman"/>
          <w:sz w:val="24"/>
          <w:szCs w:val="24"/>
        </w:rPr>
        <w:t xml:space="preserve"> and </w:t>
      </w:r>
      <w:proofErr w:type="spellStart"/>
      <w:r w:rsidR="008E22C4" w:rsidRPr="00315EAD">
        <w:rPr>
          <w:rFonts w:ascii="Times New Roman" w:hAnsi="Times New Roman"/>
          <w:sz w:val="24"/>
          <w:szCs w:val="24"/>
        </w:rPr>
        <w:t>Fritsche</w:t>
      </w:r>
      <w:proofErr w:type="spellEnd"/>
      <w:r w:rsidR="008E22C4" w:rsidRPr="00315EAD">
        <w:rPr>
          <w:rFonts w:ascii="Times New Roman" w:hAnsi="Times New Roman"/>
          <w:sz w:val="24"/>
          <w:szCs w:val="24"/>
        </w:rPr>
        <w:t xml:space="preserve"> (2006)), contractionary monetary policy (</w:t>
      </w:r>
      <w:proofErr w:type="spellStart"/>
      <w:r w:rsidR="008E22C4" w:rsidRPr="00315EAD">
        <w:rPr>
          <w:rFonts w:ascii="Times New Roman" w:hAnsi="Times New Roman"/>
          <w:sz w:val="24"/>
          <w:szCs w:val="24"/>
        </w:rPr>
        <w:t>Glas</w:t>
      </w:r>
      <w:proofErr w:type="spellEnd"/>
      <w:r w:rsidR="008E22C4" w:rsidRPr="00315EAD">
        <w:rPr>
          <w:rFonts w:ascii="Times New Roman" w:hAnsi="Times New Roman"/>
          <w:sz w:val="24"/>
          <w:szCs w:val="24"/>
        </w:rPr>
        <w:t xml:space="preserve"> and Hartmann (2016)), negative output gaps (</w:t>
      </w:r>
      <w:proofErr w:type="spellStart"/>
      <w:r w:rsidR="008E22C4" w:rsidRPr="00315EAD">
        <w:rPr>
          <w:rFonts w:ascii="Times New Roman" w:hAnsi="Times New Roman"/>
          <w:sz w:val="24"/>
          <w:szCs w:val="24"/>
        </w:rPr>
        <w:t>eg</w:t>
      </w:r>
      <w:proofErr w:type="spellEnd"/>
      <w:r w:rsidR="008E22C4" w:rsidRPr="00315EAD">
        <w:rPr>
          <w:rFonts w:ascii="Times New Roman" w:hAnsi="Times New Roman"/>
          <w:sz w:val="24"/>
          <w:szCs w:val="24"/>
        </w:rPr>
        <w:t xml:space="preserve"> </w:t>
      </w:r>
      <w:proofErr w:type="spellStart"/>
      <w:r w:rsidR="008E22C4" w:rsidRPr="00315EAD">
        <w:rPr>
          <w:rFonts w:ascii="Times New Roman" w:hAnsi="Times New Roman"/>
          <w:sz w:val="24"/>
          <w:szCs w:val="24"/>
        </w:rPr>
        <w:t>Dovern</w:t>
      </w:r>
      <w:proofErr w:type="spellEnd"/>
      <w:r w:rsidR="008E22C4" w:rsidRPr="00315EAD">
        <w:rPr>
          <w:rFonts w:ascii="Times New Roman" w:hAnsi="Times New Roman"/>
          <w:sz w:val="24"/>
          <w:szCs w:val="24"/>
        </w:rPr>
        <w:t xml:space="preserve"> et al (2012)) </w:t>
      </w:r>
      <w:r w:rsidR="00315EAD">
        <w:rPr>
          <w:rFonts w:ascii="Times New Roman" w:hAnsi="Times New Roman"/>
          <w:sz w:val="24"/>
          <w:szCs w:val="24"/>
        </w:rPr>
        <w:t xml:space="preserve">and </w:t>
      </w:r>
      <w:r w:rsidR="008E22C4" w:rsidRPr="00315EAD">
        <w:rPr>
          <w:rFonts w:ascii="Times New Roman" w:hAnsi="Times New Roman"/>
          <w:sz w:val="24"/>
          <w:szCs w:val="24"/>
        </w:rPr>
        <w:t>below target inflation (</w:t>
      </w:r>
      <w:proofErr w:type="spellStart"/>
      <w:r w:rsidR="008E22C4" w:rsidRPr="00315EAD">
        <w:rPr>
          <w:rFonts w:ascii="Times New Roman" w:hAnsi="Times New Roman"/>
          <w:sz w:val="24"/>
          <w:szCs w:val="24"/>
        </w:rPr>
        <w:t>Ehrmann</w:t>
      </w:r>
      <w:proofErr w:type="spellEnd"/>
      <w:r w:rsidR="008E22C4" w:rsidRPr="00315EAD">
        <w:rPr>
          <w:rFonts w:ascii="Times New Roman" w:hAnsi="Times New Roman"/>
          <w:sz w:val="24"/>
          <w:szCs w:val="24"/>
        </w:rPr>
        <w:t xml:space="preserve"> (2015)).</w:t>
      </w:r>
    </w:p>
    <w:p w14:paraId="49F93359" w14:textId="39319BEC" w:rsidR="002969D4" w:rsidRDefault="002969D4" w:rsidP="002969D4">
      <w:pPr>
        <w:pStyle w:val="FirstParagraph"/>
        <w:spacing w:line="480" w:lineRule="auto"/>
        <w:ind w:firstLine="397"/>
        <w:rPr>
          <w:rFonts w:ascii="Times New Roman" w:hAnsi="Times New Roman"/>
          <w:sz w:val="24"/>
          <w:szCs w:val="24"/>
        </w:rPr>
      </w:pPr>
      <w:r>
        <w:rPr>
          <w:rFonts w:ascii="Times New Roman" w:hAnsi="Times New Roman"/>
          <w:sz w:val="24"/>
          <w:szCs w:val="24"/>
        </w:rPr>
        <w:t>To show this, we delve</w:t>
      </w:r>
      <w:r w:rsidRPr="00731C8B">
        <w:rPr>
          <w:rFonts w:ascii="Times New Roman" w:hAnsi="Times New Roman"/>
          <w:sz w:val="24"/>
          <w:szCs w:val="24"/>
        </w:rPr>
        <w:t xml:space="preserve"> deeper into the tails of the forecast distribution</w:t>
      </w:r>
      <w:r>
        <w:rPr>
          <w:rFonts w:ascii="Times New Roman" w:hAnsi="Times New Roman"/>
          <w:sz w:val="24"/>
          <w:szCs w:val="24"/>
        </w:rPr>
        <w:t xml:space="preserve"> and</w:t>
      </w:r>
      <w:r w:rsidR="00A55F43">
        <w:rPr>
          <w:rFonts w:ascii="Times New Roman" w:hAnsi="Times New Roman"/>
          <w:sz w:val="24"/>
          <w:szCs w:val="24"/>
        </w:rPr>
        <w:t xml:space="preserve">, </w:t>
      </w:r>
      <w:r>
        <w:rPr>
          <w:rFonts w:ascii="Times New Roman" w:hAnsi="Times New Roman"/>
          <w:sz w:val="24"/>
          <w:szCs w:val="24"/>
        </w:rPr>
        <w:t>find divergence in the inflation expectations process in the cross-section of forecasters</w:t>
      </w:r>
      <w:r w:rsidR="004964C5">
        <w:rPr>
          <w:rFonts w:ascii="Times New Roman" w:hAnsi="Times New Roman"/>
          <w:sz w:val="24"/>
          <w:szCs w:val="24"/>
        </w:rPr>
        <w:t>, even after controlling for the macroeconomic factors mentioned above.</w:t>
      </w:r>
      <w:r>
        <w:rPr>
          <w:rFonts w:ascii="Times New Roman" w:hAnsi="Times New Roman"/>
          <w:sz w:val="24"/>
          <w:szCs w:val="24"/>
        </w:rPr>
        <w:t xml:space="preserve"> In particular, during deflations, inflation expectations of forecasters in the left-hand tail of the forecast distribution shift downward. By contrast, there is </w:t>
      </w:r>
      <w:r w:rsidR="00367AB1">
        <w:rPr>
          <w:rFonts w:ascii="Times New Roman" w:hAnsi="Times New Roman"/>
          <w:sz w:val="24"/>
          <w:szCs w:val="24"/>
        </w:rPr>
        <w:t>less evidence of a statistically significant</w:t>
      </w:r>
      <w:r>
        <w:rPr>
          <w:rFonts w:ascii="Times New Roman" w:hAnsi="Times New Roman"/>
          <w:sz w:val="24"/>
          <w:szCs w:val="24"/>
        </w:rPr>
        <w:t xml:space="preserve"> change </w:t>
      </w:r>
      <w:r w:rsidR="00367AB1">
        <w:rPr>
          <w:rFonts w:ascii="Times New Roman" w:hAnsi="Times New Roman"/>
          <w:sz w:val="24"/>
          <w:szCs w:val="24"/>
        </w:rPr>
        <w:t>in</w:t>
      </w:r>
      <w:r>
        <w:rPr>
          <w:rFonts w:ascii="Times New Roman" w:hAnsi="Times New Roman"/>
          <w:sz w:val="24"/>
          <w:szCs w:val="24"/>
        </w:rPr>
        <w:t xml:space="preserve"> the </w:t>
      </w:r>
      <w:r w:rsidR="008B2050">
        <w:rPr>
          <w:rFonts w:ascii="Times New Roman" w:hAnsi="Times New Roman"/>
          <w:sz w:val="24"/>
          <w:szCs w:val="24"/>
        </w:rPr>
        <w:t xml:space="preserve">process driving </w:t>
      </w:r>
      <w:r>
        <w:rPr>
          <w:rFonts w:ascii="Times New Roman" w:hAnsi="Times New Roman"/>
          <w:sz w:val="24"/>
          <w:szCs w:val="24"/>
        </w:rPr>
        <w:t xml:space="preserve">inflation expectations in the right-hand tail of the </w:t>
      </w:r>
      <w:r w:rsidR="00367AB1">
        <w:rPr>
          <w:rFonts w:ascii="Times New Roman" w:hAnsi="Times New Roman"/>
          <w:sz w:val="24"/>
          <w:szCs w:val="24"/>
        </w:rPr>
        <w:t xml:space="preserve">forecast </w:t>
      </w:r>
      <w:r>
        <w:rPr>
          <w:rFonts w:ascii="Times New Roman" w:hAnsi="Times New Roman"/>
          <w:sz w:val="24"/>
          <w:szCs w:val="24"/>
        </w:rPr>
        <w:t>distribution</w:t>
      </w:r>
      <w:r w:rsidRPr="00731C8B">
        <w:rPr>
          <w:rFonts w:ascii="Times New Roman" w:hAnsi="Times New Roman"/>
          <w:sz w:val="24"/>
          <w:szCs w:val="24"/>
        </w:rPr>
        <w:t>.</w:t>
      </w:r>
      <w:r>
        <w:rPr>
          <w:rFonts w:ascii="Times New Roman" w:hAnsi="Times New Roman"/>
          <w:sz w:val="24"/>
          <w:szCs w:val="24"/>
        </w:rPr>
        <w:t xml:space="preserve"> </w:t>
      </w:r>
    </w:p>
    <w:p w14:paraId="58EE898C" w14:textId="763872A5" w:rsidR="00E36D38" w:rsidRPr="00315EAD" w:rsidRDefault="00E36D38">
      <w:pPr>
        <w:pStyle w:val="FirstParagraph"/>
        <w:spacing w:line="480" w:lineRule="auto"/>
        <w:ind w:firstLine="397"/>
        <w:rPr>
          <w:rFonts w:ascii="Times New Roman" w:hAnsi="Times New Roman"/>
          <w:sz w:val="24"/>
          <w:szCs w:val="24"/>
        </w:rPr>
      </w:pPr>
      <w:r w:rsidRPr="00315EAD">
        <w:rPr>
          <w:rFonts w:ascii="Times New Roman" w:hAnsi="Times New Roman"/>
          <w:sz w:val="24"/>
          <w:szCs w:val="24"/>
        </w:rPr>
        <w:t>N</w:t>
      </w:r>
      <w:r w:rsidR="00C867CE" w:rsidRPr="00315EAD">
        <w:rPr>
          <w:rFonts w:ascii="Times New Roman" w:hAnsi="Times New Roman"/>
          <w:sz w:val="24"/>
          <w:szCs w:val="24"/>
        </w:rPr>
        <w:t xml:space="preserve">on-fundamental </w:t>
      </w:r>
      <w:r w:rsidR="006921EE" w:rsidRPr="00315EAD">
        <w:rPr>
          <w:rFonts w:ascii="Times New Roman" w:hAnsi="Times New Roman"/>
          <w:sz w:val="24"/>
          <w:szCs w:val="24"/>
        </w:rPr>
        <w:t xml:space="preserve">factors may drive heterogeneous expectations about inflation during deflations. </w:t>
      </w:r>
      <w:r w:rsidR="00C867CE" w:rsidRPr="00315EAD">
        <w:rPr>
          <w:rFonts w:ascii="Times New Roman" w:hAnsi="Times New Roman"/>
          <w:sz w:val="24"/>
          <w:szCs w:val="24"/>
        </w:rPr>
        <w:t xml:space="preserve">Non-fundamental disagreement can arise from multiple equilibria (see </w:t>
      </w:r>
      <w:proofErr w:type="spellStart"/>
      <w:r w:rsidR="00C867CE" w:rsidRPr="00315EAD">
        <w:rPr>
          <w:rFonts w:ascii="Times New Roman" w:hAnsi="Times New Roman"/>
          <w:sz w:val="24"/>
          <w:szCs w:val="24"/>
        </w:rPr>
        <w:t>Benhabib</w:t>
      </w:r>
      <w:proofErr w:type="spellEnd"/>
      <w:r w:rsidR="00C867CE" w:rsidRPr="00315EAD">
        <w:rPr>
          <w:rFonts w:ascii="Times New Roman" w:hAnsi="Times New Roman"/>
          <w:sz w:val="24"/>
          <w:szCs w:val="24"/>
        </w:rPr>
        <w:t xml:space="preserve"> et al (2002)). Deflation could cause some forecasters to believe the economy is in the liquidity </w:t>
      </w:r>
      <w:r w:rsidR="00C867CE" w:rsidRPr="00315EAD">
        <w:rPr>
          <w:rFonts w:ascii="Times New Roman" w:hAnsi="Times New Roman"/>
          <w:sz w:val="24"/>
          <w:szCs w:val="24"/>
        </w:rPr>
        <w:lastRenderedPageBreak/>
        <w:t xml:space="preserve">trap equilibrium and lead them to change their views about the inflation process, while other forecasters continue to believe in an equilibrium with positive inflation rates. </w:t>
      </w:r>
      <w:r w:rsidR="00166F01" w:rsidRPr="00315EAD">
        <w:rPr>
          <w:rFonts w:ascii="Times New Roman" w:hAnsi="Times New Roman"/>
          <w:sz w:val="24"/>
          <w:szCs w:val="24"/>
        </w:rPr>
        <w:t>The</w:t>
      </w:r>
      <w:r w:rsidR="00366137" w:rsidRPr="00315EAD">
        <w:rPr>
          <w:rFonts w:ascii="Times New Roman" w:hAnsi="Times New Roman"/>
          <w:sz w:val="24"/>
          <w:szCs w:val="24"/>
        </w:rPr>
        <w:t xml:space="preserve"> shift in the left </w:t>
      </w:r>
      <w:r w:rsidR="00166F01" w:rsidRPr="00315EAD">
        <w:rPr>
          <w:rFonts w:ascii="Times New Roman" w:hAnsi="Times New Roman"/>
          <w:sz w:val="24"/>
          <w:szCs w:val="24"/>
        </w:rPr>
        <w:t>tail</w:t>
      </w:r>
      <w:r w:rsidR="00366137" w:rsidRPr="00315EAD">
        <w:rPr>
          <w:rFonts w:ascii="Times New Roman" w:hAnsi="Times New Roman"/>
          <w:sz w:val="24"/>
          <w:szCs w:val="24"/>
        </w:rPr>
        <w:t xml:space="preserve"> that</w:t>
      </w:r>
      <w:r w:rsidR="00166F01" w:rsidRPr="00315EAD">
        <w:rPr>
          <w:rFonts w:ascii="Times New Roman" w:hAnsi="Times New Roman"/>
          <w:sz w:val="24"/>
          <w:szCs w:val="24"/>
        </w:rPr>
        <w:t xml:space="preserve"> we observe during deflations has some non-fundamental </w:t>
      </w:r>
      <w:r w:rsidR="003929D4" w:rsidRPr="00315EAD">
        <w:rPr>
          <w:rFonts w:ascii="Times New Roman" w:hAnsi="Times New Roman"/>
          <w:sz w:val="24"/>
          <w:szCs w:val="24"/>
        </w:rPr>
        <w:t>features</w:t>
      </w:r>
      <w:r w:rsidR="00166F01" w:rsidRPr="00315EAD">
        <w:rPr>
          <w:rFonts w:ascii="Times New Roman" w:hAnsi="Times New Roman"/>
          <w:sz w:val="24"/>
          <w:szCs w:val="24"/>
        </w:rPr>
        <w:t xml:space="preserve">, as also longer-term forecasts shift down. </w:t>
      </w:r>
    </w:p>
    <w:p w14:paraId="3968EE8E" w14:textId="64BE63EB" w:rsidR="00C867CE" w:rsidRPr="00315EAD" w:rsidRDefault="00E36D38">
      <w:pPr>
        <w:pStyle w:val="FirstParagraph"/>
        <w:spacing w:line="480" w:lineRule="auto"/>
        <w:ind w:firstLine="397"/>
        <w:rPr>
          <w:rFonts w:ascii="Times New Roman" w:hAnsi="Times New Roman"/>
          <w:sz w:val="24"/>
          <w:szCs w:val="24"/>
        </w:rPr>
      </w:pPr>
      <w:r w:rsidRPr="00315EAD">
        <w:rPr>
          <w:rFonts w:ascii="Times New Roman" w:hAnsi="Times New Roman"/>
          <w:sz w:val="24"/>
          <w:szCs w:val="24"/>
        </w:rPr>
        <w:t>A</w:t>
      </w:r>
      <w:r w:rsidR="00166F01" w:rsidRPr="00315EAD">
        <w:rPr>
          <w:rFonts w:ascii="Times New Roman" w:hAnsi="Times New Roman"/>
          <w:sz w:val="24"/>
          <w:szCs w:val="24"/>
        </w:rPr>
        <w:t xml:space="preserve"> credible inflation targeting regime may help to avoid a situation where agents hesitate between multiple equilibria. Indeed, we find that greater disagreement during deflations, and the downward shift in the left tail, obtain only in economies and during periods when the central bank is not an inflation </w:t>
      </w:r>
      <w:proofErr w:type="spellStart"/>
      <w:r w:rsidR="00166F01" w:rsidRPr="00315EAD">
        <w:rPr>
          <w:rFonts w:ascii="Times New Roman" w:hAnsi="Times New Roman"/>
          <w:sz w:val="24"/>
          <w:szCs w:val="24"/>
        </w:rPr>
        <w:t>targeter</w:t>
      </w:r>
      <w:proofErr w:type="spellEnd"/>
      <w:r w:rsidR="00166F01" w:rsidRPr="00315EAD">
        <w:rPr>
          <w:rFonts w:ascii="Times New Roman" w:hAnsi="Times New Roman"/>
          <w:sz w:val="24"/>
          <w:szCs w:val="24"/>
        </w:rPr>
        <w:t xml:space="preserve">. By contrast, in inflation targeting regimes, which arguably provide a stronger nominal anchor, we do not find evidence of greater inflation forecast disagreement </w:t>
      </w:r>
      <w:r w:rsidR="001245A1" w:rsidRPr="00315EAD">
        <w:rPr>
          <w:rFonts w:ascii="Times New Roman" w:hAnsi="Times New Roman"/>
          <w:sz w:val="24"/>
          <w:szCs w:val="24"/>
        </w:rPr>
        <w:t xml:space="preserve">and shifts in the left tail </w:t>
      </w:r>
      <w:r w:rsidR="00166F01" w:rsidRPr="00315EAD">
        <w:rPr>
          <w:rFonts w:ascii="Times New Roman" w:hAnsi="Times New Roman"/>
          <w:sz w:val="24"/>
          <w:szCs w:val="24"/>
        </w:rPr>
        <w:t>during deflations.</w:t>
      </w:r>
      <w:r w:rsidR="00166F01" w:rsidRPr="00315EAD">
        <w:rPr>
          <w:rStyle w:val="FootnoteReference"/>
          <w:sz w:val="24"/>
          <w:szCs w:val="24"/>
        </w:rPr>
        <w:footnoteReference w:id="6"/>
      </w:r>
    </w:p>
    <w:p w14:paraId="0DB37AA9" w14:textId="3F378D8B" w:rsidR="00C055C9" w:rsidRDefault="00E36D38">
      <w:pPr>
        <w:pStyle w:val="FirstParagraph"/>
        <w:spacing w:line="480" w:lineRule="auto"/>
        <w:ind w:firstLine="397"/>
        <w:rPr>
          <w:rFonts w:ascii="Times New Roman" w:hAnsi="Times New Roman"/>
          <w:sz w:val="24"/>
          <w:szCs w:val="24"/>
        </w:rPr>
      </w:pPr>
      <w:r w:rsidRPr="00315EAD">
        <w:rPr>
          <w:rFonts w:ascii="Times New Roman" w:hAnsi="Times New Roman"/>
          <w:sz w:val="24"/>
          <w:szCs w:val="24"/>
        </w:rPr>
        <w:t xml:space="preserve">Fundamental factors may also </w:t>
      </w:r>
      <w:r w:rsidR="00FE7916" w:rsidRPr="00315EAD">
        <w:rPr>
          <w:rFonts w:ascii="Times New Roman" w:hAnsi="Times New Roman"/>
          <w:sz w:val="24"/>
          <w:szCs w:val="24"/>
        </w:rPr>
        <w:t xml:space="preserve">drive heterogeneous expectations </w:t>
      </w:r>
      <w:r w:rsidRPr="00315EAD">
        <w:rPr>
          <w:rFonts w:ascii="Times New Roman" w:hAnsi="Times New Roman"/>
          <w:sz w:val="24"/>
          <w:szCs w:val="24"/>
        </w:rPr>
        <w:t xml:space="preserve">across forecasters. </w:t>
      </w:r>
      <w:r w:rsidR="00366137" w:rsidRPr="00315EAD">
        <w:rPr>
          <w:rFonts w:ascii="Times New Roman" w:hAnsi="Times New Roman"/>
          <w:sz w:val="24"/>
          <w:szCs w:val="24"/>
        </w:rPr>
        <w:t>A</w:t>
      </w:r>
      <w:r w:rsidR="00A90D2C" w:rsidRPr="00315EAD">
        <w:rPr>
          <w:rFonts w:ascii="Times New Roman" w:hAnsi="Times New Roman"/>
          <w:sz w:val="24"/>
          <w:szCs w:val="24"/>
        </w:rPr>
        <w:t xml:space="preserve">ndrade et al </w:t>
      </w:r>
      <w:r w:rsidR="00C56707" w:rsidRPr="00315EAD">
        <w:rPr>
          <w:rFonts w:ascii="Times New Roman" w:hAnsi="Times New Roman"/>
          <w:sz w:val="24"/>
          <w:szCs w:val="24"/>
        </w:rPr>
        <w:t>(201</w:t>
      </w:r>
      <w:r w:rsidR="00916E6A" w:rsidRPr="00315EAD">
        <w:rPr>
          <w:rFonts w:ascii="Times New Roman" w:hAnsi="Times New Roman"/>
          <w:sz w:val="24"/>
          <w:szCs w:val="24"/>
        </w:rPr>
        <w:t>9</w:t>
      </w:r>
      <w:r w:rsidR="00C56707" w:rsidRPr="00315EAD">
        <w:rPr>
          <w:rFonts w:ascii="Times New Roman" w:hAnsi="Times New Roman"/>
          <w:sz w:val="24"/>
          <w:szCs w:val="24"/>
        </w:rPr>
        <w:t xml:space="preserve">) </w:t>
      </w:r>
      <w:r w:rsidRPr="00315EAD">
        <w:rPr>
          <w:rFonts w:ascii="Times New Roman" w:hAnsi="Times New Roman"/>
          <w:sz w:val="24"/>
          <w:szCs w:val="24"/>
        </w:rPr>
        <w:t xml:space="preserve">provides one </w:t>
      </w:r>
      <w:r w:rsidR="00315EAD">
        <w:rPr>
          <w:rFonts w:ascii="Times New Roman" w:hAnsi="Times New Roman"/>
          <w:sz w:val="24"/>
          <w:szCs w:val="24"/>
        </w:rPr>
        <w:t xml:space="preserve">such </w:t>
      </w:r>
      <w:r w:rsidRPr="00315EAD">
        <w:rPr>
          <w:rFonts w:ascii="Times New Roman" w:hAnsi="Times New Roman"/>
          <w:sz w:val="24"/>
          <w:szCs w:val="24"/>
        </w:rPr>
        <w:t>mechanism</w:t>
      </w:r>
      <w:r w:rsidR="00315EAD">
        <w:rPr>
          <w:rFonts w:ascii="Times New Roman" w:hAnsi="Times New Roman"/>
          <w:sz w:val="24"/>
          <w:szCs w:val="24"/>
        </w:rPr>
        <w:t>,</w:t>
      </w:r>
      <w:r w:rsidRPr="00315EAD">
        <w:rPr>
          <w:rFonts w:ascii="Times New Roman" w:hAnsi="Times New Roman"/>
          <w:sz w:val="24"/>
          <w:szCs w:val="24"/>
        </w:rPr>
        <w:t xml:space="preserve"> where </w:t>
      </w:r>
      <w:r w:rsidR="00C56707" w:rsidRPr="00315EAD">
        <w:rPr>
          <w:rFonts w:ascii="Times New Roman" w:hAnsi="Times New Roman"/>
          <w:sz w:val="24"/>
          <w:szCs w:val="24"/>
        </w:rPr>
        <w:t>disagreement about the information content of central bank communication</w:t>
      </w:r>
      <w:r w:rsidR="00A90D2C" w:rsidRPr="00315EAD">
        <w:rPr>
          <w:rFonts w:ascii="Times New Roman" w:hAnsi="Times New Roman"/>
          <w:sz w:val="24"/>
          <w:szCs w:val="24"/>
        </w:rPr>
        <w:t xml:space="preserve"> at the </w:t>
      </w:r>
      <w:r w:rsidR="00041342" w:rsidRPr="00315EAD">
        <w:rPr>
          <w:rFonts w:ascii="Times New Roman" w:hAnsi="Times New Roman"/>
          <w:sz w:val="24"/>
          <w:szCs w:val="24"/>
        </w:rPr>
        <w:t>zero</w:t>
      </w:r>
      <w:r w:rsidR="00C56707" w:rsidRPr="00315EAD">
        <w:rPr>
          <w:rFonts w:ascii="Times New Roman" w:hAnsi="Times New Roman"/>
          <w:sz w:val="24"/>
          <w:szCs w:val="24"/>
        </w:rPr>
        <w:t xml:space="preserve"> lower bound</w:t>
      </w:r>
      <w:r w:rsidR="00041342" w:rsidRPr="00315EAD">
        <w:rPr>
          <w:rFonts w:ascii="Times New Roman" w:hAnsi="Times New Roman"/>
          <w:sz w:val="24"/>
          <w:szCs w:val="24"/>
        </w:rPr>
        <w:t xml:space="preserve"> (ZLB)</w:t>
      </w:r>
      <w:r w:rsidR="00C56707" w:rsidRPr="00315EAD">
        <w:rPr>
          <w:rFonts w:ascii="Times New Roman" w:hAnsi="Times New Roman"/>
          <w:sz w:val="24"/>
          <w:szCs w:val="24"/>
        </w:rPr>
        <w:t xml:space="preserve"> of interest rates</w:t>
      </w:r>
      <w:r w:rsidR="00A90D2C" w:rsidRPr="00315EAD">
        <w:rPr>
          <w:rFonts w:ascii="Times New Roman" w:hAnsi="Times New Roman"/>
          <w:sz w:val="24"/>
          <w:szCs w:val="24"/>
        </w:rPr>
        <w:t xml:space="preserve"> </w:t>
      </w:r>
      <w:r w:rsidR="006921EE" w:rsidRPr="00315EAD">
        <w:rPr>
          <w:rFonts w:ascii="Times New Roman" w:hAnsi="Times New Roman"/>
          <w:sz w:val="24"/>
          <w:szCs w:val="24"/>
        </w:rPr>
        <w:t>create</w:t>
      </w:r>
      <w:r w:rsidRPr="00315EAD">
        <w:rPr>
          <w:rFonts w:ascii="Times New Roman" w:hAnsi="Times New Roman"/>
          <w:sz w:val="24"/>
          <w:szCs w:val="24"/>
        </w:rPr>
        <w:t>s</w:t>
      </w:r>
      <w:r w:rsidR="00A90D2C" w:rsidRPr="00315EAD">
        <w:rPr>
          <w:rFonts w:ascii="Times New Roman" w:hAnsi="Times New Roman"/>
          <w:sz w:val="24"/>
          <w:szCs w:val="24"/>
        </w:rPr>
        <w:t xml:space="preserve"> disagreement about </w:t>
      </w:r>
      <w:r w:rsidR="00C56707" w:rsidRPr="00315EAD">
        <w:rPr>
          <w:rFonts w:ascii="Times New Roman" w:hAnsi="Times New Roman"/>
          <w:sz w:val="24"/>
          <w:szCs w:val="24"/>
        </w:rPr>
        <w:t xml:space="preserve">the path of future </w:t>
      </w:r>
      <w:r w:rsidR="00A90D2C" w:rsidRPr="00315EAD">
        <w:rPr>
          <w:rFonts w:ascii="Times New Roman" w:hAnsi="Times New Roman"/>
          <w:sz w:val="24"/>
          <w:szCs w:val="24"/>
        </w:rPr>
        <w:t>output</w:t>
      </w:r>
      <w:r w:rsidR="00C56707" w:rsidRPr="00315EAD">
        <w:rPr>
          <w:rFonts w:ascii="Times New Roman" w:hAnsi="Times New Roman"/>
          <w:sz w:val="24"/>
          <w:szCs w:val="24"/>
        </w:rPr>
        <w:t xml:space="preserve"> and hence inflation.</w:t>
      </w:r>
      <w:r w:rsidR="002F2EB2" w:rsidRPr="00315EAD">
        <w:rPr>
          <w:rFonts w:ascii="Times New Roman" w:hAnsi="Times New Roman"/>
          <w:sz w:val="24"/>
          <w:szCs w:val="24"/>
        </w:rPr>
        <w:t xml:space="preserve"> </w:t>
      </w:r>
      <w:r w:rsidRPr="00315EAD">
        <w:rPr>
          <w:rFonts w:ascii="Times New Roman" w:hAnsi="Times New Roman"/>
          <w:sz w:val="24"/>
          <w:szCs w:val="24"/>
        </w:rPr>
        <w:t>Somewhat in contrast to this fundamental source of forecaster disagreement</w:t>
      </w:r>
      <w:r w:rsidR="0042315A" w:rsidRPr="00315EAD">
        <w:rPr>
          <w:rFonts w:ascii="Times New Roman" w:hAnsi="Times New Roman"/>
          <w:sz w:val="24"/>
          <w:szCs w:val="24"/>
        </w:rPr>
        <w:t>, we find that deflations are associated with greater inflation forecast disagreement</w:t>
      </w:r>
      <w:r w:rsidR="00C055C9" w:rsidRPr="00315EAD">
        <w:rPr>
          <w:rFonts w:ascii="Times New Roman" w:hAnsi="Times New Roman"/>
          <w:sz w:val="24"/>
          <w:szCs w:val="24"/>
        </w:rPr>
        <w:t xml:space="preserve"> </w:t>
      </w:r>
      <w:r w:rsidR="00070E9C" w:rsidRPr="00315EAD">
        <w:rPr>
          <w:rFonts w:ascii="Times New Roman" w:hAnsi="Times New Roman"/>
          <w:sz w:val="24"/>
          <w:szCs w:val="24"/>
        </w:rPr>
        <w:t xml:space="preserve">also </w:t>
      </w:r>
      <w:r w:rsidR="0042315A" w:rsidRPr="00315EAD">
        <w:rPr>
          <w:rFonts w:ascii="Times New Roman" w:hAnsi="Times New Roman"/>
          <w:sz w:val="24"/>
          <w:szCs w:val="24"/>
        </w:rPr>
        <w:t>when interest rates are away from the ZLB.</w:t>
      </w:r>
      <w:r w:rsidR="0042315A">
        <w:rPr>
          <w:rFonts w:ascii="Times New Roman" w:hAnsi="Times New Roman"/>
          <w:sz w:val="24"/>
          <w:szCs w:val="24"/>
        </w:rPr>
        <w:t xml:space="preserve"> </w:t>
      </w:r>
    </w:p>
    <w:p w14:paraId="31936E75" w14:textId="7352D7E0" w:rsidR="00E516E8" w:rsidRDefault="007B0B5B" w:rsidP="007B0B5B">
      <w:pPr>
        <w:pStyle w:val="FirstParagraph"/>
        <w:spacing w:line="480" w:lineRule="auto"/>
        <w:ind w:firstLine="397"/>
        <w:rPr>
          <w:rFonts w:ascii="Times New Roman" w:hAnsi="Times New Roman"/>
          <w:sz w:val="24"/>
          <w:szCs w:val="24"/>
        </w:rPr>
      </w:pPr>
      <w:r>
        <w:rPr>
          <w:rFonts w:ascii="Times New Roman" w:hAnsi="Times New Roman"/>
          <w:sz w:val="24"/>
          <w:szCs w:val="24"/>
        </w:rPr>
        <w:t>W</w:t>
      </w:r>
      <w:r w:rsidRPr="00731C8B">
        <w:rPr>
          <w:rFonts w:ascii="Times New Roman" w:hAnsi="Times New Roman"/>
          <w:sz w:val="24"/>
          <w:szCs w:val="24"/>
        </w:rPr>
        <w:t>e</w:t>
      </w:r>
      <w:r>
        <w:rPr>
          <w:rFonts w:ascii="Times New Roman" w:hAnsi="Times New Roman"/>
          <w:sz w:val="24"/>
          <w:szCs w:val="24"/>
        </w:rPr>
        <w:t xml:space="preserve"> </w:t>
      </w:r>
      <w:r w:rsidRPr="00731C8B">
        <w:rPr>
          <w:rFonts w:ascii="Times New Roman" w:hAnsi="Times New Roman"/>
          <w:sz w:val="24"/>
          <w:szCs w:val="24"/>
        </w:rPr>
        <w:t xml:space="preserve">investigate the macroeconomic impact of </w:t>
      </w:r>
      <w:r w:rsidR="002839C9">
        <w:rPr>
          <w:rFonts w:ascii="Times New Roman" w:hAnsi="Times New Roman"/>
          <w:sz w:val="24"/>
          <w:szCs w:val="24"/>
        </w:rPr>
        <w:t>heterogeneous expectations</w:t>
      </w:r>
      <w:r>
        <w:rPr>
          <w:rFonts w:ascii="Times New Roman" w:hAnsi="Times New Roman"/>
          <w:sz w:val="24"/>
          <w:szCs w:val="24"/>
        </w:rPr>
        <w:t xml:space="preserve"> in</w:t>
      </w:r>
      <w:r w:rsidRPr="00731C8B">
        <w:rPr>
          <w:rFonts w:ascii="Times New Roman" w:hAnsi="Times New Roman"/>
          <w:sz w:val="24"/>
          <w:szCs w:val="24"/>
        </w:rPr>
        <w:t xml:space="preserve"> a panel vector autoregressive </w:t>
      </w:r>
      <w:r>
        <w:rPr>
          <w:rFonts w:ascii="Times New Roman" w:hAnsi="Times New Roman"/>
          <w:sz w:val="24"/>
          <w:szCs w:val="24"/>
        </w:rPr>
        <w:t xml:space="preserve">(VAR) </w:t>
      </w:r>
      <w:r w:rsidRPr="00731C8B">
        <w:rPr>
          <w:rFonts w:ascii="Times New Roman" w:hAnsi="Times New Roman"/>
          <w:sz w:val="24"/>
          <w:szCs w:val="24"/>
        </w:rPr>
        <w:t>model</w:t>
      </w:r>
      <w:r w:rsidR="00D313F6">
        <w:rPr>
          <w:rFonts w:ascii="Times New Roman" w:hAnsi="Times New Roman"/>
          <w:sz w:val="24"/>
          <w:szCs w:val="24"/>
        </w:rPr>
        <w:t xml:space="preserve">. </w:t>
      </w:r>
      <w:r w:rsidR="00DD3DC1">
        <w:rPr>
          <w:rFonts w:ascii="Times New Roman" w:hAnsi="Times New Roman"/>
          <w:sz w:val="24"/>
          <w:szCs w:val="24"/>
        </w:rPr>
        <w:t>In our model,</w:t>
      </w:r>
      <w:r w:rsidR="00E2110E">
        <w:rPr>
          <w:rFonts w:ascii="Times New Roman" w:hAnsi="Times New Roman"/>
          <w:sz w:val="24"/>
          <w:szCs w:val="24"/>
        </w:rPr>
        <w:t xml:space="preserve"> disagreement about inflation is </w:t>
      </w:r>
      <w:r w:rsidR="008C4CE8">
        <w:rPr>
          <w:rFonts w:ascii="Times New Roman" w:hAnsi="Times New Roman"/>
          <w:sz w:val="24"/>
          <w:szCs w:val="24"/>
        </w:rPr>
        <w:t>contemporan</w:t>
      </w:r>
      <w:r w:rsidR="00CD67E3">
        <w:rPr>
          <w:rFonts w:ascii="Times New Roman" w:hAnsi="Times New Roman"/>
          <w:sz w:val="24"/>
          <w:szCs w:val="24"/>
        </w:rPr>
        <w:t>e</w:t>
      </w:r>
      <w:r w:rsidR="008C4CE8">
        <w:rPr>
          <w:rFonts w:ascii="Times New Roman" w:hAnsi="Times New Roman"/>
          <w:sz w:val="24"/>
          <w:szCs w:val="24"/>
        </w:rPr>
        <w:t>ou</w:t>
      </w:r>
      <w:r w:rsidR="00CD67E3">
        <w:rPr>
          <w:rFonts w:ascii="Times New Roman" w:hAnsi="Times New Roman"/>
          <w:sz w:val="24"/>
          <w:szCs w:val="24"/>
        </w:rPr>
        <w:t>s</w:t>
      </w:r>
      <w:r w:rsidR="008C4CE8">
        <w:rPr>
          <w:rFonts w:ascii="Times New Roman" w:hAnsi="Times New Roman"/>
          <w:sz w:val="24"/>
          <w:szCs w:val="24"/>
        </w:rPr>
        <w:t xml:space="preserve">ly </w:t>
      </w:r>
      <w:r w:rsidR="002C28D3">
        <w:rPr>
          <w:rFonts w:ascii="Times New Roman" w:hAnsi="Times New Roman"/>
          <w:sz w:val="24"/>
          <w:szCs w:val="24"/>
        </w:rPr>
        <w:lastRenderedPageBreak/>
        <w:t>exogenous</w:t>
      </w:r>
      <w:r w:rsidR="00E2110E">
        <w:rPr>
          <w:rFonts w:ascii="Times New Roman" w:hAnsi="Times New Roman"/>
          <w:sz w:val="24"/>
          <w:szCs w:val="24"/>
        </w:rPr>
        <w:t xml:space="preserve"> to the real economy </w:t>
      </w:r>
      <w:r w:rsidR="002C28D3">
        <w:rPr>
          <w:rFonts w:ascii="Times New Roman" w:hAnsi="Times New Roman"/>
          <w:sz w:val="24"/>
          <w:szCs w:val="24"/>
        </w:rPr>
        <w:t xml:space="preserve">variables </w:t>
      </w:r>
      <w:r w:rsidR="00E2110E">
        <w:rPr>
          <w:rFonts w:ascii="Times New Roman" w:hAnsi="Times New Roman"/>
          <w:sz w:val="24"/>
          <w:szCs w:val="24"/>
        </w:rPr>
        <w:t>and, in that sense, non-fundamental in nature.</w:t>
      </w:r>
      <w:r w:rsidR="00CD67E3">
        <w:rPr>
          <w:rStyle w:val="FootnoteReference"/>
          <w:sz w:val="24"/>
          <w:szCs w:val="24"/>
        </w:rPr>
        <w:footnoteReference w:id="7"/>
      </w:r>
      <w:r w:rsidR="00E2110E">
        <w:rPr>
          <w:rFonts w:ascii="Times New Roman" w:hAnsi="Times New Roman"/>
          <w:sz w:val="24"/>
          <w:szCs w:val="24"/>
        </w:rPr>
        <w:t xml:space="preserve"> </w:t>
      </w:r>
      <w:r w:rsidR="00B142CE">
        <w:rPr>
          <w:rFonts w:ascii="Times New Roman" w:hAnsi="Times New Roman"/>
          <w:sz w:val="24"/>
          <w:szCs w:val="24"/>
        </w:rPr>
        <w:t>W</w:t>
      </w:r>
      <w:r w:rsidR="00E2110E">
        <w:rPr>
          <w:rFonts w:ascii="Times New Roman" w:hAnsi="Times New Roman"/>
          <w:sz w:val="24"/>
          <w:szCs w:val="24"/>
        </w:rPr>
        <w:t xml:space="preserve">e </w:t>
      </w:r>
      <w:r>
        <w:rPr>
          <w:rFonts w:ascii="Times New Roman" w:hAnsi="Times New Roman"/>
          <w:sz w:val="24"/>
          <w:szCs w:val="24"/>
        </w:rPr>
        <w:t>identify a</w:t>
      </w:r>
      <w:r w:rsidR="003D2E42">
        <w:rPr>
          <w:rFonts w:ascii="Times New Roman" w:hAnsi="Times New Roman"/>
          <w:sz w:val="24"/>
          <w:szCs w:val="24"/>
        </w:rPr>
        <w:t xml:space="preserve"> </w:t>
      </w:r>
      <w:r>
        <w:rPr>
          <w:rFonts w:ascii="Times New Roman" w:hAnsi="Times New Roman"/>
          <w:sz w:val="24"/>
          <w:szCs w:val="24"/>
        </w:rPr>
        <w:t>shock to the left-hand tail of the inflation forecast distribution</w:t>
      </w:r>
      <w:r w:rsidR="00743A90">
        <w:rPr>
          <w:rFonts w:ascii="Times New Roman" w:hAnsi="Times New Roman"/>
          <w:sz w:val="24"/>
          <w:szCs w:val="24"/>
        </w:rPr>
        <w:t xml:space="preserve">, </w:t>
      </w:r>
      <w:r w:rsidR="00D313F6">
        <w:rPr>
          <w:rFonts w:ascii="Times New Roman" w:hAnsi="Times New Roman"/>
          <w:sz w:val="24"/>
          <w:szCs w:val="24"/>
        </w:rPr>
        <w:t xml:space="preserve">shown earlier to contribute to the rise in forecast </w:t>
      </w:r>
      <w:r w:rsidR="00743A90">
        <w:rPr>
          <w:rFonts w:ascii="Times New Roman" w:hAnsi="Times New Roman"/>
          <w:sz w:val="24"/>
          <w:szCs w:val="24"/>
        </w:rPr>
        <w:t>disagreement during deflations</w:t>
      </w:r>
      <w:r w:rsidR="00D313F6">
        <w:rPr>
          <w:rFonts w:ascii="Times New Roman" w:hAnsi="Times New Roman"/>
          <w:sz w:val="24"/>
          <w:szCs w:val="24"/>
        </w:rPr>
        <w:t>.</w:t>
      </w:r>
      <w:r>
        <w:rPr>
          <w:rFonts w:ascii="Times New Roman" w:hAnsi="Times New Roman"/>
          <w:sz w:val="24"/>
          <w:szCs w:val="24"/>
        </w:rPr>
        <w:t xml:space="preserve"> The estimated impulse responses show </w:t>
      </w:r>
      <w:r w:rsidRPr="00731C8B">
        <w:rPr>
          <w:rFonts w:ascii="Times New Roman" w:hAnsi="Times New Roman"/>
          <w:sz w:val="24"/>
          <w:szCs w:val="24"/>
        </w:rPr>
        <w:t xml:space="preserve">that </w:t>
      </w:r>
      <w:r>
        <w:rPr>
          <w:rFonts w:ascii="Times New Roman" w:hAnsi="Times New Roman"/>
          <w:sz w:val="24"/>
          <w:szCs w:val="24"/>
        </w:rPr>
        <w:t>such shocks</w:t>
      </w:r>
      <w:r w:rsidRPr="00731C8B">
        <w:rPr>
          <w:rFonts w:ascii="Times New Roman" w:hAnsi="Times New Roman"/>
          <w:sz w:val="24"/>
          <w:szCs w:val="24"/>
        </w:rPr>
        <w:t xml:space="preserve"> lead to greater disagreement over f</w:t>
      </w:r>
      <w:r>
        <w:rPr>
          <w:rFonts w:ascii="Times New Roman" w:hAnsi="Times New Roman"/>
          <w:sz w:val="24"/>
          <w:szCs w:val="24"/>
        </w:rPr>
        <w:t>orecasts for GDP growth</w:t>
      </w:r>
      <w:r w:rsidR="00727E9A">
        <w:rPr>
          <w:rFonts w:ascii="Times New Roman" w:hAnsi="Times New Roman"/>
          <w:sz w:val="24"/>
          <w:szCs w:val="24"/>
        </w:rPr>
        <w:t xml:space="preserve"> and </w:t>
      </w:r>
      <w:r w:rsidRPr="00731C8B">
        <w:rPr>
          <w:rFonts w:ascii="Times New Roman" w:hAnsi="Times New Roman"/>
          <w:sz w:val="24"/>
          <w:szCs w:val="24"/>
        </w:rPr>
        <w:t xml:space="preserve">lower output gap and inflation </w:t>
      </w:r>
      <w:r>
        <w:rPr>
          <w:rFonts w:ascii="Times New Roman" w:hAnsi="Times New Roman"/>
          <w:sz w:val="24"/>
          <w:szCs w:val="24"/>
        </w:rPr>
        <w:t xml:space="preserve">outcomes, suggesting that </w:t>
      </w:r>
      <w:r w:rsidR="000759A3">
        <w:rPr>
          <w:rFonts w:ascii="Times New Roman" w:hAnsi="Times New Roman"/>
          <w:sz w:val="24"/>
          <w:szCs w:val="24"/>
        </w:rPr>
        <w:t xml:space="preserve">downward </w:t>
      </w:r>
      <w:r>
        <w:rPr>
          <w:rFonts w:ascii="Times New Roman" w:hAnsi="Times New Roman"/>
          <w:sz w:val="24"/>
          <w:szCs w:val="24"/>
        </w:rPr>
        <w:t xml:space="preserve">shifts in the lower tail of inflation expectations </w:t>
      </w:r>
      <w:r w:rsidRPr="00731C8B">
        <w:rPr>
          <w:rFonts w:ascii="Times New Roman" w:hAnsi="Times New Roman"/>
          <w:sz w:val="24"/>
          <w:szCs w:val="24"/>
        </w:rPr>
        <w:t xml:space="preserve">have </w:t>
      </w:r>
      <w:r w:rsidR="0057381E">
        <w:rPr>
          <w:rFonts w:ascii="Times New Roman" w:hAnsi="Times New Roman"/>
          <w:sz w:val="24"/>
          <w:szCs w:val="24"/>
        </w:rPr>
        <w:t xml:space="preserve">adverse </w:t>
      </w:r>
      <w:r w:rsidRPr="00E87961">
        <w:rPr>
          <w:rFonts w:ascii="Times New Roman" w:hAnsi="Times New Roman"/>
          <w:sz w:val="24"/>
          <w:szCs w:val="24"/>
        </w:rPr>
        <w:t>consequences for economic activity.</w:t>
      </w:r>
      <w:r w:rsidR="00E516E8">
        <w:rPr>
          <w:rFonts w:ascii="Times New Roman" w:hAnsi="Times New Roman"/>
          <w:sz w:val="24"/>
          <w:szCs w:val="24"/>
        </w:rPr>
        <w:t xml:space="preserve"> </w:t>
      </w:r>
    </w:p>
    <w:p w14:paraId="75D7FDB3" w14:textId="2BE92E89" w:rsidR="007B0B5B" w:rsidRPr="00E87961" w:rsidRDefault="00E516E8" w:rsidP="007B0B5B">
      <w:pPr>
        <w:pStyle w:val="FirstParagraph"/>
        <w:spacing w:line="480" w:lineRule="auto"/>
        <w:ind w:firstLine="397"/>
        <w:rPr>
          <w:rFonts w:ascii="Times New Roman" w:hAnsi="Times New Roman"/>
          <w:sz w:val="24"/>
          <w:szCs w:val="24"/>
        </w:rPr>
      </w:pPr>
      <w:r>
        <w:rPr>
          <w:rFonts w:ascii="Times New Roman" w:hAnsi="Times New Roman"/>
          <w:sz w:val="24"/>
          <w:szCs w:val="24"/>
        </w:rPr>
        <w:t xml:space="preserve">These results complement those of </w:t>
      </w:r>
      <w:proofErr w:type="spellStart"/>
      <w:r>
        <w:rPr>
          <w:rFonts w:ascii="Times New Roman" w:hAnsi="Times New Roman"/>
          <w:sz w:val="24"/>
          <w:szCs w:val="24"/>
        </w:rPr>
        <w:t>Ehling</w:t>
      </w:r>
      <w:proofErr w:type="spellEnd"/>
      <w:r>
        <w:rPr>
          <w:rFonts w:ascii="Times New Roman" w:hAnsi="Times New Roman"/>
          <w:sz w:val="24"/>
          <w:szCs w:val="24"/>
        </w:rPr>
        <w:t xml:space="preserve"> et al (2018) who examine the impact of inflation disagreement </w:t>
      </w:r>
      <w:r w:rsidR="0060202A">
        <w:rPr>
          <w:rFonts w:ascii="Times New Roman" w:hAnsi="Times New Roman"/>
          <w:sz w:val="24"/>
          <w:szCs w:val="24"/>
        </w:rPr>
        <w:t>on real and nominal bond yields and fin</w:t>
      </w:r>
      <w:r w:rsidR="007A564C">
        <w:rPr>
          <w:rFonts w:ascii="Times New Roman" w:hAnsi="Times New Roman"/>
          <w:sz w:val="24"/>
          <w:szCs w:val="24"/>
        </w:rPr>
        <w:t>d that disagreement</w:t>
      </w:r>
      <w:r w:rsidR="0060202A">
        <w:rPr>
          <w:rFonts w:ascii="Times New Roman" w:hAnsi="Times New Roman"/>
          <w:sz w:val="24"/>
          <w:szCs w:val="24"/>
        </w:rPr>
        <w:t xml:space="preserve"> has </w:t>
      </w:r>
      <w:r w:rsidR="00E96575">
        <w:rPr>
          <w:rFonts w:ascii="Times New Roman" w:hAnsi="Times New Roman"/>
          <w:sz w:val="24"/>
          <w:szCs w:val="24"/>
        </w:rPr>
        <w:t xml:space="preserve">effects on the real </w:t>
      </w:r>
      <w:r w:rsidR="007A564C">
        <w:rPr>
          <w:rFonts w:ascii="Times New Roman" w:hAnsi="Times New Roman"/>
          <w:sz w:val="24"/>
          <w:szCs w:val="24"/>
        </w:rPr>
        <w:t>economy</w:t>
      </w:r>
      <w:r w:rsidR="00214795">
        <w:rPr>
          <w:rFonts w:ascii="Times New Roman" w:hAnsi="Times New Roman"/>
          <w:sz w:val="24"/>
          <w:szCs w:val="24"/>
        </w:rPr>
        <w:t>.</w:t>
      </w:r>
      <w:r>
        <w:rPr>
          <w:rFonts w:ascii="Times New Roman" w:hAnsi="Times New Roman"/>
          <w:sz w:val="24"/>
          <w:szCs w:val="24"/>
        </w:rPr>
        <w:t xml:space="preserve"> </w:t>
      </w:r>
      <w:r w:rsidR="00125862">
        <w:rPr>
          <w:rFonts w:ascii="Times New Roman" w:hAnsi="Times New Roman"/>
          <w:sz w:val="24"/>
          <w:szCs w:val="24"/>
        </w:rPr>
        <w:t xml:space="preserve">However, </w:t>
      </w:r>
      <w:r w:rsidR="00D313F6">
        <w:rPr>
          <w:rFonts w:ascii="Times New Roman" w:hAnsi="Times New Roman"/>
          <w:sz w:val="24"/>
          <w:szCs w:val="24"/>
        </w:rPr>
        <w:t xml:space="preserve">and </w:t>
      </w:r>
      <w:r w:rsidR="00125862">
        <w:rPr>
          <w:rFonts w:ascii="Times New Roman" w:hAnsi="Times New Roman"/>
          <w:sz w:val="24"/>
          <w:szCs w:val="24"/>
        </w:rPr>
        <w:t xml:space="preserve">in </w:t>
      </w:r>
      <w:r>
        <w:rPr>
          <w:rFonts w:ascii="Times New Roman" w:hAnsi="Times New Roman"/>
          <w:sz w:val="24"/>
          <w:szCs w:val="24"/>
        </w:rPr>
        <w:t xml:space="preserve">contrast to </w:t>
      </w:r>
      <w:proofErr w:type="spellStart"/>
      <w:r>
        <w:rPr>
          <w:rFonts w:ascii="Times New Roman" w:hAnsi="Times New Roman"/>
          <w:sz w:val="24"/>
          <w:szCs w:val="24"/>
        </w:rPr>
        <w:t>Ehling</w:t>
      </w:r>
      <w:proofErr w:type="spellEnd"/>
      <w:r>
        <w:rPr>
          <w:rFonts w:ascii="Times New Roman" w:hAnsi="Times New Roman"/>
          <w:sz w:val="24"/>
          <w:szCs w:val="24"/>
        </w:rPr>
        <w:t xml:space="preserve"> et al (2018)</w:t>
      </w:r>
      <w:r w:rsidR="00651D59">
        <w:rPr>
          <w:rFonts w:ascii="Times New Roman" w:hAnsi="Times New Roman"/>
          <w:sz w:val="24"/>
          <w:szCs w:val="24"/>
        </w:rPr>
        <w:t xml:space="preserve"> </w:t>
      </w:r>
      <w:r w:rsidR="007249EA">
        <w:rPr>
          <w:rFonts w:ascii="Times New Roman" w:hAnsi="Times New Roman"/>
          <w:sz w:val="24"/>
          <w:szCs w:val="24"/>
        </w:rPr>
        <w:t xml:space="preserve">where inflation disagreement is associated with investors’ expectations </w:t>
      </w:r>
      <w:r w:rsidR="00D95E43">
        <w:rPr>
          <w:rFonts w:ascii="Times New Roman" w:hAnsi="Times New Roman"/>
          <w:sz w:val="24"/>
          <w:szCs w:val="24"/>
        </w:rPr>
        <w:t xml:space="preserve">of </w:t>
      </w:r>
      <w:r w:rsidR="007249EA">
        <w:rPr>
          <w:rFonts w:ascii="Times New Roman" w:hAnsi="Times New Roman"/>
          <w:sz w:val="24"/>
          <w:szCs w:val="24"/>
        </w:rPr>
        <w:t>higher future consumption</w:t>
      </w:r>
      <w:r>
        <w:rPr>
          <w:rFonts w:ascii="Times New Roman" w:hAnsi="Times New Roman"/>
          <w:sz w:val="24"/>
          <w:szCs w:val="24"/>
        </w:rPr>
        <w:t xml:space="preserve">, we find that the net effect of a rise in inflation disagreement </w:t>
      </w:r>
      <w:r w:rsidR="00651D59">
        <w:rPr>
          <w:rFonts w:ascii="Times New Roman" w:hAnsi="Times New Roman"/>
          <w:sz w:val="24"/>
          <w:szCs w:val="24"/>
        </w:rPr>
        <w:t xml:space="preserve">during deflations </w:t>
      </w:r>
      <w:r>
        <w:rPr>
          <w:rFonts w:ascii="Times New Roman" w:hAnsi="Times New Roman"/>
          <w:sz w:val="24"/>
          <w:szCs w:val="24"/>
        </w:rPr>
        <w:t xml:space="preserve">is contractionary. </w:t>
      </w:r>
      <w:r w:rsidR="00D313F6">
        <w:rPr>
          <w:rFonts w:ascii="Times New Roman" w:hAnsi="Times New Roman"/>
          <w:sz w:val="24"/>
          <w:szCs w:val="24"/>
        </w:rPr>
        <w:t>The</w:t>
      </w:r>
      <w:r>
        <w:rPr>
          <w:rFonts w:ascii="Times New Roman" w:hAnsi="Times New Roman"/>
          <w:sz w:val="24"/>
          <w:szCs w:val="24"/>
        </w:rPr>
        <w:t xml:space="preserve"> </w:t>
      </w:r>
      <w:r w:rsidR="00D313F6">
        <w:rPr>
          <w:rFonts w:ascii="Times New Roman" w:hAnsi="Times New Roman"/>
          <w:sz w:val="24"/>
          <w:szCs w:val="24"/>
        </w:rPr>
        <w:t xml:space="preserve">output </w:t>
      </w:r>
      <w:r>
        <w:rPr>
          <w:rFonts w:ascii="Times New Roman" w:hAnsi="Times New Roman"/>
          <w:sz w:val="24"/>
          <w:szCs w:val="24"/>
        </w:rPr>
        <w:t xml:space="preserve">contraction could </w:t>
      </w:r>
      <w:r w:rsidR="00955B2C">
        <w:rPr>
          <w:rFonts w:ascii="Times New Roman" w:hAnsi="Times New Roman"/>
          <w:sz w:val="24"/>
          <w:szCs w:val="24"/>
        </w:rPr>
        <w:t>arise due to</w:t>
      </w:r>
      <w:r>
        <w:rPr>
          <w:rFonts w:ascii="Times New Roman" w:hAnsi="Times New Roman"/>
          <w:sz w:val="24"/>
          <w:szCs w:val="24"/>
        </w:rPr>
        <w:t xml:space="preserve"> resource inefficiency costs related to </w:t>
      </w:r>
      <w:r w:rsidR="005B2076">
        <w:rPr>
          <w:rFonts w:ascii="Times New Roman" w:hAnsi="Times New Roman"/>
          <w:sz w:val="24"/>
          <w:szCs w:val="24"/>
        </w:rPr>
        <w:t>greater</w:t>
      </w:r>
      <w:r>
        <w:rPr>
          <w:rFonts w:ascii="Times New Roman" w:hAnsi="Times New Roman"/>
          <w:sz w:val="24"/>
          <w:szCs w:val="24"/>
        </w:rPr>
        <w:t xml:space="preserve"> inflation disagreement</w:t>
      </w:r>
      <w:r w:rsidR="00880B06">
        <w:rPr>
          <w:rFonts w:ascii="Times New Roman" w:hAnsi="Times New Roman"/>
          <w:sz w:val="24"/>
          <w:szCs w:val="24"/>
        </w:rPr>
        <w:t>.</w:t>
      </w:r>
    </w:p>
    <w:p w14:paraId="01A3F9E8" w14:textId="45EFE9B8" w:rsidR="00816409" w:rsidRDefault="00182D67" w:rsidP="00880B06">
      <w:pPr>
        <w:pStyle w:val="FirstParagraph"/>
        <w:spacing w:line="480" w:lineRule="auto"/>
        <w:ind w:firstLine="397"/>
        <w:rPr>
          <w:rFonts w:ascii="Times New Roman" w:hAnsi="Times New Roman"/>
          <w:sz w:val="24"/>
          <w:szCs w:val="24"/>
        </w:rPr>
      </w:pPr>
      <w:r w:rsidRPr="00EF0E4A">
        <w:rPr>
          <w:rFonts w:ascii="Times New Roman" w:hAnsi="Times New Roman"/>
          <w:sz w:val="24"/>
          <w:szCs w:val="24"/>
        </w:rPr>
        <w:t>I</w:t>
      </w:r>
      <w:r w:rsidR="00D95F72" w:rsidRPr="00EF0E4A">
        <w:rPr>
          <w:rFonts w:ascii="Times New Roman" w:hAnsi="Times New Roman"/>
          <w:sz w:val="24"/>
          <w:szCs w:val="24"/>
        </w:rPr>
        <w:t>n</w:t>
      </w:r>
      <w:r w:rsidR="00D95F72">
        <w:rPr>
          <w:rFonts w:ascii="Times New Roman" w:hAnsi="Times New Roman"/>
          <w:sz w:val="24"/>
          <w:szCs w:val="24"/>
        </w:rPr>
        <w:t xml:space="preserve"> addition to the studies mentioned above, o</w:t>
      </w:r>
      <w:r w:rsidR="00C643FB">
        <w:rPr>
          <w:rFonts w:ascii="Times New Roman" w:hAnsi="Times New Roman"/>
          <w:sz w:val="24"/>
          <w:szCs w:val="24"/>
        </w:rPr>
        <w:t xml:space="preserve">ur paper is </w:t>
      </w:r>
      <w:r w:rsidR="00D95F72">
        <w:rPr>
          <w:rFonts w:ascii="Times New Roman" w:hAnsi="Times New Roman"/>
          <w:sz w:val="24"/>
          <w:szCs w:val="24"/>
        </w:rPr>
        <w:t xml:space="preserve">also </w:t>
      </w:r>
      <w:r w:rsidR="00C643FB">
        <w:rPr>
          <w:rFonts w:ascii="Times New Roman" w:hAnsi="Times New Roman"/>
          <w:sz w:val="24"/>
          <w:szCs w:val="24"/>
        </w:rPr>
        <w:t>related</w:t>
      </w:r>
      <w:r w:rsidR="007A371E">
        <w:rPr>
          <w:rFonts w:ascii="Times New Roman" w:hAnsi="Times New Roman"/>
          <w:sz w:val="24"/>
          <w:szCs w:val="24"/>
        </w:rPr>
        <w:t xml:space="preserve"> to </w:t>
      </w:r>
      <w:r w:rsidR="00D95F72">
        <w:rPr>
          <w:rFonts w:ascii="Times New Roman" w:hAnsi="Times New Roman"/>
          <w:sz w:val="24"/>
          <w:szCs w:val="24"/>
        </w:rPr>
        <w:t xml:space="preserve">other </w:t>
      </w:r>
      <w:r w:rsidR="007A371E">
        <w:rPr>
          <w:rFonts w:ascii="Times New Roman" w:hAnsi="Times New Roman"/>
          <w:sz w:val="24"/>
          <w:szCs w:val="24"/>
        </w:rPr>
        <w:t xml:space="preserve">strands of literature. </w:t>
      </w:r>
      <w:r w:rsidR="00DE0A15">
        <w:rPr>
          <w:rFonts w:ascii="Times New Roman" w:hAnsi="Times New Roman"/>
          <w:sz w:val="24"/>
          <w:szCs w:val="24"/>
        </w:rPr>
        <w:t>The</w:t>
      </w:r>
      <w:r w:rsidR="00816409">
        <w:rPr>
          <w:rFonts w:ascii="Times New Roman" w:hAnsi="Times New Roman"/>
          <w:sz w:val="24"/>
          <w:szCs w:val="24"/>
        </w:rPr>
        <w:t xml:space="preserve"> paper </w:t>
      </w:r>
      <w:r w:rsidR="001C7256">
        <w:rPr>
          <w:rFonts w:ascii="Times New Roman" w:hAnsi="Times New Roman"/>
          <w:sz w:val="24"/>
          <w:szCs w:val="24"/>
        </w:rPr>
        <w:t xml:space="preserve">adds </w:t>
      </w:r>
      <w:r w:rsidR="00816409">
        <w:rPr>
          <w:rFonts w:ascii="Times New Roman" w:hAnsi="Times New Roman"/>
          <w:sz w:val="24"/>
          <w:szCs w:val="24"/>
        </w:rPr>
        <w:t xml:space="preserve">to </w:t>
      </w:r>
      <w:r w:rsidR="0032534F">
        <w:rPr>
          <w:rFonts w:ascii="Times New Roman" w:hAnsi="Times New Roman"/>
          <w:sz w:val="24"/>
          <w:szCs w:val="24"/>
        </w:rPr>
        <w:t xml:space="preserve">recent </w:t>
      </w:r>
      <w:r w:rsidR="00EF0E4A">
        <w:rPr>
          <w:rFonts w:ascii="Times New Roman" w:hAnsi="Times New Roman"/>
          <w:sz w:val="24"/>
          <w:szCs w:val="24"/>
        </w:rPr>
        <w:t xml:space="preserve">research </w:t>
      </w:r>
      <w:r w:rsidR="00816409">
        <w:rPr>
          <w:rFonts w:ascii="Times New Roman" w:hAnsi="Times New Roman"/>
          <w:sz w:val="24"/>
          <w:szCs w:val="24"/>
        </w:rPr>
        <w:t>on the behaviour of inflation expectations during periods of low inflation (</w:t>
      </w:r>
      <w:proofErr w:type="spellStart"/>
      <w:r w:rsidR="00816409">
        <w:rPr>
          <w:rFonts w:ascii="Times New Roman" w:hAnsi="Times New Roman"/>
          <w:sz w:val="24"/>
          <w:szCs w:val="24"/>
        </w:rPr>
        <w:t>eg</w:t>
      </w:r>
      <w:proofErr w:type="spellEnd"/>
      <w:r w:rsidR="00816409">
        <w:rPr>
          <w:rFonts w:ascii="Times New Roman" w:hAnsi="Times New Roman"/>
          <w:sz w:val="24"/>
          <w:szCs w:val="24"/>
        </w:rPr>
        <w:t xml:space="preserve"> </w:t>
      </w:r>
      <w:r w:rsidR="001C7256">
        <w:rPr>
          <w:rFonts w:ascii="Times New Roman" w:hAnsi="Times New Roman"/>
          <w:sz w:val="24"/>
          <w:szCs w:val="24"/>
        </w:rPr>
        <w:t>IMF (2016); Bank of Japan (201</w:t>
      </w:r>
      <w:r w:rsidR="0032534F">
        <w:rPr>
          <w:rFonts w:ascii="Times New Roman" w:hAnsi="Times New Roman"/>
          <w:sz w:val="24"/>
          <w:szCs w:val="24"/>
        </w:rPr>
        <w:t>7</w:t>
      </w:r>
      <w:r w:rsidR="001C7256">
        <w:rPr>
          <w:rFonts w:ascii="Times New Roman" w:hAnsi="Times New Roman"/>
          <w:sz w:val="24"/>
          <w:szCs w:val="24"/>
        </w:rPr>
        <w:t xml:space="preserve">); </w:t>
      </w:r>
      <w:proofErr w:type="spellStart"/>
      <w:r w:rsidR="001C7256">
        <w:rPr>
          <w:rFonts w:ascii="Times New Roman" w:hAnsi="Times New Roman"/>
          <w:sz w:val="24"/>
          <w:szCs w:val="24"/>
        </w:rPr>
        <w:t>Natoli</w:t>
      </w:r>
      <w:proofErr w:type="spellEnd"/>
      <w:r w:rsidR="001C7256">
        <w:rPr>
          <w:rFonts w:ascii="Times New Roman" w:hAnsi="Times New Roman"/>
          <w:sz w:val="24"/>
          <w:szCs w:val="24"/>
        </w:rPr>
        <w:t xml:space="preserve"> and </w:t>
      </w:r>
      <w:proofErr w:type="spellStart"/>
      <w:r w:rsidR="001C7256">
        <w:rPr>
          <w:rFonts w:ascii="Times New Roman" w:hAnsi="Times New Roman"/>
          <w:sz w:val="24"/>
          <w:szCs w:val="24"/>
        </w:rPr>
        <w:t>Sigalotti</w:t>
      </w:r>
      <w:proofErr w:type="spellEnd"/>
      <w:r w:rsidR="001C7256">
        <w:rPr>
          <w:rFonts w:ascii="Times New Roman" w:hAnsi="Times New Roman"/>
          <w:sz w:val="24"/>
          <w:szCs w:val="24"/>
        </w:rPr>
        <w:t xml:space="preserve"> (</w:t>
      </w:r>
      <w:r w:rsidR="00916E6A">
        <w:rPr>
          <w:rFonts w:ascii="Times New Roman" w:hAnsi="Times New Roman"/>
          <w:sz w:val="24"/>
          <w:szCs w:val="24"/>
        </w:rPr>
        <w:t>2018</w:t>
      </w:r>
      <w:r w:rsidR="001C7256">
        <w:rPr>
          <w:rFonts w:ascii="Times New Roman" w:hAnsi="Times New Roman"/>
          <w:sz w:val="24"/>
          <w:szCs w:val="24"/>
        </w:rPr>
        <w:t xml:space="preserve">); </w:t>
      </w:r>
      <w:proofErr w:type="spellStart"/>
      <w:r w:rsidR="00276D1B" w:rsidRPr="00731C8B">
        <w:rPr>
          <w:rFonts w:ascii="Times New Roman" w:hAnsi="Times New Roman"/>
          <w:sz w:val="24"/>
          <w:szCs w:val="24"/>
        </w:rPr>
        <w:t>Nishizaki</w:t>
      </w:r>
      <w:proofErr w:type="spellEnd"/>
      <w:r w:rsidR="00276D1B" w:rsidRPr="00731C8B">
        <w:rPr>
          <w:rFonts w:ascii="Times New Roman" w:hAnsi="Times New Roman"/>
          <w:sz w:val="24"/>
          <w:szCs w:val="24"/>
        </w:rPr>
        <w:t xml:space="preserve"> et al (2014)</w:t>
      </w:r>
      <w:r w:rsidR="00276D1B">
        <w:rPr>
          <w:rFonts w:ascii="Times New Roman" w:hAnsi="Times New Roman"/>
          <w:sz w:val="24"/>
          <w:szCs w:val="24"/>
        </w:rPr>
        <w:t xml:space="preserve">; </w:t>
      </w:r>
      <w:r w:rsidR="001C7256">
        <w:rPr>
          <w:rFonts w:ascii="Times New Roman" w:hAnsi="Times New Roman"/>
          <w:sz w:val="24"/>
          <w:szCs w:val="24"/>
        </w:rPr>
        <w:t xml:space="preserve">Kenny and </w:t>
      </w:r>
      <w:proofErr w:type="spellStart"/>
      <w:r w:rsidR="001C7256">
        <w:rPr>
          <w:rFonts w:ascii="Times New Roman" w:hAnsi="Times New Roman"/>
          <w:sz w:val="24"/>
          <w:szCs w:val="24"/>
        </w:rPr>
        <w:t>Dovern</w:t>
      </w:r>
      <w:proofErr w:type="spellEnd"/>
      <w:r w:rsidR="001C7256">
        <w:rPr>
          <w:rFonts w:ascii="Times New Roman" w:hAnsi="Times New Roman"/>
          <w:sz w:val="24"/>
          <w:szCs w:val="24"/>
        </w:rPr>
        <w:t xml:space="preserve"> (2017)</w:t>
      </w:r>
      <w:r w:rsidR="001C7256" w:rsidRPr="00026639">
        <w:rPr>
          <w:rFonts w:ascii="Times New Roman" w:hAnsi="Times New Roman"/>
          <w:sz w:val="24"/>
          <w:szCs w:val="24"/>
        </w:rPr>
        <w:t xml:space="preserve">). </w:t>
      </w:r>
      <w:r w:rsidR="00AE2588">
        <w:rPr>
          <w:rFonts w:ascii="Times New Roman" w:hAnsi="Times New Roman"/>
          <w:sz w:val="24"/>
          <w:szCs w:val="24"/>
        </w:rPr>
        <w:t>The study</w:t>
      </w:r>
      <w:r w:rsidR="0032534F">
        <w:rPr>
          <w:rFonts w:ascii="Times New Roman" w:hAnsi="Times New Roman"/>
          <w:sz w:val="24"/>
          <w:szCs w:val="24"/>
        </w:rPr>
        <w:t xml:space="preserve"> also contributes</w:t>
      </w:r>
      <w:r w:rsidR="00916A9C">
        <w:rPr>
          <w:rFonts w:ascii="Times New Roman" w:hAnsi="Times New Roman"/>
          <w:sz w:val="24"/>
          <w:szCs w:val="24"/>
        </w:rPr>
        <w:t xml:space="preserve"> to research on inflation risks</w:t>
      </w:r>
      <w:r w:rsidR="0032534F">
        <w:rPr>
          <w:rFonts w:ascii="Times New Roman" w:hAnsi="Times New Roman"/>
          <w:sz w:val="24"/>
          <w:szCs w:val="24"/>
        </w:rPr>
        <w:t xml:space="preserve"> and how they relate to real economic outcomes</w:t>
      </w:r>
      <w:r w:rsidR="00880B06">
        <w:rPr>
          <w:rFonts w:ascii="Times New Roman" w:hAnsi="Times New Roman"/>
          <w:sz w:val="24"/>
          <w:szCs w:val="24"/>
        </w:rPr>
        <w:t xml:space="preserve"> (</w:t>
      </w:r>
      <w:proofErr w:type="spellStart"/>
      <w:r w:rsidR="00880B06">
        <w:rPr>
          <w:rFonts w:ascii="Times New Roman" w:hAnsi="Times New Roman"/>
          <w:sz w:val="24"/>
          <w:szCs w:val="24"/>
        </w:rPr>
        <w:t>eg</w:t>
      </w:r>
      <w:proofErr w:type="spellEnd"/>
      <w:r w:rsidR="00880B06">
        <w:rPr>
          <w:rFonts w:ascii="Times New Roman" w:hAnsi="Times New Roman"/>
          <w:sz w:val="24"/>
          <w:szCs w:val="24"/>
        </w:rPr>
        <w:t xml:space="preserve"> Andrade</w:t>
      </w:r>
      <w:r w:rsidR="0032534F">
        <w:rPr>
          <w:rFonts w:ascii="Times New Roman" w:hAnsi="Times New Roman"/>
          <w:sz w:val="24"/>
          <w:szCs w:val="24"/>
        </w:rPr>
        <w:t xml:space="preserve"> et al </w:t>
      </w:r>
      <w:r w:rsidR="00880B06">
        <w:rPr>
          <w:rFonts w:ascii="Times New Roman" w:hAnsi="Times New Roman"/>
          <w:sz w:val="24"/>
          <w:szCs w:val="24"/>
        </w:rPr>
        <w:t xml:space="preserve">(2015) and Fleckenstein et al (2017)). </w:t>
      </w:r>
    </w:p>
    <w:p w14:paraId="0AB6D7EE" w14:textId="7371CC35" w:rsidR="0094479C" w:rsidRPr="00731C8B" w:rsidRDefault="0094479C" w:rsidP="0094479C">
      <w:pPr>
        <w:pStyle w:val="Paragraph"/>
        <w:spacing w:line="480" w:lineRule="auto"/>
        <w:rPr>
          <w:rFonts w:ascii="Times New Roman" w:hAnsi="Times New Roman"/>
          <w:sz w:val="24"/>
          <w:szCs w:val="24"/>
        </w:rPr>
      </w:pPr>
      <w:r w:rsidRPr="00731C8B">
        <w:rPr>
          <w:rFonts w:ascii="Times New Roman" w:hAnsi="Times New Roman"/>
          <w:sz w:val="24"/>
          <w:szCs w:val="24"/>
        </w:rPr>
        <w:lastRenderedPageBreak/>
        <w:t xml:space="preserve">This paper is structured as follows. The next section describes the data and presents stylised facts on inflation outcomes and </w:t>
      </w:r>
      <w:r w:rsidR="008575B2">
        <w:rPr>
          <w:rFonts w:ascii="Times New Roman" w:hAnsi="Times New Roman"/>
          <w:sz w:val="24"/>
          <w:szCs w:val="24"/>
        </w:rPr>
        <w:t>forecast disagreement</w:t>
      </w:r>
      <w:r w:rsidRPr="00731C8B">
        <w:rPr>
          <w:rFonts w:ascii="Times New Roman" w:hAnsi="Times New Roman"/>
          <w:sz w:val="24"/>
          <w:szCs w:val="24"/>
        </w:rPr>
        <w:t>. Sect</w:t>
      </w:r>
      <w:r w:rsidR="007520C8">
        <w:rPr>
          <w:rFonts w:ascii="Times New Roman" w:hAnsi="Times New Roman"/>
          <w:sz w:val="24"/>
          <w:szCs w:val="24"/>
        </w:rPr>
        <w:t>ion 3 discusses the empirical methodology</w:t>
      </w:r>
      <w:r w:rsidRPr="00731C8B">
        <w:rPr>
          <w:rFonts w:ascii="Times New Roman" w:hAnsi="Times New Roman"/>
          <w:sz w:val="24"/>
          <w:szCs w:val="24"/>
        </w:rPr>
        <w:t xml:space="preserve">. This is followed in Section 4 by a formal investigation of how deflation affects </w:t>
      </w:r>
      <w:r>
        <w:rPr>
          <w:rFonts w:ascii="Times New Roman" w:hAnsi="Times New Roman"/>
          <w:sz w:val="24"/>
          <w:szCs w:val="24"/>
        </w:rPr>
        <w:t>inflation forecast disagreement</w:t>
      </w:r>
      <w:r w:rsidR="00EF0E4A">
        <w:rPr>
          <w:rFonts w:ascii="Times New Roman" w:hAnsi="Times New Roman"/>
          <w:sz w:val="24"/>
          <w:szCs w:val="24"/>
        </w:rPr>
        <w:t xml:space="preserve"> and discusses the underlying mechanisms</w:t>
      </w:r>
      <w:r w:rsidRPr="00731C8B">
        <w:rPr>
          <w:rFonts w:ascii="Times New Roman" w:hAnsi="Times New Roman"/>
          <w:sz w:val="24"/>
          <w:szCs w:val="24"/>
        </w:rPr>
        <w:t xml:space="preserve">. In the same section, we also analyse the macroeconomic effects of shifts in the </w:t>
      </w:r>
      <w:r w:rsidR="002522F2">
        <w:rPr>
          <w:rFonts w:ascii="Times New Roman" w:hAnsi="Times New Roman"/>
          <w:sz w:val="24"/>
          <w:szCs w:val="24"/>
        </w:rPr>
        <w:t>left tail</w:t>
      </w:r>
      <w:r w:rsidRPr="00731C8B">
        <w:rPr>
          <w:rFonts w:ascii="Times New Roman" w:hAnsi="Times New Roman"/>
          <w:sz w:val="24"/>
          <w:szCs w:val="24"/>
        </w:rPr>
        <w:t xml:space="preserve"> of the forecast distribution. Concluding comments are provided in Section </w:t>
      </w:r>
      <w:r w:rsidR="00EF0E4A">
        <w:rPr>
          <w:rFonts w:ascii="Times New Roman" w:hAnsi="Times New Roman"/>
          <w:sz w:val="24"/>
          <w:szCs w:val="24"/>
        </w:rPr>
        <w:t>5</w:t>
      </w:r>
      <w:r w:rsidRPr="00731C8B">
        <w:rPr>
          <w:rFonts w:ascii="Times New Roman" w:hAnsi="Times New Roman"/>
          <w:sz w:val="24"/>
          <w:szCs w:val="24"/>
        </w:rPr>
        <w:t>.</w:t>
      </w:r>
    </w:p>
    <w:p w14:paraId="2386841B" w14:textId="77777777" w:rsidR="00401CD1" w:rsidRPr="00731C8B" w:rsidRDefault="00401CD1" w:rsidP="00695AE0">
      <w:pPr>
        <w:pStyle w:val="Heading1"/>
        <w:spacing w:line="480" w:lineRule="auto"/>
        <w:rPr>
          <w:rFonts w:ascii="Times New Roman" w:hAnsi="Times New Roman"/>
          <w:color w:val="auto"/>
          <w:sz w:val="24"/>
          <w:szCs w:val="24"/>
        </w:rPr>
      </w:pPr>
      <w:r w:rsidRPr="00731C8B">
        <w:rPr>
          <w:rFonts w:ascii="Times New Roman" w:hAnsi="Times New Roman"/>
          <w:color w:val="auto"/>
          <w:sz w:val="24"/>
          <w:szCs w:val="24"/>
        </w:rPr>
        <w:t>2.</w:t>
      </w:r>
      <w:r w:rsidR="000800FA" w:rsidRPr="00731C8B">
        <w:rPr>
          <w:rFonts w:ascii="Times New Roman" w:hAnsi="Times New Roman"/>
          <w:color w:val="auto"/>
          <w:sz w:val="24"/>
          <w:szCs w:val="24"/>
        </w:rPr>
        <w:tab/>
      </w:r>
      <w:r w:rsidRPr="00731C8B">
        <w:rPr>
          <w:rFonts w:ascii="Times New Roman" w:hAnsi="Times New Roman"/>
          <w:color w:val="auto"/>
          <w:sz w:val="24"/>
          <w:szCs w:val="24"/>
        </w:rPr>
        <w:t>Data and stylised facts on deflationary episodes</w:t>
      </w:r>
    </w:p>
    <w:p w14:paraId="7A86B917" w14:textId="4D6F99D6" w:rsidR="00401CD1" w:rsidRPr="00731C8B" w:rsidRDefault="00401CD1" w:rsidP="00695AE0">
      <w:pPr>
        <w:pStyle w:val="FirstParagraph"/>
        <w:spacing w:line="480" w:lineRule="auto"/>
        <w:rPr>
          <w:rFonts w:ascii="Times New Roman" w:hAnsi="Times New Roman"/>
          <w:sz w:val="24"/>
          <w:szCs w:val="24"/>
        </w:rPr>
      </w:pPr>
      <w:r w:rsidRPr="00731C8B">
        <w:rPr>
          <w:rFonts w:ascii="Times New Roman" w:hAnsi="Times New Roman"/>
          <w:sz w:val="24"/>
          <w:szCs w:val="24"/>
        </w:rPr>
        <w:t xml:space="preserve">We use surveys of professional forecasters from Consensus Economics. </w:t>
      </w:r>
      <w:r w:rsidR="0066120E">
        <w:rPr>
          <w:rFonts w:ascii="Times New Roman" w:hAnsi="Times New Roman"/>
          <w:sz w:val="24"/>
          <w:szCs w:val="24"/>
        </w:rPr>
        <w:t>The data at the forecaster-level</w:t>
      </w:r>
      <w:r w:rsidR="00787B2D">
        <w:rPr>
          <w:rFonts w:ascii="Times New Roman" w:hAnsi="Times New Roman"/>
          <w:sz w:val="24"/>
          <w:szCs w:val="24"/>
        </w:rPr>
        <w:t xml:space="preserve"> allow </w:t>
      </w:r>
      <w:r w:rsidR="0068554F">
        <w:rPr>
          <w:rFonts w:ascii="Times New Roman" w:hAnsi="Times New Roman"/>
          <w:sz w:val="24"/>
          <w:szCs w:val="24"/>
        </w:rPr>
        <w:t xml:space="preserve">us to construct measures of </w:t>
      </w:r>
      <w:r w:rsidR="00787B2D">
        <w:rPr>
          <w:rFonts w:ascii="Times New Roman" w:hAnsi="Times New Roman"/>
          <w:sz w:val="24"/>
          <w:szCs w:val="24"/>
        </w:rPr>
        <w:t xml:space="preserve">forecast disagreement. </w:t>
      </w:r>
      <w:r w:rsidR="0068554F">
        <w:rPr>
          <w:rFonts w:ascii="Times New Roman" w:hAnsi="Times New Roman"/>
          <w:sz w:val="24"/>
          <w:szCs w:val="24"/>
        </w:rPr>
        <w:t>Moreover, d</w:t>
      </w:r>
      <w:r w:rsidRPr="00731C8B">
        <w:rPr>
          <w:rFonts w:ascii="Times New Roman" w:hAnsi="Times New Roman"/>
          <w:sz w:val="24"/>
          <w:szCs w:val="24"/>
        </w:rPr>
        <w:t xml:space="preserve">ata </w:t>
      </w:r>
      <w:r w:rsidR="00787B2D">
        <w:rPr>
          <w:rFonts w:ascii="Times New Roman" w:hAnsi="Times New Roman"/>
          <w:sz w:val="24"/>
          <w:szCs w:val="24"/>
        </w:rPr>
        <w:t xml:space="preserve">published by Consensus Economics </w:t>
      </w:r>
      <w:r w:rsidRPr="00731C8B">
        <w:rPr>
          <w:rFonts w:ascii="Times New Roman" w:hAnsi="Times New Roman"/>
          <w:sz w:val="24"/>
          <w:szCs w:val="24"/>
        </w:rPr>
        <w:t xml:space="preserve">are available for a relatively long history and are collected in a comparable fashion across a large number of </w:t>
      </w:r>
      <w:r w:rsidR="002839A8">
        <w:rPr>
          <w:rFonts w:ascii="Times New Roman" w:hAnsi="Times New Roman"/>
          <w:sz w:val="24"/>
          <w:szCs w:val="24"/>
        </w:rPr>
        <w:t xml:space="preserve">advanced and emerging market </w:t>
      </w:r>
      <w:r w:rsidR="00BA696F">
        <w:rPr>
          <w:rFonts w:ascii="Times New Roman" w:hAnsi="Times New Roman"/>
          <w:sz w:val="24"/>
          <w:szCs w:val="24"/>
        </w:rPr>
        <w:t>economies (EMEs</w:t>
      </w:r>
      <w:r w:rsidR="00555FE1">
        <w:rPr>
          <w:rFonts w:ascii="Times New Roman" w:hAnsi="Times New Roman"/>
          <w:sz w:val="24"/>
          <w:szCs w:val="24"/>
        </w:rPr>
        <w:t>)</w:t>
      </w:r>
      <w:r w:rsidR="009F3CC2">
        <w:rPr>
          <w:rFonts w:ascii="Times New Roman" w:hAnsi="Times New Roman"/>
          <w:sz w:val="24"/>
          <w:szCs w:val="24"/>
        </w:rPr>
        <w:t xml:space="preserve">. </w:t>
      </w:r>
      <w:r w:rsidRPr="00731C8B">
        <w:rPr>
          <w:rFonts w:ascii="Times New Roman" w:hAnsi="Times New Roman"/>
          <w:sz w:val="24"/>
          <w:szCs w:val="24"/>
        </w:rPr>
        <w:t xml:space="preserve">Faust and Wright (2013) </w:t>
      </w:r>
      <w:r w:rsidR="009F3CC2">
        <w:rPr>
          <w:rFonts w:ascii="Times New Roman" w:hAnsi="Times New Roman"/>
          <w:sz w:val="24"/>
          <w:szCs w:val="24"/>
        </w:rPr>
        <w:t xml:space="preserve">document the favourable forecasting performance of subjective expectations, noting that </w:t>
      </w:r>
      <w:r w:rsidRPr="00731C8B">
        <w:rPr>
          <w:rFonts w:ascii="Times New Roman" w:hAnsi="Times New Roman"/>
          <w:sz w:val="24"/>
          <w:szCs w:val="24"/>
        </w:rPr>
        <w:t>survey</w:t>
      </w:r>
      <w:r w:rsidR="009F3CC2">
        <w:rPr>
          <w:rFonts w:ascii="Times New Roman" w:hAnsi="Times New Roman"/>
          <w:sz w:val="24"/>
          <w:szCs w:val="24"/>
        </w:rPr>
        <w:t>s</w:t>
      </w:r>
      <w:r w:rsidRPr="00731C8B">
        <w:rPr>
          <w:rFonts w:ascii="Times New Roman" w:hAnsi="Times New Roman"/>
          <w:sz w:val="24"/>
          <w:szCs w:val="24"/>
        </w:rPr>
        <w:t xml:space="preserve"> of inflation expectations tend to improve the forecasts that come from a large number of different forecasting models. </w:t>
      </w:r>
    </w:p>
    <w:p w14:paraId="1D778F2C" w14:textId="4965E91D" w:rsidR="0006488A" w:rsidRPr="0006488A" w:rsidRDefault="00401CD1" w:rsidP="0006488A">
      <w:pPr>
        <w:pStyle w:val="Paragraph"/>
        <w:spacing w:line="480" w:lineRule="auto"/>
        <w:rPr>
          <w:rFonts w:ascii="Times New Roman" w:hAnsi="Times New Roman"/>
          <w:sz w:val="24"/>
          <w:szCs w:val="24"/>
        </w:rPr>
      </w:pPr>
      <w:r w:rsidRPr="00731C8B">
        <w:rPr>
          <w:rFonts w:ascii="Times New Roman" w:hAnsi="Times New Roman"/>
          <w:sz w:val="24"/>
          <w:szCs w:val="24"/>
        </w:rPr>
        <w:t xml:space="preserve">Each month, Consensus Economics polls a panel of experts from public and private economic institutions, mostly investment banks and research institutions, about their predictions for the main macroeconomic variables for the current and next </w:t>
      </w:r>
      <w:r w:rsidR="008610D1">
        <w:rPr>
          <w:rFonts w:ascii="Times New Roman" w:hAnsi="Times New Roman"/>
          <w:sz w:val="24"/>
          <w:szCs w:val="24"/>
        </w:rPr>
        <w:t>calendar year.</w:t>
      </w:r>
      <w:r w:rsidR="0024466F" w:rsidRPr="00731C8B">
        <w:rPr>
          <w:rStyle w:val="FootnoteReference"/>
          <w:rFonts w:ascii="Times New Roman" w:hAnsi="Times New Roman"/>
          <w:sz w:val="24"/>
          <w:szCs w:val="24"/>
        </w:rPr>
        <w:footnoteReference w:id="8"/>
      </w:r>
      <w:r w:rsidR="008610D1">
        <w:rPr>
          <w:rFonts w:ascii="Times New Roman" w:hAnsi="Times New Roman"/>
          <w:sz w:val="24"/>
          <w:szCs w:val="24"/>
        </w:rPr>
        <w:t xml:space="preserve"> Given that the fixed event nature of the forecasts </w:t>
      </w:r>
      <w:r w:rsidR="007D3574">
        <w:rPr>
          <w:rFonts w:ascii="Times New Roman" w:hAnsi="Times New Roman"/>
          <w:sz w:val="24"/>
          <w:szCs w:val="24"/>
        </w:rPr>
        <w:t xml:space="preserve">– expectations </w:t>
      </w:r>
      <w:r w:rsidR="00DE0A15">
        <w:rPr>
          <w:rFonts w:ascii="Times New Roman" w:hAnsi="Times New Roman"/>
          <w:sz w:val="24"/>
          <w:szCs w:val="24"/>
        </w:rPr>
        <w:t>of</w:t>
      </w:r>
      <w:r w:rsidR="007D3574">
        <w:rPr>
          <w:rFonts w:ascii="Times New Roman" w:hAnsi="Times New Roman"/>
          <w:sz w:val="24"/>
          <w:szCs w:val="24"/>
        </w:rPr>
        <w:t xml:space="preserve"> inflation during a calendar year – </w:t>
      </w:r>
      <w:r w:rsidR="008610D1">
        <w:rPr>
          <w:rFonts w:ascii="Times New Roman" w:hAnsi="Times New Roman"/>
          <w:sz w:val="24"/>
          <w:szCs w:val="24"/>
        </w:rPr>
        <w:t xml:space="preserve">implies a changing forecast horizon between different months, we transform the fixed event </w:t>
      </w:r>
      <w:r w:rsidR="008610D1" w:rsidRPr="0006488A">
        <w:rPr>
          <w:rFonts w:ascii="Times New Roman" w:hAnsi="Times New Roman"/>
          <w:sz w:val="24"/>
          <w:szCs w:val="24"/>
        </w:rPr>
        <w:t xml:space="preserve">forecasts to one-year ahead forecasts by computing a weighted average of current and </w:t>
      </w:r>
      <w:r w:rsidR="008610D1" w:rsidRPr="0006488A">
        <w:rPr>
          <w:rFonts w:ascii="Times New Roman" w:hAnsi="Times New Roman"/>
          <w:sz w:val="24"/>
          <w:szCs w:val="24"/>
        </w:rPr>
        <w:lastRenderedPageBreak/>
        <w:t>next-year forecasts.</w:t>
      </w:r>
      <w:r w:rsidRPr="0006488A">
        <w:rPr>
          <w:rFonts w:ascii="Times New Roman" w:hAnsi="Times New Roman"/>
          <w:sz w:val="24"/>
          <w:szCs w:val="24"/>
        </w:rPr>
        <w:t xml:space="preserve"> </w:t>
      </w:r>
      <w:r w:rsidR="0006488A" w:rsidRPr="0006488A">
        <w:rPr>
          <w:rFonts w:ascii="Times New Roman" w:hAnsi="Times New Roman"/>
          <w:sz w:val="24"/>
          <w:szCs w:val="24"/>
        </w:rPr>
        <w:t xml:space="preserve">This approach has been widely used in the literature </w:t>
      </w:r>
      <w:r w:rsidR="0006488A">
        <w:rPr>
          <w:rFonts w:ascii="Times New Roman" w:hAnsi="Times New Roman"/>
          <w:sz w:val="24"/>
          <w:szCs w:val="24"/>
        </w:rPr>
        <w:t>(see</w:t>
      </w:r>
      <w:r w:rsidR="00DE0A15">
        <w:rPr>
          <w:rFonts w:ascii="Times New Roman" w:hAnsi="Times New Roman"/>
          <w:sz w:val="24"/>
          <w:szCs w:val="24"/>
        </w:rPr>
        <w:t xml:space="preserve"> </w:t>
      </w:r>
      <w:proofErr w:type="spellStart"/>
      <w:r w:rsidR="00DE0A15">
        <w:rPr>
          <w:rFonts w:ascii="Times New Roman" w:hAnsi="Times New Roman"/>
          <w:sz w:val="24"/>
          <w:szCs w:val="24"/>
        </w:rPr>
        <w:t>eg</w:t>
      </w:r>
      <w:proofErr w:type="spellEnd"/>
      <w:r w:rsidR="00DE0A15">
        <w:rPr>
          <w:rFonts w:ascii="Times New Roman" w:hAnsi="Times New Roman"/>
          <w:sz w:val="24"/>
          <w:szCs w:val="24"/>
        </w:rPr>
        <w:t xml:space="preserve"> </w:t>
      </w:r>
      <w:proofErr w:type="spellStart"/>
      <w:r w:rsidR="00DE0A15">
        <w:rPr>
          <w:rFonts w:ascii="Times New Roman" w:hAnsi="Times New Roman"/>
          <w:sz w:val="24"/>
          <w:szCs w:val="24"/>
        </w:rPr>
        <w:t>Dovern</w:t>
      </w:r>
      <w:proofErr w:type="spellEnd"/>
      <w:r w:rsidR="00DE0A15">
        <w:rPr>
          <w:rFonts w:ascii="Times New Roman" w:hAnsi="Times New Roman"/>
          <w:sz w:val="24"/>
          <w:szCs w:val="24"/>
        </w:rPr>
        <w:t xml:space="preserve"> et al</w:t>
      </w:r>
      <w:r w:rsidR="0006488A" w:rsidRPr="0006488A">
        <w:rPr>
          <w:rFonts w:ascii="Times New Roman" w:hAnsi="Times New Roman"/>
          <w:sz w:val="24"/>
          <w:szCs w:val="24"/>
        </w:rPr>
        <w:t xml:space="preserve"> </w:t>
      </w:r>
      <w:r w:rsidR="00DE0A15">
        <w:rPr>
          <w:rFonts w:ascii="Times New Roman" w:hAnsi="Times New Roman"/>
          <w:sz w:val="24"/>
          <w:szCs w:val="24"/>
        </w:rPr>
        <w:t xml:space="preserve">(2012); </w:t>
      </w:r>
      <w:proofErr w:type="spellStart"/>
      <w:r w:rsidR="00DE0A15">
        <w:rPr>
          <w:rFonts w:ascii="Times New Roman" w:hAnsi="Times New Roman"/>
          <w:sz w:val="24"/>
          <w:szCs w:val="24"/>
        </w:rPr>
        <w:t>Gerlach</w:t>
      </w:r>
      <w:proofErr w:type="spellEnd"/>
      <w:r w:rsidR="0006488A" w:rsidRPr="0006488A">
        <w:rPr>
          <w:rFonts w:ascii="Times New Roman" w:hAnsi="Times New Roman"/>
          <w:sz w:val="24"/>
          <w:szCs w:val="24"/>
        </w:rPr>
        <w:t xml:space="preserve"> </w:t>
      </w:r>
      <w:r w:rsidR="00DE0A15">
        <w:rPr>
          <w:rFonts w:ascii="Times New Roman" w:hAnsi="Times New Roman"/>
          <w:sz w:val="24"/>
          <w:szCs w:val="24"/>
        </w:rPr>
        <w:t>(</w:t>
      </w:r>
      <w:r w:rsidR="0006488A" w:rsidRPr="0006488A">
        <w:rPr>
          <w:rFonts w:ascii="Times New Roman" w:hAnsi="Times New Roman"/>
          <w:sz w:val="24"/>
          <w:szCs w:val="24"/>
        </w:rPr>
        <w:t>2007</w:t>
      </w:r>
      <w:r w:rsidR="00DE0A15">
        <w:rPr>
          <w:rFonts w:ascii="Times New Roman" w:hAnsi="Times New Roman"/>
          <w:sz w:val="24"/>
          <w:szCs w:val="24"/>
        </w:rPr>
        <w:t xml:space="preserve">); </w:t>
      </w:r>
      <w:proofErr w:type="spellStart"/>
      <w:r w:rsidR="00DE0A15">
        <w:rPr>
          <w:rFonts w:ascii="Times New Roman" w:hAnsi="Times New Roman"/>
          <w:sz w:val="24"/>
          <w:szCs w:val="24"/>
        </w:rPr>
        <w:t>Siklos</w:t>
      </w:r>
      <w:proofErr w:type="spellEnd"/>
      <w:r w:rsidR="0006488A" w:rsidRPr="0006488A">
        <w:rPr>
          <w:rFonts w:ascii="Times New Roman" w:hAnsi="Times New Roman"/>
          <w:sz w:val="24"/>
          <w:szCs w:val="24"/>
        </w:rPr>
        <w:t xml:space="preserve"> </w:t>
      </w:r>
      <w:r w:rsidR="00DE0A15">
        <w:rPr>
          <w:rFonts w:ascii="Times New Roman" w:hAnsi="Times New Roman"/>
          <w:sz w:val="24"/>
          <w:szCs w:val="24"/>
        </w:rPr>
        <w:t>(</w:t>
      </w:r>
      <w:r w:rsidR="0006488A" w:rsidRPr="0006488A">
        <w:rPr>
          <w:rFonts w:ascii="Times New Roman" w:hAnsi="Times New Roman"/>
          <w:sz w:val="24"/>
          <w:szCs w:val="24"/>
        </w:rPr>
        <w:t>2013</w:t>
      </w:r>
      <w:r w:rsidR="0006488A">
        <w:rPr>
          <w:rFonts w:ascii="Times New Roman" w:hAnsi="Times New Roman"/>
          <w:sz w:val="24"/>
          <w:szCs w:val="24"/>
        </w:rPr>
        <w:t>)</w:t>
      </w:r>
      <w:r w:rsidR="00DE0A15">
        <w:rPr>
          <w:rFonts w:ascii="Times New Roman" w:hAnsi="Times New Roman"/>
          <w:sz w:val="24"/>
          <w:szCs w:val="24"/>
        </w:rPr>
        <w:t>)</w:t>
      </w:r>
      <w:r w:rsidR="0006488A" w:rsidRPr="0006488A">
        <w:rPr>
          <w:rFonts w:ascii="Times New Roman" w:hAnsi="Times New Roman"/>
          <w:sz w:val="24"/>
          <w:szCs w:val="24"/>
        </w:rPr>
        <w:t xml:space="preserve">. With </w:t>
      </w:r>
      <w:r w:rsidR="0006488A" w:rsidRPr="0006488A">
        <w:rPr>
          <w:rFonts w:ascii="Times New Roman" w:hAnsi="Times New Roman"/>
          <w:i/>
          <w:sz w:val="24"/>
          <w:szCs w:val="24"/>
        </w:rPr>
        <w:t>h</w:t>
      </w:r>
      <w:r w:rsidR="0006488A" w:rsidRPr="0006488A">
        <w:rPr>
          <w:rFonts w:ascii="Times New Roman" w:hAnsi="Times New Roman"/>
          <w:sz w:val="24"/>
          <w:szCs w:val="24"/>
        </w:rPr>
        <w:t xml:space="preserve"> as the forecast horizon, the 12-month ahead forecast is computed as</w:t>
      </w:r>
    </w:p>
    <w:p w14:paraId="0EBC44C2" w14:textId="77777777" w:rsidR="0006488A" w:rsidRPr="0006488A" w:rsidRDefault="00AA128E" w:rsidP="00E3172D">
      <w:pPr>
        <w:pStyle w:val="Paragraph"/>
        <w:spacing w:line="480" w:lineRule="auto"/>
        <w:jc w:val="center"/>
        <w:rPr>
          <w:rFonts w:ascii="Times New Roman" w:hAnsi="Times New Roman"/>
          <w:sz w:val="22"/>
          <w:szCs w:val="22"/>
        </w:rPr>
      </w:pPr>
      <m:oMath>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π</m:t>
                </m:r>
              </m:e>
            </m:acc>
          </m:e>
          <m:sub>
            <m:r>
              <w:rPr>
                <w:rFonts w:ascii="Cambria Math" w:hAnsi="Cambria Math"/>
                <w:sz w:val="22"/>
                <w:szCs w:val="22"/>
              </w:rPr>
              <m:t>t+12|t</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h</m:t>
            </m:r>
          </m:num>
          <m:den>
            <m:r>
              <w:rPr>
                <w:rFonts w:ascii="Cambria Math" w:hAnsi="Cambria Math"/>
                <w:sz w:val="22"/>
                <w:szCs w:val="22"/>
              </w:rPr>
              <m:t>12</m:t>
            </m:r>
          </m:den>
        </m:f>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π</m:t>
                </m:r>
              </m:e>
            </m:acc>
          </m:e>
          <m:sub>
            <m:r>
              <w:rPr>
                <w:rFonts w:ascii="Cambria Math" w:hAnsi="Cambria Math"/>
                <w:sz w:val="22"/>
                <w:szCs w:val="22"/>
              </w:rPr>
              <m:t>t+h|t</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12-</m:t>
            </m:r>
            <m:r>
              <w:rPr>
                <w:rFonts w:ascii="Cambria Math" w:hAnsi="Cambria Math"/>
                <w:sz w:val="22"/>
                <w:szCs w:val="22"/>
              </w:rPr>
              <m:t>h</m:t>
            </m:r>
          </m:num>
          <m:den>
            <m:r>
              <w:rPr>
                <w:rFonts w:ascii="Cambria Math" w:hAnsi="Cambria Math"/>
                <w:sz w:val="22"/>
                <w:szCs w:val="22"/>
              </w:rPr>
              <m:t>12</m:t>
            </m:r>
          </m:den>
        </m:f>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π</m:t>
                </m:r>
              </m:e>
            </m:acc>
          </m:e>
          <m:sub>
            <m:r>
              <w:rPr>
                <w:rFonts w:ascii="Cambria Math" w:hAnsi="Cambria Math"/>
                <w:sz w:val="22"/>
                <w:szCs w:val="22"/>
              </w:rPr>
              <m:t>t+12+</m:t>
            </m:r>
            <m:r>
              <w:rPr>
                <w:rFonts w:ascii="Cambria Math" w:hAnsi="Cambria Math"/>
                <w:sz w:val="22"/>
                <w:szCs w:val="22"/>
              </w:rPr>
              <m:t>h|t</m:t>
            </m:r>
          </m:sub>
        </m:sSub>
      </m:oMath>
      <w:r w:rsidR="00352DCA">
        <w:rPr>
          <w:rFonts w:ascii="Times New Roman" w:hAnsi="Times New Roman"/>
          <w:sz w:val="22"/>
          <w:szCs w:val="22"/>
        </w:rPr>
        <w:t>,</w:t>
      </w:r>
      <w:r w:rsidR="00AC5700">
        <w:rPr>
          <w:rFonts w:ascii="Times New Roman" w:hAnsi="Times New Roman"/>
          <w:sz w:val="22"/>
          <w:szCs w:val="22"/>
        </w:rPr>
        <w:tab/>
      </w:r>
      <w:r w:rsidR="00AC5700">
        <w:rPr>
          <w:rFonts w:ascii="Times New Roman" w:hAnsi="Times New Roman"/>
          <w:sz w:val="22"/>
          <w:szCs w:val="22"/>
        </w:rPr>
        <w:tab/>
        <w:t>(1)</w:t>
      </w:r>
    </w:p>
    <w:p w14:paraId="67A67BAC" w14:textId="77777777" w:rsidR="00352DCA" w:rsidRDefault="00352DCA" w:rsidP="00352DCA">
      <w:pPr>
        <w:pStyle w:val="Paragraph"/>
        <w:spacing w:line="480" w:lineRule="auto"/>
        <w:ind w:firstLine="0"/>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h</m:t>
            </m:r>
          </m:num>
          <m:den>
            <m:r>
              <w:rPr>
                <w:rFonts w:ascii="Cambria Math" w:hAnsi="Cambria Math"/>
                <w:sz w:val="24"/>
                <w:szCs w:val="24"/>
              </w:rPr>
              <m:t>12</m:t>
            </m:r>
          </m:den>
        </m:f>
        <m:r>
          <w:rPr>
            <w:rFonts w:ascii="Cambria Math" w:hAnsi="Cambria Math"/>
            <w:sz w:val="24"/>
            <w:szCs w:val="24"/>
          </w:rPr>
          <m:t xml:space="preserve"> </m:t>
        </m:r>
      </m:oMath>
      <w:r w:rsidR="0059569C">
        <w:rPr>
          <w:rFonts w:ascii="Times New Roman" w:hAnsi="Times New Roman"/>
          <w:sz w:val="24"/>
          <w:szCs w:val="24"/>
        </w:rPr>
        <w:t xml:space="preserve">and </w:t>
      </w:r>
      <m:oMath>
        <m:f>
          <m:fPr>
            <m:ctrlPr>
              <w:rPr>
                <w:rFonts w:ascii="Cambria Math" w:hAnsi="Cambria Math"/>
                <w:i/>
                <w:sz w:val="24"/>
                <w:szCs w:val="24"/>
              </w:rPr>
            </m:ctrlPr>
          </m:fPr>
          <m:num>
            <m:r>
              <w:rPr>
                <w:rFonts w:ascii="Cambria Math" w:hAnsi="Cambria Math"/>
                <w:sz w:val="24"/>
                <w:szCs w:val="24"/>
              </w:rPr>
              <m:t>12-</m:t>
            </m:r>
            <m:r>
              <w:rPr>
                <w:rFonts w:ascii="Cambria Math" w:hAnsi="Cambria Math"/>
                <w:sz w:val="24"/>
                <w:szCs w:val="24"/>
              </w:rPr>
              <m:t>h</m:t>
            </m:r>
          </m:num>
          <m:den>
            <m:r>
              <w:rPr>
                <w:rFonts w:ascii="Cambria Math" w:hAnsi="Cambria Math"/>
                <w:sz w:val="24"/>
                <w:szCs w:val="24"/>
              </w:rPr>
              <m:t>12</m:t>
            </m:r>
          </m:den>
        </m:f>
      </m:oMath>
      <w:r>
        <w:rPr>
          <w:rFonts w:ascii="Times New Roman" w:hAnsi="Times New Roman"/>
          <w:sz w:val="24"/>
          <w:szCs w:val="24"/>
        </w:rPr>
        <w:t xml:space="preserve"> denote the</w:t>
      </w:r>
      <w:r w:rsidR="00524320">
        <w:rPr>
          <w:rFonts w:ascii="Times New Roman" w:hAnsi="Times New Roman"/>
          <w:sz w:val="24"/>
          <w:szCs w:val="24"/>
        </w:rPr>
        <w:t xml:space="preserve"> weights, </w:t>
      </w:r>
      <w:proofErr w:type="spellStart"/>
      <w:r w:rsidR="00524320">
        <w:rPr>
          <w:rFonts w:ascii="Times New Roman" w:hAnsi="Times New Roman"/>
          <w:sz w:val="24"/>
          <w:szCs w:val="24"/>
        </w:rPr>
        <w:t>ie</w:t>
      </w:r>
      <w:proofErr w:type="spellEnd"/>
      <w:r w:rsidR="00524320">
        <w:rPr>
          <w:rFonts w:ascii="Times New Roman" w:hAnsi="Times New Roman"/>
          <w:sz w:val="24"/>
          <w:szCs w:val="24"/>
        </w:rPr>
        <w:t xml:space="preserve"> the shares of</w:t>
      </w:r>
      <w:r>
        <w:rPr>
          <w:rFonts w:ascii="Times New Roman" w:hAnsi="Times New Roman"/>
          <w:sz w:val="24"/>
          <w:szCs w:val="24"/>
        </w:rPr>
        <w:t xml:space="preserve"> current and next-year forecasts</w:t>
      </w:r>
      <w:r w:rsidR="00524320">
        <w:rPr>
          <w:rFonts w:ascii="Times New Roman" w:hAnsi="Times New Roman"/>
          <w:sz w:val="24"/>
          <w:szCs w:val="24"/>
        </w:rPr>
        <w:t xml:space="preserve"> in the forecast period</w:t>
      </w:r>
      <w:r>
        <w:rPr>
          <w:rFonts w:ascii="Times New Roman" w:hAnsi="Times New Roman"/>
          <w:sz w:val="24"/>
          <w:szCs w:val="24"/>
        </w:rPr>
        <w:t>.</w:t>
      </w:r>
      <w:r>
        <w:rPr>
          <w:rStyle w:val="FootnoteReference"/>
          <w:sz w:val="24"/>
          <w:szCs w:val="24"/>
        </w:rPr>
        <w:footnoteReference w:id="9"/>
      </w:r>
    </w:p>
    <w:p w14:paraId="48F2F4F0" w14:textId="59C98D39" w:rsidR="00401CD1" w:rsidRPr="00731C8B" w:rsidRDefault="00401CD1" w:rsidP="00695AE0">
      <w:pPr>
        <w:pStyle w:val="Paragraph"/>
        <w:spacing w:line="480" w:lineRule="auto"/>
        <w:rPr>
          <w:rFonts w:ascii="Times New Roman" w:hAnsi="Times New Roman"/>
          <w:sz w:val="24"/>
          <w:szCs w:val="24"/>
        </w:rPr>
      </w:pPr>
      <w:r w:rsidRPr="00731C8B">
        <w:rPr>
          <w:rFonts w:ascii="Times New Roman" w:hAnsi="Times New Roman"/>
          <w:sz w:val="24"/>
          <w:szCs w:val="24"/>
        </w:rPr>
        <w:t>Our data cover 4</w:t>
      </w:r>
      <w:r w:rsidR="006E3764">
        <w:rPr>
          <w:rFonts w:ascii="Times New Roman" w:hAnsi="Times New Roman"/>
          <w:sz w:val="24"/>
          <w:szCs w:val="24"/>
        </w:rPr>
        <w:t>2</w:t>
      </w:r>
      <w:r w:rsidR="00676D27">
        <w:rPr>
          <w:rFonts w:ascii="Times New Roman" w:hAnsi="Times New Roman"/>
          <w:sz w:val="24"/>
          <w:szCs w:val="24"/>
        </w:rPr>
        <w:t xml:space="preserve"> economies, 12</w:t>
      </w:r>
      <w:r w:rsidR="009C443A">
        <w:rPr>
          <w:rFonts w:ascii="Times New Roman" w:hAnsi="Times New Roman"/>
          <w:sz w:val="24"/>
          <w:szCs w:val="24"/>
        </w:rPr>
        <w:t xml:space="preserve"> advanced and </w:t>
      </w:r>
      <w:r w:rsidR="00D568D6">
        <w:rPr>
          <w:rFonts w:ascii="Times New Roman" w:hAnsi="Times New Roman"/>
          <w:sz w:val="24"/>
          <w:szCs w:val="24"/>
        </w:rPr>
        <w:t>30</w:t>
      </w:r>
      <w:r w:rsidRPr="00731C8B">
        <w:rPr>
          <w:rFonts w:ascii="Times New Roman" w:hAnsi="Times New Roman"/>
          <w:sz w:val="24"/>
          <w:szCs w:val="24"/>
        </w:rPr>
        <w:t xml:space="preserve"> emerging. The length of the data set depends on the availability of inflation forecast data. For advanced economies, the data start earliest in 1990, yielding a maximum of 319 monthly observations per country. For emerging markets, the starting dates vary by region</w:t>
      </w:r>
      <w:r w:rsidR="0024466F">
        <w:rPr>
          <w:rFonts w:ascii="Times New Roman" w:hAnsi="Times New Roman"/>
          <w:sz w:val="24"/>
          <w:szCs w:val="24"/>
        </w:rPr>
        <w:t xml:space="preserve"> </w:t>
      </w:r>
      <w:r w:rsidR="0024466F" w:rsidRPr="00731C8B">
        <w:rPr>
          <w:rFonts w:ascii="Times New Roman" w:hAnsi="Times New Roman"/>
          <w:sz w:val="24"/>
          <w:szCs w:val="24"/>
        </w:rPr>
        <w:t xml:space="preserve">(see </w:t>
      </w:r>
      <w:r w:rsidR="0024466F">
        <w:rPr>
          <w:rFonts w:ascii="Times New Roman" w:hAnsi="Times New Roman"/>
          <w:sz w:val="24"/>
          <w:szCs w:val="24"/>
        </w:rPr>
        <w:t>Online Appendix</w:t>
      </w:r>
      <w:r w:rsidR="0024466F" w:rsidRPr="00731C8B">
        <w:rPr>
          <w:rFonts w:ascii="Times New Roman" w:hAnsi="Times New Roman"/>
          <w:sz w:val="24"/>
          <w:szCs w:val="24"/>
        </w:rPr>
        <w:t xml:space="preserve"> Table A1 for details)</w:t>
      </w:r>
      <w:r w:rsidRPr="00731C8B">
        <w:rPr>
          <w:rFonts w:ascii="Times New Roman" w:hAnsi="Times New Roman"/>
          <w:sz w:val="24"/>
          <w:szCs w:val="24"/>
        </w:rPr>
        <w:t xml:space="preserve">. </w:t>
      </w:r>
    </w:p>
    <w:p w14:paraId="6B426463" w14:textId="078F4033" w:rsidR="00401CD1" w:rsidRPr="00731C8B" w:rsidRDefault="00401CD1" w:rsidP="00695AE0">
      <w:pPr>
        <w:pStyle w:val="Paragraph"/>
        <w:spacing w:line="480" w:lineRule="auto"/>
        <w:rPr>
          <w:rFonts w:ascii="Times New Roman" w:eastAsiaTheme="minorEastAsia" w:hAnsi="Times New Roman"/>
          <w:sz w:val="24"/>
          <w:szCs w:val="24"/>
        </w:rPr>
      </w:pPr>
      <w:r w:rsidRPr="00731C8B">
        <w:rPr>
          <w:rFonts w:ascii="Times New Roman" w:eastAsiaTheme="minorEastAsia" w:hAnsi="Times New Roman"/>
          <w:sz w:val="24"/>
          <w:szCs w:val="24"/>
        </w:rPr>
        <w:t>Our inflation data are for headline consumer price inflation (CPI, year on year).</w:t>
      </w:r>
      <w:r w:rsidRPr="00731C8B">
        <w:rPr>
          <w:rStyle w:val="FootnoteReference"/>
          <w:rFonts w:ascii="Times New Roman" w:eastAsiaTheme="minorEastAsia" w:hAnsi="Times New Roman"/>
          <w:iCs/>
          <w:sz w:val="24"/>
          <w:szCs w:val="24"/>
        </w:rPr>
        <w:footnoteReference w:id="10"/>
      </w:r>
      <w:r w:rsidRPr="00731C8B">
        <w:rPr>
          <w:rFonts w:ascii="Times New Roman" w:eastAsiaTheme="minorEastAsia" w:hAnsi="Times New Roman"/>
          <w:sz w:val="24"/>
          <w:szCs w:val="24"/>
        </w:rPr>
        <w:t xml:space="preserve"> </w:t>
      </w:r>
      <w:r w:rsidR="008576A5">
        <w:rPr>
          <w:rFonts w:ascii="Times New Roman" w:eastAsiaTheme="minorEastAsia" w:hAnsi="Times New Roman"/>
          <w:sz w:val="24"/>
          <w:szCs w:val="24"/>
        </w:rPr>
        <w:t>In our baseline results, we define</w:t>
      </w:r>
      <w:r w:rsidRPr="00731C8B">
        <w:rPr>
          <w:rFonts w:ascii="Times New Roman" w:eastAsiaTheme="minorEastAsia" w:hAnsi="Times New Roman"/>
          <w:sz w:val="24"/>
          <w:szCs w:val="24"/>
        </w:rPr>
        <w:t xml:space="preserve"> deflation</w:t>
      </w:r>
      <w:r w:rsidR="007C05C9">
        <w:rPr>
          <w:rFonts w:ascii="Times New Roman" w:eastAsiaTheme="minorEastAsia" w:hAnsi="Times New Roman"/>
          <w:sz w:val="24"/>
          <w:szCs w:val="24"/>
        </w:rPr>
        <w:t>ary</w:t>
      </w:r>
      <w:r w:rsidRPr="00731C8B">
        <w:rPr>
          <w:rFonts w:ascii="Times New Roman" w:eastAsiaTheme="minorEastAsia" w:hAnsi="Times New Roman"/>
          <w:sz w:val="24"/>
          <w:szCs w:val="24"/>
        </w:rPr>
        <w:t xml:space="preserve"> episodes </w:t>
      </w:r>
      <w:r w:rsidR="008576A5">
        <w:rPr>
          <w:rFonts w:ascii="Times New Roman" w:eastAsiaTheme="minorEastAsia" w:hAnsi="Times New Roman"/>
          <w:sz w:val="24"/>
          <w:szCs w:val="24"/>
        </w:rPr>
        <w:t xml:space="preserve">as those </w:t>
      </w:r>
      <w:r w:rsidRPr="00731C8B">
        <w:rPr>
          <w:rFonts w:ascii="Times New Roman" w:eastAsiaTheme="minorEastAsia" w:hAnsi="Times New Roman"/>
          <w:sz w:val="24"/>
          <w:szCs w:val="24"/>
        </w:rPr>
        <w:t xml:space="preserve">characterised by </w:t>
      </w:r>
      <w:r w:rsidR="008576A5" w:rsidRPr="00731C8B">
        <w:rPr>
          <w:rFonts w:ascii="Times New Roman" w:eastAsiaTheme="minorEastAsia" w:hAnsi="Times New Roman"/>
          <w:sz w:val="24"/>
          <w:szCs w:val="24"/>
        </w:rPr>
        <w:t>at least six consecutive months</w:t>
      </w:r>
      <w:r w:rsidR="008576A5">
        <w:rPr>
          <w:rFonts w:ascii="Times New Roman" w:eastAsiaTheme="minorEastAsia" w:hAnsi="Times New Roman"/>
          <w:sz w:val="24"/>
          <w:szCs w:val="24"/>
        </w:rPr>
        <w:t xml:space="preserve"> of </w:t>
      </w:r>
      <w:r w:rsidRPr="00731C8B">
        <w:rPr>
          <w:rFonts w:ascii="Times New Roman" w:eastAsiaTheme="minorEastAsia" w:hAnsi="Times New Roman"/>
          <w:sz w:val="24"/>
          <w:szCs w:val="24"/>
        </w:rPr>
        <w:t xml:space="preserve">negative headline inflation rates (year on year). Furthermore, a country is regarded as exiting the deflation episode only in the third consecutive month of positive inflation rates that </w:t>
      </w:r>
      <w:r w:rsidR="00C356B3">
        <w:rPr>
          <w:rFonts w:ascii="Times New Roman" w:eastAsiaTheme="minorEastAsia" w:hAnsi="Times New Roman"/>
          <w:sz w:val="24"/>
          <w:szCs w:val="24"/>
        </w:rPr>
        <w:t xml:space="preserve">potentially </w:t>
      </w:r>
      <w:r w:rsidRPr="00731C8B">
        <w:rPr>
          <w:rFonts w:ascii="Times New Roman" w:eastAsiaTheme="minorEastAsia" w:hAnsi="Times New Roman"/>
          <w:sz w:val="24"/>
          <w:szCs w:val="24"/>
        </w:rPr>
        <w:t xml:space="preserve">follow deflation. This classification ensures that very short bouts of negative inflation rates do not count as individual deflation episodes. Moreover, it avoids longer deflation periods being classified as several shorter ones, if they are interrupted only by one or two months of positive inflation rates. In the empirical analysis, we also consider </w:t>
      </w:r>
      <w:r w:rsidRPr="00731C8B">
        <w:rPr>
          <w:rFonts w:ascii="Times New Roman" w:eastAsiaTheme="minorEastAsia" w:hAnsi="Times New Roman"/>
          <w:sz w:val="24"/>
          <w:szCs w:val="24"/>
        </w:rPr>
        <w:lastRenderedPageBreak/>
        <w:t>“persistent” deflation episodes that comprise a minimum of twelve consecutive months of negative headline inflation rates.</w:t>
      </w:r>
    </w:p>
    <w:p w14:paraId="6D120EBE" w14:textId="77777777" w:rsidR="00401CD1" w:rsidRPr="00731C8B" w:rsidRDefault="00695AE0" w:rsidP="00695AE0">
      <w:pPr>
        <w:pStyle w:val="Paragraph"/>
        <w:spacing w:line="480" w:lineRule="auto"/>
        <w:rPr>
          <w:rFonts w:ascii="Times New Roman" w:hAnsi="Times New Roman"/>
          <w:sz w:val="24"/>
          <w:szCs w:val="24"/>
        </w:rPr>
      </w:pPr>
      <w:r>
        <w:rPr>
          <w:rFonts w:ascii="Times New Roman" w:hAnsi="Times New Roman"/>
          <w:sz w:val="24"/>
          <w:szCs w:val="24"/>
        </w:rPr>
        <w:t>[Graph 1 around here]</w:t>
      </w:r>
    </w:p>
    <w:p w14:paraId="68CC74B3" w14:textId="056AB912" w:rsidR="00D80A06" w:rsidRDefault="00D80A06" w:rsidP="00695AE0">
      <w:pPr>
        <w:pStyle w:val="Paragraph"/>
        <w:spacing w:line="480" w:lineRule="auto"/>
        <w:rPr>
          <w:rFonts w:ascii="Times New Roman" w:hAnsi="Times New Roman"/>
          <w:sz w:val="24"/>
          <w:szCs w:val="24"/>
        </w:rPr>
      </w:pPr>
      <w:r w:rsidRPr="00731C8B">
        <w:rPr>
          <w:rFonts w:ascii="Times New Roman" w:hAnsi="Times New Roman"/>
          <w:sz w:val="24"/>
          <w:szCs w:val="24"/>
        </w:rPr>
        <w:t xml:space="preserve">The 47 deflation episodes identified in our sample are shown in Graph 1. Three periods with </w:t>
      </w:r>
      <w:r w:rsidR="00143C8E">
        <w:rPr>
          <w:rFonts w:ascii="Times New Roman" w:hAnsi="Times New Roman"/>
          <w:sz w:val="24"/>
          <w:szCs w:val="24"/>
        </w:rPr>
        <w:t xml:space="preserve">a </w:t>
      </w:r>
      <w:r w:rsidRPr="00731C8B">
        <w:rPr>
          <w:rFonts w:ascii="Times New Roman" w:hAnsi="Times New Roman"/>
          <w:sz w:val="24"/>
          <w:szCs w:val="24"/>
        </w:rPr>
        <w:t xml:space="preserve">greater occurrence of deflations stand out. First, various Asian economies experienced deflation around the time of the Asian financial crisis: Hong Kong SAR, mainland China, Chinese Taipei, Singapore and Thailand. Japan also experienced a long spell of deflation </w:t>
      </w:r>
      <w:r w:rsidR="004C2516">
        <w:rPr>
          <w:rFonts w:ascii="Times New Roman" w:hAnsi="Times New Roman"/>
          <w:sz w:val="24"/>
          <w:szCs w:val="24"/>
        </w:rPr>
        <w:t>during</w:t>
      </w:r>
      <w:r w:rsidR="004C2516" w:rsidRPr="00731C8B">
        <w:rPr>
          <w:rFonts w:ascii="Times New Roman" w:hAnsi="Times New Roman"/>
          <w:sz w:val="24"/>
          <w:szCs w:val="24"/>
        </w:rPr>
        <w:t xml:space="preserve"> </w:t>
      </w:r>
      <w:r w:rsidRPr="00731C8B">
        <w:rPr>
          <w:rFonts w:ascii="Times New Roman" w:hAnsi="Times New Roman"/>
          <w:sz w:val="24"/>
          <w:szCs w:val="24"/>
        </w:rPr>
        <w:t>its domestic banking crisis</w:t>
      </w:r>
      <w:r w:rsidR="00185B51">
        <w:rPr>
          <w:rFonts w:ascii="Times New Roman" w:hAnsi="Times New Roman"/>
          <w:sz w:val="24"/>
          <w:szCs w:val="24"/>
        </w:rPr>
        <w:t xml:space="preserve"> in the late 1990s</w:t>
      </w:r>
      <w:r w:rsidRPr="00731C8B">
        <w:rPr>
          <w:rFonts w:ascii="Times New Roman" w:hAnsi="Times New Roman"/>
          <w:sz w:val="24"/>
          <w:szCs w:val="24"/>
        </w:rPr>
        <w:t>. The second, more global, bout of deflations took place during the G</w:t>
      </w:r>
      <w:r w:rsidR="005046F3">
        <w:rPr>
          <w:rFonts w:ascii="Times New Roman" w:hAnsi="Times New Roman"/>
          <w:sz w:val="24"/>
          <w:szCs w:val="24"/>
        </w:rPr>
        <w:t xml:space="preserve">reat </w:t>
      </w:r>
      <w:r w:rsidRPr="00731C8B">
        <w:rPr>
          <w:rFonts w:ascii="Times New Roman" w:hAnsi="Times New Roman"/>
          <w:sz w:val="24"/>
          <w:szCs w:val="24"/>
        </w:rPr>
        <w:t>F</w:t>
      </w:r>
      <w:r w:rsidR="005046F3">
        <w:rPr>
          <w:rFonts w:ascii="Times New Roman" w:hAnsi="Times New Roman"/>
          <w:sz w:val="24"/>
          <w:szCs w:val="24"/>
        </w:rPr>
        <w:t xml:space="preserve">inancial </w:t>
      </w:r>
      <w:r w:rsidRPr="00731C8B">
        <w:rPr>
          <w:rFonts w:ascii="Times New Roman" w:hAnsi="Times New Roman"/>
          <w:sz w:val="24"/>
          <w:szCs w:val="24"/>
        </w:rPr>
        <w:t>C</w:t>
      </w:r>
      <w:r w:rsidR="005046F3">
        <w:rPr>
          <w:rFonts w:ascii="Times New Roman" w:hAnsi="Times New Roman"/>
          <w:sz w:val="24"/>
          <w:szCs w:val="24"/>
        </w:rPr>
        <w:t>risis (GFC)</w:t>
      </w:r>
      <w:r w:rsidRPr="00731C8B">
        <w:rPr>
          <w:rFonts w:ascii="Times New Roman" w:hAnsi="Times New Roman"/>
          <w:sz w:val="24"/>
          <w:szCs w:val="24"/>
        </w:rPr>
        <w:t>. The third relatively widespread period of falling prices occurred in 2014–15, affecting many European countries but also some emerging economies in Asia. Over time, deflations were increasingly associated with near-zero interest rates (blue lines in Graph 1).</w:t>
      </w:r>
    </w:p>
    <w:p w14:paraId="06A5E39A" w14:textId="3AAF452C" w:rsidR="00401CD1" w:rsidRPr="00731C8B" w:rsidRDefault="00401CD1" w:rsidP="00695AE0">
      <w:pPr>
        <w:pStyle w:val="Paragraph"/>
        <w:spacing w:line="480" w:lineRule="auto"/>
        <w:rPr>
          <w:rFonts w:ascii="Times New Roman" w:hAnsi="Times New Roman"/>
          <w:sz w:val="24"/>
          <w:szCs w:val="24"/>
        </w:rPr>
      </w:pPr>
      <w:r w:rsidRPr="00731C8B">
        <w:rPr>
          <w:rFonts w:ascii="Times New Roman" w:hAnsi="Times New Roman"/>
          <w:sz w:val="24"/>
          <w:szCs w:val="24"/>
        </w:rPr>
        <w:t xml:space="preserve">Overall, the deflation </w:t>
      </w:r>
      <w:r w:rsidR="003A58AF">
        <w:rPr>
          <w:rFonts w:ascii="Times New Roman" w:hAnsi="Times New Roman"/>
          <w:sz w:val="24"/>
          <w:szCs w:val="24"/>
        </w:rPr>
        <w:t>episodes</w:t>
      </w:r>
      <w:r w:rsidRPr="00731C8B">
        <w:rPr>
          <w:rFonts w:ascii="Times New Roman" w:hAnsi="Times New Roman"/>
          <w:sz w:val="24"/>
          <w:szCs w:val="24"/>
        </w:rPr>
        <w:t xml:space="preserve"> are </w:t>
      </w:r>
      <w:r w:rsidR="003A58AF">
        <w:rPr>
          <w:rFonts w:ascii="Times New Roman" w:hAnsi="Times New Roman"/>
          <w:sz w:val="24"/>
          <w:szCs w:val="24"/>
        </w:rPr>
        <w:t>quite</w:t>
      </w:r>
      <w:r w:rsidR="003A58AF" w:rsidRPr="00731C8B">
        <w:rPr>
          <w:rFonts w:ascii="Times New Roman" w:hAnsi="Times New Roman"/>
          <w:sz w:val="24"/>
          <w:szCs w:val="24"/>
        </w:rPr>
        <w:t xml:space="preserve"> </w:t>
      </w:r>
      <w:r w:rsidRPr="00731C8B">
        <w:rPr>
          <w:rFonts w:ascii="Times New Roman" w:hAnsi="Times New Roman"/>
          <w:sz w:val="24"/>
          <w:szCs w:val="24"/>
        </w:rPr>
        <w:t>widely dispersed across countries</w:t>
      </w:r>
      <w:r w:rsidR="003A58AF">
        <w:rPr>
          <w:rFonts w:ascii="Times New Roman" w:hAnsi="Times New Roman"/>
          <w:sz w:val="24"/>
          <w:szCs w:val="24"/>
        </w:rPr>
        <w:t xml:space="preserve">. </w:t>
      </w:r>
      <w:r w:rsidRPr="00731C8B">
        <w:rPr>
          <w:rFonts w:ascii="Times New Roman" w:hAnsi="Times New Roman"/>
          <w:sz w:val="24"/>
          <w:szCs w:val="24"/>
        </w:rPr>
        <w:t xml:space="preserve">17 deflation episodes took place in advanced economies and 30 in emerging markets, while 11 occurred in countries that were part (or later became part) of the euro area. Hong Kong SAR experienced the lowest inflation outcome within a single deflation episode in the sample (–6.1%). </w:t>
      </w:r>
      <w:r w:rsidR="005B6DC8">
        <w:rPr>
          <w:rFonts w:ascii="Times New Roman" w:hAnsi="Times New Roman"/>
          <w:sz w:val="24"/>
          <w:szCs w:val="24"/>
        </w:rPr>
        <w:t>Online Appendix</w:t>
      </w:r>
      <w:r w:rsidRPr="00731C8B">
        <w:rPr>
          <w:rFonts w:ascii="Times New Roman" w:hAnsi="Times New Roman"/>
          <w:sz w:val="24"/>
          <w:szCs w:val="24"/>
        </w:rPr>
        <w:t xml:space="preserve"> Table A2 shows details of the identified deflations, including their length and the minimum inflation outcomes and levels of expectations during these time periods. </w:t>
      </w:r>
    </w:p>
    <w:p w14:paraId="251945FE" w14:textId="48B62717" w:rsidR="00401CD1" w:rsidRPr="00731C8B" w:rsidRDefault="00401CD1" w:rsidP="00695AE0">
      <w:pPr>
        <w:pStyle w:val="Paragraph"/>
        <w:spacing w:line="480" w:lineRule="auto"/>
        <w:rPr>
          <w:rFonts w:ascii="Times New Roman" w:hAnsi="Times New Roman"/>
          <w:sz w:val="24"/>
          <w:szCs w:val="24"/>
        </w:rPr>
      </w:pPr>
      <w:r w:rsidRPr="00731C8B">
        <w:rPr>
          <w:rFonts w:ascii="Times New Roman" w:hAnsi="Times New Roman"/>
          <w:sz w:val="24"/>
          <w:szCs w:val="24"/>
        </w:rPr>
        <w:t xml:space="preserve">Similarly to deflations, we also classify periods of high inflation. </w:t>
      </w:r>
      <w:r w:rsidRPr="00731C8B">
        <w:rPr>
          <w:rFonts w:ascii="Times New Roman" w:eastAsiaTheme="minorEastAsia" w:hAnsi="Times New Roman"/>
          <w:sz w:val="24"/>
          <w:szCs w:val="24"/>
        </w:rPr>
        <w:t xml:space="preserve">We define an economy to have high inflation if the headline inflation rate is above four per cent for at least six consecutive months. </w:t>
      </w:r>
      <w:r w:rsidR="008610D1">
        <w:rPr>
          <w:rFonts w:ascii="Times New Roman" w:eastAsiaTheme="minorEastAsia" w:hAnsi="Times New Roman"/>
          <w:sz w:val="24"/>
          <w:szCs w:val="24"/>
        </w:rPr>
        <w:t>W</w:t>
      </w:r>
      <w:r w:rsidRPr="00731C8B">
        <w:rPr>
          <w:rFonts w:ascii="Times New Roman" w:eastAsiaTheme="minorEastAsia" w:hAnsi="Times New Roman"/>
          <w:sz w:val="24"/>
          <w:szCs w:val="24"/>
        </w:rPr>
        <w:t>e omit as outliers all observations with inflation rates exceeding 10%.</w:t>
      </w:r>
    </w:p>
    <w:p w14:paraId="559ED9D8" w14:textId="77777777" w:rsidR="001760B2" w:rsidRPr="00731C8B" w:rsidRDefault="00401CD1" w:rsidP="00695AE0">
      <w:pPr>
        <w:pStyle w:val="Paragraph"/>
        <w:spacing w:line="480" w:lineRule="auto"/>
        <w:rPr>
          <w:rFonts w:ascii="Times New Roman" w:hAnsi="Times New Roman"/>
          <w:sz w:val="24"/>
          <w:szCs w:val="24"/>
        </w:rPr>
      </w:pPr>
      <w:r w:rsidRPr="00731C8B">
        <w:rPr>
          <w:rFonts w:ascii="Times New Roman" w:hAnsi="Times New Roman"/>
          <w:sz w:val="24"/>
          <w:szCs w:val="24"/>
        </w:rPr>
        <w:lastRenderedPageBreak/>
        <w:t xml:space="preserve">Graph 2 </w:t>
      </w:r>
      <w:r w:rsidR="00CD44F8">
        <w:rPr>
          <w:rFonts w:ascii="Times New Roman" w:hAnsi="Times New Roman"/>
          <w:sz w:val="24"/>
          <w:szCs w:val="24"/>
        </w:rPr>
        <w:t>plots</w:t>
      </w:r>
      <w:r w:rsidRPr="00731C8B">
        <w:rPr>
          <w:rFonts w:ascii="Times New Roman" w:hAnsi="Times New Roman"/>
          <w:sz w:val="24"/>
          <w:szCs w:val="24"/>
        </w:rPr>
        <w:t xml:space="preserve"> </w:t>
      </w:r>
      <w:r w:rsidR="00CD44F8">
        <w:rPr>
          <w:rFonts w:ascii="Times New Roman" w:hAnsi="Times New Roman"/>
          <w:sz w:val="24"/>
          <w:szCs w:val="24"/>
        </w:rPr>
        <w:t>i</w:t>
      </w:r>
      <w:r w:rsidRPr="00731C8B">
        <w:rPr>
          <w:rFonts w:ascii="Times New Roman" w:hAnsi="Times New Roman"/>
          <w:sz w:val="24"/>
          <w:szCs w:val="24"/>
        </w:rPr>
        <w:t xml:space="preserve">nflation outcomes </w:t>
      </w:r>
      <w:r w:rsidR="00CD44F8">
        <w:rPr>
          <w:rFonts w:ascii="Times New Roman" w:hAnsi="Times New Roman"/>
          <w:sz w:val="24"/>
          <w:szCs w:val="24"/>
        </w:rPr>
        <w:t>together with</w:t>
      </w:r>
      <w:r w:rsidRPr="00731C8B">
        <w:rPr>
          <w:rFonts w:ascii="Times New Roman" w:hAnsi="Times New Roman"/>
          <w:sz w:val="24"/>
          <w:szCs w:val="24"/>
        </w:rPr>
        <w:t xml:space="preserve"> </w:t>
      </w:r>
      <w:r w:rsidR="00CD44F8">
        <w:rPr>
          <w:rFonts w:ascii="Times New Roman" w:hAnsi="Times New Roman"/>
          <w:sz w:val="24"/>
          <w:szCs w:val="24"/>
        </w:rPr>
        <w:t xml:space="preserve">a measure of forecast disagreement, </w:t>
      </w:r>
      <w:proofErr w:type="spellStart"/>
      <w:r w:rsidR="00CD44F8">
        <w:rPr>
          <w:rFonts w:ascii="Times New Roman" w:hAnsi="Times New Roman"/>
          <w:sz w:val="24"/>
          <w:szCs w:val="24"/>
        </w:rPr>
        <w:t>ie</w:t>
      </w:r>
      <w:proofErr w:type="spellEnd"/>
      <w:r w:rsidR="00CD44F8">
        <w:rPr>
          <w:rFonts w:ascii="Times New Roman" w:hAnsi="Times New Roman"/>
          <w:sz w:val="24"/>
          <w:szCs w:val="24"/>
        </w:rPr>
        <w:t xml:space="preserve"> the interquartile range of next year forecasts, for our sample.</w:t>
      </w:r>
      <w:r w:rsidR="009469CE">
        <w:rPr>
          <w:rStyle w:val="FootnoteReference"/>
          <w:sz w:val="24"/>
          <w:szCs w:val="24"/>
        </w:rPr>
        <w:footnoteReference w:id="11"/>
      </w:r>
      <w:r w:rsidRPr="00731C8B">
        <w:rPr>
          <w:rFonts w:ascii="Times New Roman" w:hAnsi="Times New Roman"/>
          <w:sz w:val="24"/>
          <w:szCs w:val="24"/>
        </w:rPr>
        <w:t xml:space="preserve"> </w:t>
      </w:r>
      <w:r w:rsidR="001760B2" w:rsidRPr="00731C8B">
        <w:rPr>
          <w:rFonts w:ascii="Times New Roman" w:hAnsi="Times New Roman"/>
          <w:sz w:val="24"/>
          <w:szCs w:val="24"/>
        </w:rPr>
        <w:t xml:space="preserve">We use a generalised additive model to illustrate the relationship between the variables, shown as the blue line. The generalised additive model fits locally linear regressions, where smoothing is achieved by cubic basis splines (see Hastie and </w:t>
      </w:r>
      <w:proofErr w:type="spellStart"/>
      <w:r w:rsidR="001760B2" w:rsidRPr="00731C8B">
        <w:rPr>
          <w:rFonts w:ascii="Times New Roman" w:hAnsi="Times New Roman"/>
          <w:sz w:val="24"/>
          <w:szCs w:val="24"/>
        </w:rPr>
        <w:t>Tibshirani</w:t>
      </w:r>
      <w:proofErr w:type="spellEnd"/>
      <w:r w:rsidR="001760B2" w:rsidRPr="00731C8B">
        <w:rPr>
          <w:rFonts w:ascii="Times New Roman" w:hAnsi="Times New Roman"/>
          <w:sz w:val="24"/>
          <w:szCs w:val="24"/>
        </w:rPr>
        <w:t xml:space="preserve"> (1990) for more details).</w:t>
      </w:r>
    </w:p>
    <w:p w14:paraId="4A1812A1" w14:textId="77777777" w:rsidR="00217613" w:rsidRDefault="00CD44F8" w:rsidP="00695AE0">
      <w:pPr>
        <w:pStyle w:val="Paragraph"/>
        <w:spacing w:line="480" w:lineRule="auto"/>
        <w:rPr>
          <w:rFonts w:ascii="Times New Roman" w:hAnsi="Times New Roman"/>
          <w:sz w:val="24"/>
          <w:szCs w:val="24"/>
        </w:rPr>
      </w:pPr>
      <w:r>
        <w:rPr>
          <w:rFonts w:ascii="Times New Roman" w:hAnsi="Times New Roman"/>
          <w:sz w:val="24"/>
          <w:szCs w:val="24"/>
        </w:rPr>
        <w:t>[Graph 2</w:t>
      </w:r>
      <w:r w:rsidR="00217613">
        <w:rPr>
          <w:rFonts w:ascii="Times New Roman" w:hAnsi="Times New Roman"/>
          <w:sz w:val="24"/>
          <w:szCs w:val="24"/>
        </w:rPr>
        <w:t xml:space="preserve"> around here]</w:t>
      </w:r>
    </w:p>
    <w:p w14:paraId="188F7831" w14:textId="77777777" w:rsidR="00401CD1" w:rsidRPr="00731C8B" w:rsidRDefault="00CD44F8" w:rsidP="00695AE0">
      <w:pPr>
        <w:pStyle w:val="Paragraph"/>
        <w:spacing w:line="480" w:lineRule="auto"/>
        <w:rPr>
          <w:rFonts w:ascii="Times New Roman" w:hAnsi="Times New Roman"/>
          <w:sz w:val="24"/>
          <w:szCs w:val="24"/>
        </w:rPr>
      </w:pPr>
      <w:r>
        <w:rPr>
          <w:rFonts w:ascii="Times New Roman" w:hAnsi="Times New Roman"/>
          <w:sz w:val="24"/>
          <w:szCs w:val="24"/>
        </w:rPr>
        <w:t>Graph 2</w:t>
      </w:r>
      <w:r w:rsidR="00401CD1" w:rsidRPr="00731C8B">
        <w:rPr>
          <w:rFonts w:ascii="Times New Roman" w:hAnsi="Times New Roman"/>
          <w:sz w:val="24"/>
          <w:szCs w:val="24"/>
        </w:rPr>
        <w:t xml:space="preserve"> suggests that the relationship between inflation outcomes and forecast disagreement is U-shaped. </w:t>
      </w:r>
      <w:r w:rsidR="0012390C">
        <w:rPr>
          <w:rFonts w:ascii="Times New Roman" w:hAnsi="Times New Roman"/>
          <w:sz w:val="24"/>
          <w:szCs w:val="24"/>
        </w:rPr>
        <w:t>The interquartile range obtains its lowest value a</w:t>
      </w:r>
      <w:r w:rsidR="00401CD1" w:rsidRPr="00731C8B">
        <w:rPr>
          <w:rFonts w:ascii="Times New Roman" w:hAnsi="Times New Roman"/>
          <w:sz w:val="24"/>
          <w:szCs w:val="24"/>
        </w:rPr>
        <w:t xml:space="preserve">t positive inflation rates of around 2%, </w:t>
      </w:r>
      <w:r w:rsidR="0012390C">
        <w:rPr>
          <w:rFonts w:ascii="Times New Roman" w:hAnsi="Times New Roman"/>
          <w:sz w:val="24"/>
          <w:szCs w:val="24"/>
        </w:rPr>
        <w:t xml:space="preserve">with an </w:t>
      </w:r>
      <w:r w:rsidR="00401CD1" w:rsidRPr="00731C8B">
        <w:rPr>
          <w:rFonts w:ascii="Times New Roman" w:hAnsi="Times New Roman"/>
          <w:sz w:val="24"/>
          <w:szCs w:val="24"/>
        </w:rPr>
        <w:t>interquartile range of around 0.5</w:t>
      </w:r>
      <w:r w:rsidR="00705F4E">
        <w:rPr>
          <w:rFonts w:ascii="Times New Roman" w:hAnsi="Times New Roman"/>
          <w:sz w:val="24"/>
          <w:szCs w:val="24"/>
        </w:rPr>
        <w:t xml:space="preserve"> percentage points</w:t>
      </w:r>
      <w:r w:rsidR="00401CD1" w:rsidRPr="00731C8B">
        <w:rPr>
          <w:rFonts w:ascii="Times New Roman" w:hAnsi="Times New Roman"/>
          <w:sz w:val="24"/>
          <w:szCs w:val="24"/>
        </w:rPr>
        <w:t xml:space="preserve">. The upward-sloping part of the curve during positive inflation rates has been documented in previous research, see </w:t>
      </w:r>
      <w:proofErr w:type="spellStart"/>
      <w:r w:rsidR="00401CD1" w:rsidRPr="00731C8B">
        <w:rPr>
          <w:rFonts w:ascii="Times New Roman" w:hAnsi="Times New Roman"/>
          <w:sz w:val="24"/>
          <w:szCs w:val="24"/>
        </w:rPr>
        <w:t>eg</w:t>
      </w:r>
      <w:proofErr w:type="spellEnd"/>
      <w:r w:rsidR="00401CD1" w:rsidRPr="00731C8B">
        <w:rPr>
          <w:rFonts w:ascii="Times New Roman" w:hAnsi="Times New Roman"/>
          <w:sz w:val="24"/>
          <w:szCs w:val="24"/>
        </w:rPr>
        <w:t xml:space="preserve"> </w:t>
      </w:r>
      <w:proofErr w:type="spellStart"/>
      <w:r w:rsidR="00401CD1" w:rsidRPr="00731C8B">
        <w:rPr>
          <w:rFonts w:ascii="Times New Roman" w:hAnsi="Times New Roman"/>
          <w:sz w:val="24"/>
          <w:szCs w:val="24"/>
        </w:rPr>
        <w:t>Mankiw</w:t>
      </w:r>
      <w:proofErr w:type="spellEnd"/>
      <w:r w:rsidR="00401CD1" w:rsidRPr="00731C8B">
        <w:rPr>
          <w:rFonts w:ascii="Times New Roman" w:hAnsi="Times New Roman"/>
          <w:sz w:val="24"/>
          <w:szCs w:val="24"/>
        </w:rPr>
        <w:t xml:space="preserve"> et al (2004). Our results suggest a similar relationship during deflation. In particular, once inflation passes the zero mark and enters negative territory, the interquartile range rises</w:t>
      </w:r>
      <w:r w:rsidR="0069534E">
        <w:rPr>
          <w:rFonts w:ascii="Times New Roman" w:hAnsi="Times New Roman"/>
          <w:sz w:val="24"/>
          <w:szCs w:val="24"/>
        </w:rPr>
        <w:t xml:space="preserve"> rather steeply</w:t>
      </w:r>
      <w:r w:rsidR="00401CD1" w:rsidRPr="00731C8B">
        <w:rPr>
          <w:rFonts w:ascii="Times New Roman" w:hAnsi="Times New Roman"/>
          <w:sz w:val="24"/>
          <w:szCs w:val="24"/>
        </w:rPr>
        <w:t xml:space="preserve">. At an inflation rate of –1.7%, corresponding to the average minimum inflation outcome across the deflation episodes, forecast disagreement is at a similar level as with a positive inflation rate of 6%. </w:t>
      </w:r>
    </w:p>
    <w:p w14:paraId="5302B123" w14:textId="77777777" w:rsidR="00401CD1" w:rsidRPr="00731C8B" w:rsidRDefault="00401CD1" w:rsidP="00695AE0">
      <w:pPr>
        <w:pStyle w:val="Heading1"/>
        <w:spacing w:line="480" w:lineRule="auto"/>
        <w:rPr>
          <w:rFonts w:ascii="Times New Roman" w:hAnsi="Times New Roman"/>
          <w:color w:val="auto"/>
          <w:sz w:val="24"/>
          <w:szCs w:val="24"/>
        </w:rPr>
      </w:pPr>
      <w:r w:rsidRPr="00731C8B">
        <w:rPr>
          <w:rFonts w:ascii="Times New Roman" w:hAnsi="Times New Roman"/>
          <w:color w:val="auto"/>
          <w:sz w:val="24"/>
          <w:szCs w:val="24"/>
        </w:rPr>
        <w:t>3.</w:t>
      </w:r>
      <w:r w:rsidR="00A8336E" w:rsidRPr="00731C8B">
        <w:rPr>
          <w:rFonts w:ascii="Times New Roman" w:hAnsi="Times New Roman"/>
          <w:color w:val="auto"/>
          <w:sz w:val="24"/>
          <w:szCs w:val="24"/>
        </w:rPr>
        <w:tab/>
      </w:r>
      <w:r w:rsidRPr="00731C8B">
        <w:rPr>
          <w:rFonts w:ascii="Times New Roman" w:hAnsi="Times New Roman"/>
          <w:color w:val="auto"/>
          <w:sz w:val="24"/>
          <w:szCs w:val="24"/>
        </w:rPr>
        <w:t>Empirical strategy</w:t>
      </w:r>
    </w:p>
    <w:p w14:paraId="2952748B" w14:textId="77777777" w:rsidR="00401CD1" w:rsidRPr="00731C8B" w:rsidRDefault="00401CD1" w:rsidP="00AC266A">
      <w:pPr>
        <w:pStyle w:val="Paragraph"/>
        <w:spacing w:line="480" w:lineRule="auto"/>
        <w:ind w:firstLine="0"/>
        <w:rPr>
          <w:rFonts w:ascii="Times New Roman" w:hAnsi="Times New Roman"/>
          <w:sz w:val="24"/>
          <w:szCs w:val="24"/>
        </w:rPr>
      </w:pPr>
      <w:r w:rsidRPr="00731C8B">
        <w:rPr>
          <w:rFonts w:ascii="Times New Roman" w:hAnsi="Times New Roman"/>
          <w:sz w:val="24"/>
          <w:szCs w:val="24"/>
        </w:rPr>
        <w:t>The estimated equation for forecast disagreement is of the type:</w:t>
      </w:r>
    </w:p>
    <w:p w14:paraId="5B4DB064" w14:textId="7765F5E9" w:rsidR="00401CD1" w:rsidRPr="00731C8B" w:rsidRDefault="00AA128E" w:rsidP="00695AE0">
      <w:pPr>
        <w:pStyle w:val="FirstParagraph"/>
        <w:tabs>
          <w:tab w:val="right" w:pos="7419"/>
        </w:tabs>
        <w:spacing w:line="480" w:lineRule="auto"/>
        <w:rPr>
          <w:rFonts w:ascii="Times New Roman" w:hAnsi="Times New Roman"/>
          <w:sz w:val="24"/>
          <w:szCs w:val="24"/>
        </w:rPr>
      </w:pPr>
      <m:oMath>
        <m:sSub>
          <m:sSubPr>
            <m:ctrlPr>
              <w:rPr>
                <w:rFonts w:ascii="Cambria Math" w:hAnsi="Cambria Math"/>
                <w:iCs/>
                <w:sz w:val="22"/>
                <w:szCs w:val="22"/>
              </w:rPr>
            </m:ctrlPr>
          </m:sSubPr>
          <m:e>
            <m:r>
              <w:rPr>
                <w:rFonts w:ascii="Cambria Math" w:hAnsi="Cambria Math"/>
                <w:sz w:val="22"/>
                <w:szCs w:val="22"/>
                <w:lang w:val="en-US"/>
              </w:rPr>
              <m:t>disp</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d>
          <m:dPr>
            <m:ctrlPr>
              <w:rPr>
                <w:rFonts w:ascii="Cambria Math" w:hAnsi="Cambria Math"/>
                <w:iCs/>
                <w:sz w:val="22"/>
                <w:szCs w:val="22"/>
              </w:rPr>
            </m:ctrlPr>
          </m:dPr>
          <m:e>
            <m:sSub>
              <m:sSubPr>
                <m:ctrlPr>
                  <w:rPr>
                    <w:rFonts w:ascii="Cambria Math" w:hAnsi="Cambria Math"/>
                    <w:iCs/>
                    <w:sz w:val="22"/>
                    <w:szCs w:val="22"/>
                  </w:rPr>
                </m:ctrlPr>
              </m:sSubPr>
              <m:e>
                <m:r>
                  <w:rPr>
                    <w:rFonts w:ascii="Cambria Math" w:hAnsi="Cambria Math"/>
                    <w:sz w:val="22"/>
                    <w:szCs w:val="22"/>
                    <w:lang w:val="en-US"/>
                  </w:rPr>
                  <m:t>π</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r>
                  <m:rPr>
                    <m:sty m:val="p"/>
                  </m:rPr>
                  <w:rPr>
                    <w:rFonts w:ascii="Cambria Math" w:hAnsi="Cambria Math"/>
                    <w:sz w:val="22"/>
                    <w:szCs w:val="22"/>
                    <w:lang w:val="en-US"/>
                  </w:rPr>
                  <m:t>+</m:t>
                </m:r>
                <m:r>
                  <w:rPr>
                    <w:rFonts w:ascii="Cambria Math" w:hAnsi="Cambria Math"/>
                    <w:sz w:val="22"/>
                    <w:szCs w:val="22"/>
                    <w:lang w:val="en-US"/>
                  </w:rPr>
                  <m:t>12</m:t>
                </m:r>
              </m:sub>
            </m:sSub>
          </m:e>
        </m:d>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α</m:t>
            </m:r>
          </m:e>
          <m:sub>
            <m:r>
              <w:rPr>
                <w:rFonts w:ascii="Cambria Math" w:hAnsi="Cambria Math"/>
                <w:sz w:val="22"/>
                <w:szCs w:val="22"/>
                <w:lang w:val="en-US"/>
              </w:rPr>
              <m:t>c</m:t>
            </m:r>
          </m:sub>
        </m:sSub>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γ</m:t>
            </m:r>
          </m:e>
          <m:sub>
            <m:r>
              <w:rPr>
                <w:rFonts w:ascii="Cambria Math" w:hAnsi="Cambria Math"/>
                <w:sz w:val="22"/>
                <w:szCs w:val="22"/>
                <w:lang w:val="en-US"/>
              </w:rPr>
              <m:t>t</m:t>
            </m:r>
          </m:sub>
        </m:sSub>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λ</m:t>
            </m:r>
          </m:e>
          <m:sub>
            <m:r>
              <m:rPr>
                <m:sty m:val="p"/>
              </m:rPr>
              <w:rPr>
                <w:rFonts w:ascii="Cambria Math" w:hAnsi="Cambria Math"/>
                <w:sz w:val="22"/>
                <w:szCs w:val="22"/>
                <w:lang w:val="en-US"/>
              </w:rPr>
              <m:t>1</m:t>
            </m:r>
          </m:sub>
        </m:sSub>
        <m:sSub>
          <m:sSubPr>
            <m:ctrlPr>
              <w:rPr>
                <w:rFonts w:ascii="Cambria Math" w:hAnsi="Cambria Math"/>
                <w:iCs/>
                <w:sz w:val="22"/>
                <w:szCs w:val="22"/>
              </w:rPr>
            </m:ctrlPr>
          </m:sSubPr>
          <m:e>
            <m:r>
              <w:rPr>
                <w:rFonts w:ascii="Cambria Math" w:hAnsi="Cambria Math"/>
                <w:sz w:val="22"/>
                <w:szCs w:val="22"/>
                <w:lang w:val="en-US"/>
              </w:rPr>
              <m:t>E</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r>
          <m:rPr>
            <m:sty m:val="p"/>
          </m:rPr>
          <w:rPr>
            <w:rFonts w:ascii="Cambria Math" w:hAnsi="Cambria Math"/>
            <w:sz w:val="22"/>
            <w:szCs w:val="22"/>
            <w:lang w:val="en-US"/>
          </w:rPr>
          <m:t>(</m:t>
        </m:r>
        <m:sSubSup>
          <m:sSubSupPr>
            <m:ctrlPr>
              <w:rPr>
                <w:rFonts w:ascii="Cambria Math" w:hAnsi="Cambria Math"/>
                <w:i/>
                <w:sz w:val="22"/>
                <w:szCs w:val="22"/>
                <w:lang w:val="en-US"/>
              </w:rPr>
            </m:ctrlPr>
          </m:sSubSupPr>
          <m:e>
            <m:r>
              <w:rPr>
                <w:rFonts w:ascii="Cambria Math" w:hAnsi="Cambria Math"/>
                <w:sz w:val="22"/>
                <w:szCs w:val="22"/>
                <w:lang w:val="en-US"/>
              </w:rPr>
              <m:t>π</m:t>
            </m:r>
          </m:e>
          <m:sub>
            <m:r>
              <w:rPr>
                <w:rFonts w:ascii="Cambria Math" w:hAnsi="Cambria Math"/>
                <w:sz w:val="22"/>
                <w:szCs w:val="22"/>
                <w:lang w:val="en-US"/>
              </w:rPr>
              <m:t>c, t+12</m:t>
            </m:r>
          </m:sub>
          <m:sup>
            <m:r>
              <w:rPr>
                <w:rFonts w:ascii="Cambria Math" w:hAnsi="Cambria Math"/>
                <w:sz w:val="22"/>
                <w:szCs w:val="22"/>
                <w:lang w:val="en-US"/>
              </w:rPr>
              <m:t>pos</m:t>
            </m:r>
          </m:sup>
        </m:sSubSup>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λ</m:t>
            </m:r>
          </m:e>
          <m:sub>
            <m:r>
              <m:rPr>
                <m:sty m:val="p"/>
              </m:rPr>
              <w:rPr>
                <w:rFonts w:ascii="Cambria Math" w:hAnsi="Cambria Math"/>
                <w:sz w:val="22"/>
                <w:szCs w:val="22"/>
                <w:lang w:val="en-US"/>
              </w:rPr>
              <m:t>2</m:t>
            </m:r>
          </m:sub>
        </m:sSub>
        <m:sSub>
          <m:sSubPr>
            <m:ctrlPr>
              <w:rPr>
                <w:rFonts w:ascii="Cambria Math" w:hAnsi="Cambria Math"/>
                <w:iCs/>
                <w:sz w:val="22"/>
                <w:szCs w:val="22"/>
              </w:rPr>
            </m:ctrlPr>
          </m:sSubPr>
          <m:e>
            <m:r>
              <w:rPr>
                <w:rFonts w:ascii="Cambria Math" w:hAnsi="Cambria Math"/>
                <w:sz w:val="22"/>
                <w:szCs w:val="22"/>
                <w:lang w:val="en-US"/>
              </w:rPr>
              <m:t>E</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r>
          <m:rPr>
            <m:sty m:val="p"/>
          </m:rPr>
          <w:rPr>
            <w:rFonts w:ascii="Cambria Math" w:hAnsi="Cambria Math"/>
            <w:sz w:val="22"/>
            <w:szCs w:val="22"/>
            <w:lang w:val="en-US"/>
          </w:rPr>
          <m:t>(</m:t>
        </m:r>
        <m:sSubSup>
          <m:sSubSupPr>
            <m:ctrlPr>
              <w:rPr>
                <w:rFonts w:ascii="Cambria Math" w:hAnsi="Cambria Math"/>
                <w:i/>
                <w:sz w:val="22"/>
                <w:szCs w:val="22"/>
                <w:lang w:val="en-US"/>
              </w:rPr>
            </m:ctrlPr>
          </m:sSubSupPr>
          <m:e>
            <m:r>
              <w:rPr>
                <w:rFonts w:ascii="Cambria Math" w:hAnsi="Cambria Math"/>
                <w:sz w:val="22"/>
                <w:szCs w:val="22"/>
                <w:lang w:val="en-US"/>
              </w:rPr>
              <m:t>π</m:t>
            </m:r>
          </m:e>
          <m:sub>
            <m:r>
              <w:rPr>
                <w:rFonts w:ascii="Cambria Math" w:hAnsi="Cambria Math"/>
                <w:sz w:val="22"/>
                <w:szCs w:val="22"/>
                <w:lang w:val="en-US"/>
              </w:rPr>
              <m:t>c, t+12</m:t>
            </m:r>
          </m:sub>
          <m:sup>
            <m:r>
              <w:rPr>
                <w:rFonts w:ascii="Cambria Math" w:hAnsi="Cambria Math"/>
                <w:sz w:val="22"/>
                <w:szCs w:val="22"/>
                <w:lang w:val="en-US"/>
              </w:rPr>
              <m:t>neg</m:t>
            </m:r>
          </m:sup>
        </m:sSubSup>
        <m:r>
          <m:rPr>
            <m:sty m:val="p"/>
          </m:rPr>
          <w:rPr>
            <w:rFonts w:ascii="Cambria Math" w:hAnsi="Cambria Math"/>
            <w:sz w:val="22"/>
            <w:szCs w:val="22"/>
            <w:lang w:val="en-US"/>
          </w:rPr>
          <m:t>)+</m:t>
        </m:r>
        <m:sSub>
          <m:sSubPr>
            <m:ctrlPr>
              <w:rPr>
                <w:rFonts w:ascii="Cambria Math" w:hAnsi="Cambria Math"/>
                <w:iCs/>
                <w:sz w:val="22"/>
                <w:szCs w:val="22"/>
              </w:rPr>
            </m:ctrlPr>
          </m:sSubPr>
          <m:e>
            <m:sSub>
              <m:sSubPr>
                <m:ctrlPr>
                  <w:rPr>
                    <w:rFonts w:ascii="Cambria Math" w:hAnsi="Cambria Math"/>
                    <w:iCs/>
                    <w:sz w:val="22"/>
                    <w:szCs w:val="22"/>
                  </w:rPr>
                </m:ctrlPr>
              </m:sSubPr>
              <m:e>
                <m:r>
                  <w:rPr>
                    <w:rFonts w:ascii="Cambria Math" w:hAnsi="Cambria Math"/>
                    <w:sz w:val="22"/>
                    <w:szCs w:val="22"/>
                    <w:lang w:val="en-US"/>
                  </w:rPr>
                  <m:t>λ</m:t>
                </m:r>
              </m:e>
              <m:sub>
                <m:r>
                  <m:rPr>
                    <m:sty m:val="p"/>
                  </m:rPr>
                  <w:rPr>
                    <w:rFonts w:ascii="Cambria Math" w:hAnsi="Cambria Math"/>
                    <w:sz w:val="22"/>
                    <w:szCs w:val="22"/>
                    <w:lang w:val="en-US"/>
                  </w:rPr>
                  <m:t>3</m:t>
                </m:r>
              </m:sub>
            </m:sSub>
            <m:sSubSup>
              <m:sSubSupPr>
                <m:ctrlPr>
                  <w:rPr>
                    <w:rFonts w:ascii="Cambria Math" w:hAnsi="Cambria Math"/>
                    <w:iCs/>
                    <w:sz w:val="22"/>
                    <w:szCs w:val="22"/>
                  </w:rPr>
                </m:ctrlPr>
              </m:sSubSupPr>
              <m:e>
                <m:r>
                  <w:rPr>
                    <w:rFonts w:ascii="Cambria Math" w:hAnsi="Cambria Math"/>
                    <w:sz w:val="22"/>
                    <w:szCs w:val="22"/>
                    <w:lang w:val="en-US"/>
                  </w:rPr>
                  <m:t>D</m:t>
                </m:r>
              </m:e>
              <m:sub>
                <m:r>
                  <w:rPr>
                    <w:rFonts w:ascii="Cambria Math" w:hAnsi="Cambria Math"/>
                    <w:sz w:val="22"/>
                    <w:szCs w:val="22"/>
                    <w:lang w:val="en-US"/>
                  </w:rPr>
                  <m:t>c</m:t>
                </m:r>
                <m:r>
                  <m:rPr>
                    <m:sty m:val="p"/>
                  </m:rPr>
                  <w:rPr>
                    <w:rFonts w:ascii="Cambria Math" w:hAnsi="Cambria Math"/>
                    <w:sz w:val="22"/>
                    <w:szCs w:val="22"/>
                    <w:lang w:val="en-US"/>
                  </w:rPr>
                  <m:t>, </m:t>
                </m:r>
                <m:r>
                  <w:rPr>
                    <w:rFonts w:ascii="Cambria Math" w:hAnsi="Cambria Math"/>
                    <w:sz w:val="22"/>
                    <w:szCs w:val="22"/>
                    <w:lang w:val="en-US"/>
                  </w:rPr>
                  <m:t>t</m:t>
                </m:r>
              </m:sub>
              <m:sup>
                <m:r>
                  <w:rPr>
                    <w:rFonts w:ascii="Cambria Math" w:hAnsi="Cambria Math"/>
                    <w:sz w:val="22"/>
                    <w:szCs w:val="22"/>
                    <w:lang w:val="en-US"/>
                  </w:rPr>
                  <m:t>defl</m:t>
                </m:r>
              </m:sup>
            </m:sSubSup>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λ</m:t>
                </m:r>
              </m:e>
              <m:sub>
                <m:r>
                  <m:rPr>
                    <m:sty m:val="p"/>
                  </m:rPr>
                  <w:rPr>
                    <w:rFonts w:ascii="Cambria Math" w:hAnsi="Cambria Math"/>
                    <w:sz w:val="22"/>
                    <w:szCs w:val="22"/>
                    <w:lang w:val="en-US"/>
                  </w:rPr>
                  <m:t>4</m:t>
                </m:r>
              </m:sub>
            </m:sSub>
            <m:sSubSup>
              <m:sSubSupPr>
                <m:ctrlPr>
                  <w:rPr>
                    <w:rFonts w:ascii="Cambria Math" w:hAnsi="Cambria Math"/>
                    <w:iCs/>
                    <w:sz w:val="22"/>
                    <w:szCs w:val="22"/>
                  </w:rPr>
                </m:ctrlPr>
              </m:sSubSupPr>
              <m:e>
                <m:r>
                  <w:rPr>
                    <w:rFonts w:ascii="Cambria Math" w:hAnsi="Cambria Math"/>
                    <w:sz w:val="22"/>
                    <w:szCs w:val="22"/>
                    <w:lang w:val="en-US"/>
                  </w:rPr>
                  <m:t>D</m:t>
                </m:r>
              </m:e>
              <m:sub>
                <m:r>
                  <w:rPr>
                    <w:rFonts w:ascii="Cambria Math" w:hAnsi="Cambria Math"/>
                    <w:sz w:val="22"/>
                    <w:szCs w:val="22"/>
                    <w:lang w:val="en-US"/>
                  </w:rPr>
                  <m:t>c</m:t>
                </m:r>
                <m:r>
                  <m:rPr>
                    <m:sty m:val="p"/>
                  </m:rPr>
                  <w:rPr>
                    <w:rFonts w:ascii="Cambria Math" w:hAnsi="Cambria Math"/>
                    <w:sz w:val="22"/>
                    <w:szCs w:val="22"/>
                    <w:lang w:val="en-US"/>
                  </w:rPr>
                  <m:t>, </m:t>
                </m:r>
                <m:r>
                  <w:rPr>
                    <w:rFonts w:ascii="Cambria Math" w:hAnsi="Cambria Math"/>
                    <w:sz w:val="22"/>
                    <w:szCs w:val="22"/>
                    <w:lang w:val="en-US"/>
                  </w:rPr>
                  <m:t>t</m:t>
                </m:r>
              </m:sub>
              <m:sup>
                <m:r>
                  <w:rPr>
                    <w:rFonts w:ascii="Cambria Math" w:hAnsi="Cambria Math"/>
                    <w:sz w:val="22"/>
                    <w:szCs w:val="22"/>
                    <w:lang w:val="en-US"/>
                  </w:rPr>
                  <m:t>high</m:t>
                </m:r>
                <m:r>
                  <m:rPr>
                    <m:sty m:val="p"/>
                  </m:rPr>
                  <w:rPr>
                    <w:rFonts w:ascii="Cambria Math" w:hAnsi="Cambria Math"/>
                    <w:sz w:val="22"/>
                    <w:szCs w:val="22"/>
                    <w:lang w:val="en-US"/>
                  </w:rPr>
                  <m:t> </m:t>
                </m:r>
                <m:r>
                  <w:rPr>
                    <w:rFonts w:ascii="Cambria Math" w:hAnsi="Cambria Math"/>
                    <w:sz w:val="22"/>
                    <w:szCs w:val="22"/>
                    <w:lang w:val="en-US"/>
                  </w:rPr>
                  <m:t>infl</m:t>
                </m:r>
              </m:sup>
            </m:sSubSup>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λ</m:t>
                </m:r>
              </m:e>
              <m:sub>
                <m:r>
                  <m:rPr>
                    <m:sty m:val="p"/>
                  </m:rPr>
                  <w:rPr>
                    <w:rFonts w:ascii="Cambria Math" w:hAnsi="Cambria Math"/>
                    <w:sz w:val="22"/>
                    <w:szCs w:val="22"/>
                    <w:lang w:val="en-US"/>
                  </w:rPr>
                  <m:t>5</m:t>
                </m:r>
              </m:sub>
            </m:sSub>
            <m:sSub>
              <m:sSubPr>
                <m:ctrlPr>
                  <w:rPr>
                    <w:rFonts w:ascii="Cambria Math" w:hAnsi="Cambria Math"/>
                    <w:iCs/>
                    <w:sz w:val="22"/>
                    <w:szCs w:val="22"/>
                  </w:rPr>
                </m:ctrlPr>
              </m:sSubPr>
              <m:e>
                <m:r>
                  <w:rPr>
                    <w:rFonts w:ascii="Cambria Math" w:hAnsi="Cambria Math"/>
                    <w:sz w:val="22"/>
                    <w:szCs w:val="22"/>
                    <w:lang w:val="en-US"/>
                  </w:rPr>
                  <m:t>X</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r>
              <m:rPr>
                <m:sty m:val="p"/>
              </m:rPr>
              <w:rPr>
                <w:rFonts w:ascii="Cambria Math" w:hAnsi="Cambria Math"/>
                <w:sz w:val="22"/>
                <w:szCs w:val="22"/>
                <w:lang w:val="en-US"/>
              </w:rPr>
              <m:t>+</m:t>
            </m:r>
            <m:r>
              <w:rPr>
                <w:rFonts w:ascii="Cambria Math" w:hAnsi="Cambria Math"/>
                <w:sz w:val="22"/>
                <w:szCs w:val="22"/>
                <w:lang w:val="en-US"/>
              </w:rPr>
              <m:t>ε</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r>
          <m:rPr>
            <m:sty m:val="p"/>
          </m:rPr>
          <w:rPr>
            <w:rFonts w:ascii="Cambria Math" w:hAnsi="Cambria Math"/>
            <w:sz w:val="22"/>
            <w:szCs w:val="22"/>
          </w:rPr>
          <m:t>.</m:t>
        </m:r>
      </m:oMath>
      <w:r w:rsidR="00401CD1" w:rsidRPr="00731C8B">
        <w:rPr>
          <w:rFonts w:ascii="Times New Roman" w:eastAsiaTheme="minorEastAsia" w:hAnsi="Times New Roman"/>
          <w:iCs/>
          <w:sz w:val="24"/>
          <w:szCs w:val="24"/>
        </w:rPr>
        <w:t xml:space="preserve"> </w:t>
      </w:r>
      <w:r w:rsidR="00401CD1" w:rsidRPr="00731C8B">
        <w:rPr>
          <w:rFonts w:ascii="Times New Roman" w:eastAsiaTheme="minorEastAsia" w:hAnsi="Times New Roman"/>
          <w:iCs/>
          <w:sz w:val="24"/>
          <w:szCs w:val="24"/>
        </w:rPr>
        <w:tab/>
        <w:t>(</w:t>
      </w:r>
      <w:r w:rsidR="00AC5700">
        <w:rPr>
          <w:rFonts w:ascii="Times New Roman" w:eastAsiaTheme="minorEastAsia" w:hAnsi="Times New Roman"/>
          <w:iCs/>
          <w:sz w:val="24"/>
          <w:szCs w:val="24"/>
        </w:rPr>
        <w:t>2</w:t>
      </w:r>
      <w:r w:rsidR="00401CD1" w:rsidRPr="00731C8B">
        <w:rPr>
          <w:rFonts w:ascii="Times New Roman" w:eastAsiaTheme="minorEastAsia" w:hAnsi="Times New Roman"/>
          <w:iCs/>
          <w:sz w:val="24"/>
          <w:szCs w:val="24"/>
        </w:rPr>
        <w:t>)</w:t>
      </w:r>
    </w:p>
    <w:p w14:paraId="4E74D980" w14:textId="54E89B6E" w:rsidR="00401CD1" w:rsidRPr="00731C8B" w:rsidRDefault="00401CD1" w:rsidP="00695AE0">
      <w:pPr>
        <w:pStyle w:val="Paragraph"/>
        <w:spacing w:line="480" w:lineRule="auto"/>
        <w:rPr>
          <w:rFonts w:ascii="Times New Roman" w:eastAsiaTheme="minorEastAsia" w:hAnsi="Times New Roman"/>
          <w:iCs/>
          <w:sz w:val="24"/>
          <w:szCs w:val="24"/>
        </w:rPr>
      </w:pPr>
      <w:r w:rsidRPr="00731C8B">
        <w:rPr>
          <w:rFonts w:ascii="Times New Roman" w:hAnsi="Times New Roman"/>
          <w:sz w:val="24"/>
          <w:szCs w:val="24"/>
        </w:rPr>
        <w:lastRenderedPageBreak/>
        <w:t>In (</w:t>
      </w:r>
      <w:r w:rsidR="009D0BF6">
        <w:rPr>
          <w:rFonts w:ascii="Times New Roman" w:hAnsi="Times New Roman"/>
          <w:sz w:val="24"/>
          <w:szCs w:val="24"/>
        </w:rPr>
        <w:t>2</w:t>
      </w:r>
      <w:r w:rsidRPr="00731C8B">
        <w:rPr>
          <w:rFonts w:ascii="Times New Roman" w:hAnsi="Times New Roman"/>
          <w:sz w:val="24"/>
          <w:szCs w:val="24"/>
        </w:rPr>
        <w:t xml:space="preserve">), </w:t>
      </w:r>
      <m:oMath>
        <m:sSub>
          <m:sSubPr>
            <m:ctrlPr>
              <w:rPr>
                <w:rFonts w:ascii="Cambria Math" w:hAnsi="Cambria Math"/>
                <w:i/>
                <w:iCs/>
                <w:sz w:val="22"/>
                <w:szCs w:val="22"/>
              </w:rPr>
            </m:ctrlPr>
          </m:sSubPr>
          <m:e>
            <m:r>
              <w:rPr>
                <w:rFonts w:ascii="Cambria Math" w:hAnsi="Cambria Math"/>
                <w:sz w:val="22"/>
                <w:szCs w:val="22"/>
                <w:lang w:val="en-US"/>
              </w:rPr>
              <m:t>disp</m:t>
            </m:r>
          </m:e>
          <m:sub>
            <m:r>
              <w:rPr>
                <w:rFonts w:ascii="Cambria Math" w:hAnsi="Cambria Math"/>
                <w:sz w:val="22"/>
                <w:szCs w:val="22"/>
                <w:lang w:val="en-US"/>
              </w:rPr>
              <m:t>c,t</m:t>
            </m:r>
          </m:sub>
        </m:sSub>
        <m:d>
          <m:dPr>
            <m:ctrlPr>
              <w:rPr>
                <w:rFonts w:ascii="Cambria Math" w:hAnsi="Cambria Math"/>
                <w:i/>
                <w:iCs/>
                <w:sz w:val="22"/>
                <w:szCs w:val="22"/>
              </w:rPr>
            </m:ctrlPr>
          </m:dPr>
          <m:e>
            <m:sSub>
              <m:sSubPr>
                <m:ctrlPr>
                  <w:rPr>
                    <w:rFonts w:ascii="Cambria Math" w:hAnsi="Cambria Math"/>
                    <w:i/>
                    <w:iCs/>
                    <w:sz w:val="22"/>
                    <w:szCs w:val="22"/>
                  </w:rPr>
                </m:ctrlPr>
              </m:sSubPr>
              <m:e>
                <m:r>
                  <w:rPr>
                    <w:rFonts w:ascii="Cambria Math" w:hAnsi="Cambria Math"/>
                    <w:sz w:val="22"/>
                    <w:szCs w:val="22"/>
                    <w:lang w:val="en-US"/>
                  </w:rPr>
                  <m:t>π</m:t>
                </m:r>
              </m:e>
              <m:sub>
                <m:r>
                  <w:rPr>
                    <w:rFonts w:ascii="Cambria Math" w:hAnsi="Cambria Math"/>
                    <w:sz w:val="22"/>
                    <w:szCs w:val="22"/>
                    <w:lang w:val="en-US"/>
                  </w:rPr>
                  <m:t>c,t+12</m:t>
                </m:r>
              </m:sub>
            </m:sSub>
          </m:e>
        </m:d>
      </m:oMath>
      <w:r w:rsidRPr="00731C8B">
        <w:rPr>
          <w:rFonts w:ascii="Times New Roman" w:hAnsi="Times New Roman"/>
          <w:sz w:val="24"/>
          <w:szCs w:val="24"/>
        </w:rPr>
        <w:t xml:space="preserve"> denotes the </w:t>
      </w:r>
      <w:r w:rsidR="00564674">
        <w:rPr>
          <w:rFonts w:ascii="Times New Roman" w:hAnsi="Times New Roman"/>
          <w:sz w:val="24"/>
          <w:szCs w:val="24"/>
        </w:rPr>
        <w:t>dispersion (</w:t>
      </w:r>
      <w:r w:rsidRPr="00731C8B">
        <w:rPr>
          <w:rFonts w:ascii="Times New Roman" w:hAnsi="Times New Roman"/>
          <w:sz w:val="24"/>
          <w:szCs w:val="24"/>
        </w:rPr>
        <w:t>disagreement</w:t>
      </w:r>
      <w:r w:rsidR="00564674">
        <w:rPr>
          <w:rFonts w:ascii="Times New Roman" w:hAnsi="Times New Roman"/>
          <w:sz w:val="24"/>
          <w:szCs w:val="24"/>
        </w:rPr>
        <w:t>) of</w:t>
      </w:r>
      <w:r w:rsidRPr="00731C8B">
        <w:rPr>
          <w:rFonts w:ascii="Times New Roman" w:hAnsi="Times New Roman"/>
          <w:sz w:val="24"/>
          <w:szCs w:val="24"/>
        </w:rPr>
        <w:t xml:space="preserve"> </w:t>
      </w:r>
      <w:r w:rsidR="008610D1">
        <w:rPr>
          <w:rFonts w:ascii="Times New Roman" w:hAnsi="Times New Roman"/>
          <w:sz w:val="24"/>
          <w:szCs w:val="24"/>
        </w:rPr>
        <w:t>one-year ahead</w:t>
      </w:r>
      <w:r w:rsidRPr="00731C8B">
        <w:rPr>
          <w:rFonts w:ascii="Times New Roman" w:hAnsi="Times New Roman"/>
          <w:sz w:val="24"/>
          <w:szCs w:val="24"/>
        </w:rPr>
        <w:t xml:space="preserve"> forecasts</w:t>
      </w:r>
      <w:r w:rsidR="003149AC">
        <w:rPr>
          <w:rFonts w:ascii="Times New Roman" w:hAnsi="Times New Roman"/>
          <w:sz w:val="24"/>
          <w:szCs w:val="24"/>
        </w:rPr>
        <w:t>, for forecasts formed in month</w:t>
      </w:r>
      <w:r w:rsidRPr="00731C8B">
        <w:rPr>
          <w:rFonts w:ascii="Times New Roman" w:hAnsi="Times New Roman"/>
          <w:sz w:val="24"/>
          <w:szCs w:val="24"/>
        </w:rPr>
        <w:t xml:space="preserve"> </w:t>
      </w:r>
      <m:oMath>
        <m:r>
          <w:rPr>
            <w:rFonts w:ascii="Cambria Math" w:hAnsi="Cambria Math"/>
            <w:sz w:val="22"/>
            <w:szCs w:val="22"/>
          </w:rPr>
          <m:t>t</m:t>
        </m:r>
      </m:oMath>
      <w:r w:rsidRPr="00731C8B">
        <w:rPr>
          <w:rFonts w:ascii="Times New Roman" w:eastAsiaTheme="minorEastAsia" w:hAnsi="Times New Roman"/>
          <w:sz w:val="24"/>
          <w:szCs w:val="24"/>
        </w:rPr>
        <w:t xml:space="preserve"> for </w:t>
      </w:r>
      <w:proofErr w:type="gramStart"/>
      <w:r w:rsidRPr="00731C8B">
        <w:rPr>
          <w:rFonts w:ascii="Times New Roman" w:eastAsiaTheme="minorEastAsia" w:hAnsi="Times New Roman"/>
          <w:sz w:val="24"/>
          <w:szCs w:val="24"/>
        </w:rPr>
        <w:t xml:space="preserve">country </w:t>
      </w:r>
      <w:proofErr w:type="gramEnd"/>
      <m:oMath>
        <m:r>
          <w:rPr>
            <w:rFonts w:ascii="Cambria Math" w:eastAsiaTheme="minorEastAsia" w:hAnsi="Cambria Math"/>
            <w:sz w:val="22"/>
            <w:szCs w:val="22"/>
          </w:rPr>
          <m:t>c</m:t>
        </m:r>
      </m:oMath>
      <w:r w:rsidRPr="00731C8B">
        <w:rPr>
          <w:rFonts w:ascii="Times New Roman" w:hAnsi="Times New Roman"/>
          <w:sz w:val="24"/>
          <w:szCs w:val="24"/>
        </w:rPr>
        <w:t xml:space="preserve">. </w:t>
      </w:r>
      <w:r w:rsidR="0055405B" w:rsidRPr="00731C8B">
        <w:rPr>
          <w:rFonts w:ascii="Times New Roman" w:hAnsi="Times New Roman"/>
          <w:sz w:val="24"/>
          <w:szCs w:val="24"/>
        </w:rPr>
        <w:t xml:space="preserve">Our benchmark measure of </w:t>
      </w:r>
      <w:r w:rsidR="00172B8A">
        <w:rPr>
          <w:rFonts w:ascii="Times New Roman" w:hAnsi="Times New Roman"/>
          <w:sz w:val="24"/>
          <w:szCs w:val="24"/>
        </w:rPr>
        <w:t>disagreement</w:t>
      </w:r>
      <w:r w:rsidR="0055405B" w:rsidRPr="00731C8B">
        <w:rPr>
          <w:rFonts w:ascii="Times New Roman" w:hAnsi="Times New Roman"/>
          <w:sz w:val="24"/>
          <w:szCs w:val="24"/>
        </w:rPr>
        <w:t xml:space="preserve"> is the interquartile range. </w:t>
      </w:r>
      <m:oMath>
        <m:sSubSup>
          <m:sSubSupPr>
            <m:ctrlPr>
              <w:rPr>
                <w:rFonts w:ascii="Cambria Math" w:hAnsi="Cambria Math"/>
                <w:i/>
                <w:sz w:val="22"/>
                <w:szCs w:val="22"/>
              </w:rPr>
            </m:ctrlPr>
          </m:sSubSupPr>
          <m:e>
            <m:r>
              <w:rPr>
                <w:rFonts w:ascii="Cambria Math" w:hAnsi="Cambria Math"/>
                <w:sz w:val="22"/>
                <w:szCs w:val="22"/>
                <w:lang w:val="en-US"/>
              </w:rPr>
              <m:t>D</m:t>
            </m:r>
          </m:e>
          <m:sub>
            <m:r>
              <w:rPr>
                <w:rFonts w:ascii="Cambria Math" w:hAnsi="Cambria Math"/>
                <w:sz w:val="22"/>
                <w:szCs w:val="22"/>
                <w:lang w:val="en-US"/>
              </w:rPr>
              <m:t>c, t</m:t>
            </m:r>
          </m:sub>
          <m:sup>
            <m:r>
              <w:rPr>
                <w:rFonts w:ascii="Cambria Math" w:hAnsi="Cambria Math"/>
                <w:sz w:val="22"/>
                <w:szCs w:val="22"/>
                <w:lang w:val="en-US"/>
              </w:rPr>
              <m:t>defl</m:t>
            </m:r>
          </m:sup>
        </m:sSubSup>
      </m:oMath>
      <w:r w:rsidR="0055405B" w:rsidRPr="00731C8B">
        <w:rPr>
          <w:rFonts w:ascii="Times New Roman" w:hAnsi="Times New Roman"/>
          <w:sz w:val="24"/>
          <w:szCs w:val="24"/>
        </w:rPr>
        <w:t xml:space="preserve"> </w:t>
      </w:r>
      <m:oMath>
        <m:sSubSup>
          <m:sSubSupPr>
            <m:ctrlPr>
              <w:rPr>
                <w:rFonts w:ascii="Cambria Math" w:hAnsi="Cambria Math"/>
                <w:i/>
                <w:sz w:val="22"/>
                <w:szCs w:val="22"/>
              </w:rPr>
            </m:ctrlPr>
          </m:sSubSupPr>
          <m:e>
            <m:r>
              <w:rPr>
                <w:rFonts w:ascii="Cambria Math" w:hAnsi="Cambria Math"/>
                <w:sz w:val="22"/>
                <w:szCs w:val="22"/>
                <w:lang w:val="en-US"/>
              </w:rPr>
              <m:t>(D</m:t>
            </m:r>
          </m:e>
          <m:sub>
            <m:r>
              <w:rPr>
                <w:rFonts w:ascii="Cambria Math" w:hAnsi="Cambria Math"/>
                <w:sz w:val="22"/>
                <w:szCs w:val="22"/>
                <w:lang w:val="en-US"/>
              </w:rPr>
              <m:t>c, t</m:t>
            </m:r>
          </m:sub>
          <m:sup>
            <m:r>
              <w:rPr>
                <w:rFonts w:ascii="Cambria Math" w:hAnsi="Cambria Math"/>
                <w:sz w:val="22"/>
                <w:szCs w:val="22"/>
                <w:lang w:val="en-US"/>
              </w:rPr>
              <m:t>High infl</m:t>
            </m:r>
          </m:sup>
        </m:sSubSup>
        <m:r>
          <w:rPr>
            <w:rFonts w:ascii="Cambria Math" w:hAnsi="Cambria Math"/>
            <w:sz w:val="22"/>
            <w:szCs w:val="22"/>
          </w:rPr>
          <m:t xml:space="preserve">) </m:t>
        </m:r>
      </m:oMath>
      <w:proofErr w:type="gramStart"/>
      <w:r w:rsidR="0055405B" w:rsidRPr="00731C8B">
        <w:rPr>
          <w:rFonts w:ascii="Times New Roman" w:hAnsi="Times New Roman"/>
          <w:sz w:val="24"/>
          <w:szCs w:val="24"/>
        </w:rPr>
        <w:t>is</w:t>
      </w:r>
      <w:proofErr w:type="gramEnd"/>
      <w:r w:rsidR="0055405B" w:rsidRPr="00731C8B">
        <w:rPr>
          <w:rFonts w:ascii="Times New Roman" w:hAnsi="Times New Roman"/>
          <w:sz w:val="24"/>
          <w:szCs w:val="24"/>
        </w:rPr>
        <w:t xml:space="preserve"> a dummy variable that obtains a value of one if an economy is in deflation </w:t>
      </w:r>
      <w:r w:rsidR="009C443A">
        <w:rPr>
          <w:rFonts w:ascii="Times New Roman" w:hAnsi="Times New Roman"/>
          <w:sz w:val="24"/>
          <w:szCs w:val="24"/>
        </w:rPr>
        <w:t xml:space="preserve">(high inflation) </w:t>
      </w:r>
      <w:r w:rsidR="0055405B" w:rsidRPr="00731C8B">
        <w:rPr>
          <w:rFonts w:ascii="Times New Roman" w:hAnsi="Times New Roman"/>
          <w:sz w:val="24"/>
          <w:szCs w:val="24"/>
        </w:rPr>
        <w:t xml:space="preserve">in period </w:t>
      </w:r>
      <w:r w:rsidR="0055405B" w:rsidRPr="00731C8B">
        <w:rPr>
          <w:rFonts w:ascii="Times New Roman" w:hAnsi="Times New Roman"/>
          <w:i/>
          <w:sz w:val="24"/>
          <w:szCs w:val="24"/>
        </w:rPr>
        <w:t>t</w:t>
      </w:r>
      <w:r w:rsidR="0055405B" w:rsidRPr="00731C8B">
        <w:rPr>
          <w:rFonts w:ascii="Times New Roman" w:hAnsi="Times New Roman"/>
          <w:sz w:val="24"/>
          <w:szCs w:val="24"/>
        </w:rPr>
        <w:t xml:space="preserve"> and zero otherwise (see Section 2).</w:t>
      </w:r>
      <w:r w:rsidR="0055405B">
        <w:rPr>
          <w:rFonts w:ascii="Times New Roman" w:hAnsi="Times New Roman"/>
          <w:sz w:val="24"/>
          <w:szCs w:val="24"/>
        </w:rPr>
        <w:t xml:space="preserve"> </w:t>
      </w:r>
      <m:oMath>
        <m:sSub>
          <m:sSubPr>
            <m:ctrlPr>
              <w:rPr>
                <w:rFonts w:ascii="Cambria Math" w:hAnsi="Cambria Math"/>
                <w:i/>
                <w:iCs/>
                <w:sz w:val="22"/>
                <w:szCs w:val="22"/>
              </w:rPr>
            </m:ctrlPr>
          </m:sSubPr>
          <m:e>
            <m:r>
              <w:rPr>
                <w:rFonts w:ascii="Cambria Math" w:hAnsi="Cambria Math"/>
                <w:sz w:val="22"/>
                <w:szCs w:val="22"/>
                <w:lang w:val="en-US"/>
              </w:rPr>
              <m:t>α</m:t>
            </m:r>
          </m:e>
          <m:sub>
            <m:r>
              <w:rPr>
                <w:rFonts w:ascii="Cambria Math" w:hAnsi="Cambria Math"/>
                <w:sz w:val="22"/>
                <w:szCs w:val="22"/>
                <w:lang w:val="en-US"/>
              </w:rPr>
              <m:t>c</m:t>
            </m:r>
          </m:sub>
        </m:sSub>
      </m:oMath>
      <w:r w:rsidRPr="00731C8B">
        <w:rPr>
          <w:rFonts w:ascii="Times New Roman" w:eastAsiaTheme="minorEastAsia" w:hAnsi="Times New Roman"/>
          <w:iCs/>
          <w:sz w:val="24"/>
          <w:szCs w:val="24"/>
        </w:rPr>
        <w:t xml:space="preserve"> </w:t>
      </w:r>
      <w:proofErr w:type="gramStart"/>
      <w:r w:rsidRPr="00731C8B">
        <w:rPr>
          <w:rFonts w:ascii="Times New Roman" w:eastAsiaTheme="minorEastAsia" w:hAnsi="Times New Roman"/>
          <w:iCs/>
          <w:sz w:val="24"/>
          <w:szCs w:val="24"/>
        </w:rPr>
        <w:t>and</w:t>
      </w:r>
      <w:proofErr w:type="gramEnd"/>
      <w:r w:rsidRPr="00731C8B">
        <w:rPr>
          <w:rFonts w:ascii="Times New Roman" w:eastAsiaTheme="minorEastAsia" w:hAnsi="Times New Roman"/>
          <w:iCs/>
          <w:sz w:val="24"/>
          <w:szCs w:val="24"/>
        </w:rPr>
        <w:t xml:space="preserve"> </w:t>
      </w:r>
      <m:oMath>
        <m:sSub>
          <m:sSubPr>
            <m:ctrlPr>
              <w:rPr>
                <w:rFonts w:ascii="Cambria Math" w:hAnsi="Cambria Math"/>
                <w:i/>
                <w:iCs/>
                <w:sz w:val="22"/>
                <w:szCs w:val="22"/>
              </w:rPr>
            </m:ctrlPr>
          </m:sSubPr>
          <m:e>
            <m:r>
              <w:rPr>
                <w:rFonts w:ascii="Cambria Math" w:hAnsi="Cambria Math"/>
                <w:sz w:val="22"/>
                <w:szCs w:val="22"/>
                <w:lang w:val="en-US"/>
              </w:rPr>
              <m:t>γ</m:t>
            </m:r>
          </m:e>
          <m:sub>
            <m:r>
              <w:rPr>
                <w:rFonts w:ascii="Cambria Math" w:hAnsi="Cambria Math"/>
                <w:sz w:val="22"/>
                <w:szCs w:val="22"/>
                <w:lang w:val="en-US"/>
              </w:rPr>
              <m:t>t</m:t>
            </m:r>
          </m:sub>
        </m:sSub>
      </m:oMath>
      <w:r w:rsidRPr="00731C8B">
        <w:rPr>
          <w:rFonts w:ascii="Times New Roman" w:eastAsiaTheme="minorEastAsia" w:hAnsi="Times New Roman"/>
          <w:iCs/>
          <w:sz w:val="24"/>
          <w:szCs w:val="24"/>
        </w:rPr>
        <w:t xml:space="preserve"> </w:t>
      </w:r>
      <w:r w:rsidR="009C443A">
        <w:rPr>
          <w:rFonts w:ascii="Times New Roman" w:eastAsiaTheme="minorEastAsia" w:hAnsi="Times New Roman"/>
          <w:iCs/>
          <w:sz w:val="24"/>
          <w:szCs w:val="24"/>
        </w:rPr>
        <w:t>denote</w:t>
      </w:r>
      <w:r w:rsidRPr="00731C8B">
        <w:rPr>
          <w:rFonts w:ascii="Times New Roman" w:eastAsiaTheme="minorEastAsia" w:hAnsi="Times New Roman"/>
          <w:iCs/>
          <w:sz w:val="24"/>
          <w:szCs w:val="24"/>
        </w:rPr>
        <w:t xml:space="preserve"> country and time fixed effects, respectively</w:t>
      </w:r>
      <w:r w:rsidR="0055405B">
        <w:rPr>
          <w:rFonts w:ascii="Times New Roman" w:eastAsiaTheme="minorEastAsia" w:hAnsi="Times New Roman"/>
          <w:iCs/>
          <w:sz w:val="24"/>
          <w:szCs w:val="24"/>
        </w:rPr>
        <w:t xml:space="preserve">. </w:t>
      </w:r>
    </w:p>
    <w:p w14:paraId="73C8CFED" w14:textId="7660878B" w:rsidR="00401CD1" w:rsidRPr="00731C8B" w:rsidRDefault="00401CD1" w:rsidP="00695AE0">
      <w:pPr>
        <w:pStyle w:val="Paragraph"/>
        <w:spacing w:line="480" w:lineRule="auto"/>
        <w:rPr>
          <w:rFonts w:ascii="Times New Roman" w:hAnsi="Times New Roman"/>
          <w:sz w:val="24"/>
          <w:szCs w:val="24"/>
        </w:rPr>
      </w:pPr>
      <w:r w:rsidRPr="00731C8B">
        <w:rPr>
          <w:rFonts w:ascii="Times New Roman" w:hAnsi="Times New Roman"/>
          <w:sz w:val="24"/>
          <w:szCs w:val="24"/>
        </w:rPr>
        <w:t>In an equation similar to (</w:t>
      </w:r>
      <w:r w:rsidR="009D0BF6">
        <w:rPr>
          <w:rFonts w:ascii="Times New Roman" w:hAnsi="Times New Roman"/>
          <w:sz w:val="24"/>
          <w:szCs w:val="24"/>
        </w:rPr>
        <w:t>2</w:t>
      </w:r>
      <w:r w:rsidRPr="00731C8B">
        <w:rPr>
          <w:rFonts w:ascii="Times New Roman" w:hAnsi="Times New Roman"/>
          <w:sz w:val="24"/>
          <w:szCs w:val="24"/>
        </w:rPr>
        <w:t xml:space="preserve">), </w:t>
      </w:r>
      <w:proofErr w:type="spellStart"/>
      <w:r w:rsidRPr="00731C8B">
        <w:rPr>
          <w:rFonts w:ascii="Times New Roman" w:hAnsi="Times New Roman"/>
          <w:sz w:val="24"/>
          <w:szCs w:val="24"/>
        </w:rPr>
        <w:t>Ehrmann</w:t>
      </w:r>
      <w:proofErr w:type="spellEnd"/>
      <w:r w:rsidRPr="00731C8B">
        <w:rPr>
          <w:rFonts w:ascii="Times New Roman" w:hAnsi="Times New Roman"/>
          <w:sz w:val="24"/>
          <w:szCs w:val="24"/>
        </w:rPr>
        <w:t xml:space="preserve"> (2015) includes the level of inflation expectations, to allow for the fact that higher inflation tends to be more volatile and </w:t>
      </w:r>
      <w:r w:rsidR="001C7E3E">
        <w:rPr>
          <w:rFonts w:ascii="Times New Roman" w:hAnsi="Times New Roman"/>
          <w:sz w:val="24"/>
          <w:szCs w:val="24"/>
        </w:rPr>
        <w:t xml:space="preserve">could thus </w:t>
      </w:r>
      <w:r w:rsidRPr="00731C8B">
        <w:rPr>
          <w:rFonts w:ascii="Times New Roman" w:hAnsi="Times New Roman"/>
          <w:sz w:val="24"/>
          <w:szCs w:val="24"/>
        </w:rPr>
        <w:t>be subject to more disagreement</w:t>
      </w:r>
      <w:r w:rsidR="0055405B">
        <w:rPr>
          <w:rFonts w:ascii="Times New Roman" w:hAnsi="Times New Roman"/>
          <w:sz w:val="24"/>
          <w:szCs w:val="24"/>
        </w:rPr>
        <w:t xml:space="preserve"> (see </w:t>
      </w:r>
      <w:proofErr w:type="spellStart"/>
      <w:r w:rsidR="0055405B">
        <w:rPr>
          <w:rFonts w:ascii="Times New Roman" w:hAnsi="Times New Roman"/>
          <w:sz w:val="24"/>
          <w:szCs w:val="24"/>
        </w:rPr>
        <w:t>Capistran</w:t>
      </w:r>
      <w:proofErr w:type="spellEnd"/>
      <w:r w:rsidR="0055405B">
        <w:rPr>
          <w:rFonts w:ascii="Times New Roman" w:hAnsi="Times New Roman"/>
          <w:sz w:val="24"/>
          <w:szCs w:val="24"/>
        </w:rPr>
        <w:t xml:space="preserve"> and </w:t>
      </w:r>
      <w:proofErr w:type="spellStart"/>
      <w:r w:rsidR="0055405B">
        <w:rPr>
          <w:rFonts w:ascii="Times New Roman" w:hAnsi="Times New Roman"/>
          <w:sz w:val="24"/>
          <w:szCs w:val="24"/>
        </w:rPr>
        <w:t>Timmermann</w:t>
      </w:r>
      <w:proofErr w:type="spellEnd"/>
      <w:r w:rsidR="0055405B">
        <w:rPr>
          <w:rFonts w:ascii="Times New Roman" w:hAnsi="Times New Roman"/>
          <w:sz w:val="24"/>
          <w:szCs w:val="24"/>
        </w:rPr>
        <w:t xml:space="preserve"> (2009) for a theoretical </w:t>
      </w:r>
      <w:r w:rsidR="007B7360">
        <w:rPr>
          <w:rFonts w:ascii="Times New Roman" w:hAnsi="Times New Roman"/>
          <w:sz w:val="24"/>
          <w:szCs w:val="24"/>
        </w:rPr>
        <w:t>framework</w:t>
      </w:r>
      <w:r w:rsidR="0055405B">
        <w:rPr>
          <w:rFonts w:ascii="Times New Roman" w:hAnsi="Times New Roman"/>
          <w:sz w:val="24"/>
          <w:szCs w:val="24"/>
        </w:rPr>
        <w:t>)</w:t>
      </w:r>
      <w:r w:rsidRPr="00731C8B">
        <w:rPr>
          <w:rFonts w:ascii="Times New Roman" w:hAnsi="Times New Roman"/>
          <w:sz w:val="24"/>
          <w:szCs w:val="24"/>
        </w:rPr>
        <w:t xml:space="preserve">. </w:t>
      </w:r>
      <w:r w:rsidR="00D72BDD">
        <w:rPr>
          <w:rFonts w:ascii="Times New Roman" w:hAnsi="Times New Roman"/>
          <w:sz w:val="24"/>
          <w:szCs w:val="24"/>
          <w:lang w:val="en-US"/>
        </w:rPr>
        <w:t xml:space="preserve">Due to </w:t>
      </w:r>
      <w:r w:rsidR="00D72BDD" w:rsidRPr="00731C8B">
        <w:rPr>
          <w:rFonts w:ascii="Times New Roman" w:hAnsi="Times New Roman"/>
          <w:sz w:val="24"/>
          <w:szCs w:val="24"/>
        </w:rPr>
        <w:t xml:space="preserve">the U-shape of the smooth regression line in Graph </w:t>
      </w:r>
      <w:r w:rsidR="009D0BF6">
        <w:rPr>
          <w:rFonts w:ascii="Times New Roman" w:hAnsi="Times New Roman"/>
          <w:sz w:val="24"/>
          <w:szCs w:val="24"/>
        </w:rPr>
        <w:t>2</w:t>
      </w:r>
      <w:r w:rsidR="00D72BDD">
        <w:rPr>
          <w:rFonts w:ascii="Times New Roman" w:hAnsi="Times New Roman"/>
          <w:sz w:val="24"/>
          <w:szCs w:val="24"/>
        </w:rPr>
        <w:t>, w</w:t>
      </w:r>
      <w:r w:rsidRPr="00731C8B">
        <w:rPr>
          <w:rFonts w:ascii="Times New Roman" w:hAnsi="Times New Roman"/>
          <w:sz w:val="24"/>
          <w:szCs w:val="24"/>
        </w:rPr>
        <w:t xml:space="preserve">e </w:t>
      </w:r>
      <w:r w:rsidR="008720EE">
        <w:rPr>
          <w:rFonts w:ascii="Times New Roman" w:hAnsi="Times New Roman"/>
          <w:sz w:val="24"/>
          <w:szCs w:val="24"/>
        </w:rPr>
        <w:t xml:space="preserve">replace </w:t>
      </w:r>
      <w:r w:rsidRPr="00731C8B">
        <w:rPr>
          <w:rFonts w:ascii="Times New Roman" w:hAnsi="Times New Roman"/>
          <w:sz w:val="24"/>
          <w:szCs w:val="24"/>
        </w:rPr>
        <w:t>this</w:t>
      </w:r>
      <w:r w:rsidR="008720EE">
        <w:rPr>
          <w:rFonts w:ascii="Times New Roman" w:hAnsi="Times New Roman"/>
          <w:sz w:val="24"/>
          <w:szCs w:val="24"/>
        </w:rPr>
        <w:t xml:space="preserve"> variable by</w:t>
      </w:r>
      <w:r w:rsidRPr="00731C8B">
        <w:rPr>
          <w:rFonts w:ascii="Times New Roman" w:hAnsi="Times New Roman"/>
          <w:sz w:val="24"/>
          <w:szCs w:val="24"/>
        </w:rPr>
        <w:t xml:space="preserve"> </w:t>
      </w:r>
      <w:r w:rsidR="00DA3A2A">
        <w:rPr>
          <w:rFonts w:ascii="Times New Roman" w:hAnsi="Times New Roman"/>
          <w:sz w:val="24"/>
          <w:szCs w:val="24"/>
          <w:lang w:val="en-US"/>
        </w:rPr>
        <w:t xml:space="preserve">separate </w:t>
      </w:r>
      <w:r w:rsidR="000F21B3">
        <w:rPr>
          <w:rFonts w:ascii="Times New Roman" w:hAnsi="Times New Roman"/>
          <w:sz w:val="24"/>
          <w:szCs w:val="24"/>
          <w:lang w:val="en-US"/>
        </w:rPr>
        <w:t xml:space="preserve">variables </w:t>
      </w:r>
      <w:r w:rsidR="00DA3A2A">
        <w:rPr>
          <w:rFonts w:ascii="Times New Roman" w:hAnsi="Times New Roman"/>
          <w:sz w:val="24"/>
          <w:szCs w:val="24"/>
          <w:lang w:val="en-US"/>
        </w:rPr>
        <w:t xml:space="preserve">for both positive and negative </w:t>
      </w:r>
      <w:r w:rsidR="00D111D1">
        <w:rPr>
          <w:rFonts w:ascii="Times New Roman" w:hAnsi="Times New Roman"/>
          <w:sz w:val="24"/>
          <w:szCs w:val="24"/>
          <w:lang w:val="en-US"/>
        </w:rPr>
        <w:t xml:space="preserve">expected </w:t>
      </w:r>
      <w:r w:rsidR="00DA3A2A">
        <w:rPr>
          <w:rFonts w:ascii="Times New Roman" w:hAnsi="Times New Roman"/>
          <w:sz w:val="24"/>
          <w:szCs w:val="24"/>
          <w:lang w:val="en-US"/>
        </w:rPr>
        <w:t xml:space="preserve">inflation rates, </w:t>
      </w:r>
      <m:oMath>
        <m:sSub>
          <m:sSubPr>
            <m:ctrlPr>
              <w:rPr>
                <w:rFonts w:ascii="Cambria Math" w:hAnsi="Cambria Math"/>
                <w:iCs/>
                <w:sz w:val="22"/>
                <w:szCs w:val="22"/>
              </w:rPr>
            </m:ctrlPr>
          </m:sSubPr>
          <m:e>
            <m:r>
              <w:rPr>
                <w:rFonts w:ascii="Cambria Math" w:hAnsi="Cambria Math"/>
                <w:sz w:val="22"/>
                <w:szCs w:val="22"/>
                <w:lang w:val="en-US"/>
              </w:rPr>
              <m:t>E</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d>
          <m:dPr>
            <m:ctrlPr>
              <w:rPr>
                <w:rFonts w:ascii="Cambria Math" w:hAnsi="Cambria Math"/>
                <w:sz w:val="22"/>
                <w:szCs w:val="22"/>
                <w:lang w:val="en-US"/>
              </w:rPr>
            </m:ctrlPr>
          </m:dPr>
          <m:e>
            <m:sSubSup>
              <m:sSubSupPr>
                <m:ctrlPr>
                  <w:rPr>
                    <w:rFonts w:ascii="Cambria Math" w:hAnsi="Cambria Math"/>
                    <w:i/>
                    <w:sz w:val="22"/>
                    <w:szCs w:val="22"/>
                    <w:lang w:val="en-US"/>
                  </w:rPr>
                </m:ctrlPr>
              </m:sSubSupPr>
              <m:e>
                <m:r>
                  <w:rPr>
                    <w:rFonts w:ascii="Cambria Math" w:hAnsi="Cambria Math"/>
                    <w:sz w:val="22"/>
                    <w:szCs w:val="22"/>
                    <w:lang w:val="en-US"/>
                  </w:rPr>
                  <m:t>π</m:t>
                </m:r>
              </m:e>
              <m:sub>
                <m:r>
                  <w:rPr>
                    <w:rFonts w:ascii="Cambria Math" w:hAnsi="Cambria Math"/>
                    <w:sz w:val="22"/>
                    <w:szCs w:val="22"/>
                    <w:lang w:val="en-US"/>
                  </w:rPr>
                  <m:t>c, t+12</m:t>
                </m:r>
              </m:sub>
              <m:sup>
                <m:r>
                  <w:rPr>
                    <w:rFonts w:ascii="Cambria Math" w:hAnsi="Cambria Math"/>
                    <w:sz w:val="22"/>
                    <w:szCs w:val="22"/>
                    <w:lang w:val="en-US"/>
                  </w:rPr>
                  <m:t>pos</m:t>
                </m:r>
              </m:sup>
            </m:sSubSup>
          </m:e>
        </m:d>
        <m:r>
          <w:rPr>
            <w:rFonts w:ascii="Cambria Math" w:hAnsi="Cambria Math"/>
            <w:sz w:val="22"/>
            <w:szCs w:val="22"/>
            <w:lang w:val="en-US"/>
          </w:rPr>
          <m:t xml:space="preserve"> </m:t>
        </m:r>
      </m:oMath>
      <w:proofErr w:type="gramStart"/>
      <w:r w:rsidR="00DA3A2A">
        <w:rPr>
          <w:rFonts w:ascii="Times New Roman" w:hAnsi="Times New Roman"/>
          <w:sz w:val="24"/>
          <w:szCs w:val="24"/>
          <w:lang w:val="en-US"/>
        </w:rPr>
        <w:t xml:space="preserve">and </w:t>
      </w:r>
      <w:proofErr w:type="gramEnd"/>
      <m:oMath>
        <m:sSub>
          <m:sSubPr>
            <m:ctrlPr>
              <w:rPr>
                <w:rFonts w:ascii="Cambria Math" w:hAnsi="Cambria Math"/>
                <w:iCs/>
                <w:sz w:val="22"/>
                <w:szCs w:val="22"/>
              </w:rPr>
            </m:ctrlPr>
          </m:sSubPr>
          <m:e>
            <m:r>
              <w:rPr>
                <w:rFonts w:ascii="Cambria Math" w:hAnsi="Cambria Math"/>
                <w:sz w:val="22"/>
                <w:szCs w:val="22"/>
                <w:lang w:val="en-US"/>
              </w:rPr>
              <m:t>E</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r>
          <m:rPr>
            <m:sty m:val="p"/>
          </m:rPr>
          <w:rPr>
            <w:rFonts w:ascii="Cambria Math" w:hAnsi="Cambria Math"/>
            <w:sz w:val="22"/>
            <w:szCs w:val="22"/>
            <w:lang w:val="en-US"/>
          </w:rPr>
          <m:t>(</m:t>
        </m:r>
        <m:sSubSup>
          <m:sSubSupPr>
            <m:ctrlPr>
              <w:rPr>
                <w:rFonts w:ascii="Cambria Math" w:hAnsi="Cambria Math"/>
                <w:i/>
                <w:sz w:val="22"/>
                <w:szCs w:val="22"/>
                <w:lang w:val="en-US"/>
              </w:rPr>
            </m:ctrlPr>
          </m:sSubSupPr>
          <m:e>
            <m:r>
              <w:rPr>
                <w:rFonts w:ascii="Cambria Math" w:hAnsi="Cambria Math"/>
                <w:sz w:val="22"/>
                <w:szCs w:val="22"/>
                <w:lang w:val="en-US"/>
              </w:rPr>
              <m:t>π</m:t>
            </m:r>
          </m:e>
          <m:sub>
            <m:r>
              <w:rPr>
                <w:rFonts w:ascii="Cambria Math" w:hAnsi="Cambria Math"/>
                <w:sz w:val="22"/>
                <w:szCs w:val="22"/>
                <w:lang w:val="en-US"/>
              </w:rPr>
              <m:t>c, t+12</m:t>
            </m:r>
          </m:sub>
          <m:sup>
            <m:r>
              <w:rPr>
                <w:rFonts w:ascii="Cambria Math" w:hAnsi="Cambria Math"/>
                <w:sz w:val="22"/>
                <w:szCs w:val="22"/>
                <w:lang w:val="en-US"/>
              </w:rPr>
              <m:t>neg</m:t>
            </m:r>
          </m:sup>
        </m:sSubSup>
        <m:r>
          <m:rPr>
            <m:sty m:val="p"/>
          </m:rPr>
          <w:rPr>
            <w:rFonts w:ascii="Cambria Math" w:hAnsi="Cambria Math"/>
            <w:sz w:val="22"/>
            <w:szCs w:val="22"/>
            <w:lang w:val="en-US"/>
          </w:rPr>
          <m:t>)</m:t>
        </m:r>
      </m:oMath>
      <w:r w:rsidR="00DA3A2A">
        <w:rPr>
          <w:rFonts w:ascii="Times New Roman" w:hAnsi="Times New Roman"/>
          <w:sz w:val="24"/>
          <w:szCs w:val="24"/>
          <w:lang w:val="en-US"/>
        </w:rPr>
        <w:t xml:space="preserve">, respectively. </w:t>
      </w:r>
    </w:p>
    <w:p w14:paraId="79DD9B6C" w14:textId="1AA54523" w:rsidR="002933A0" w:rsidRDefault="00401CD1" w:rsidP="00AC266A">
      <w:pPr>
        <w:pStyle w:val="FirstParagraph"/>
        <w:spacing w:line="480" w:lineRule="auto"/>
        <w:ind w:firstLine="426"/>
        <w:rPr>
          <w:rFonts w:ascii="Times New Roman" w:hAnsi="Times New Roman"/>
          <w:sz w:val="24"/>
          <w:szCs w:val="24"/>
        </w:rPr>
      </w:pPr>
      <w:r w:rsidRPr="00731C8B">
        <w:rPr>
          <w:rFonts w:ascii="Times New Roman" w:hAnsi="Times New Roman"/>
          <w:sz w:val="24"/>
          <w:szCs w:val="24"/>
        </w:rPr>
        <w:t xml:space="preserve">The vector of control variables </w:t>
      </w:r>
      <m:oMath>
        <m:sSub>
          <m:sSubPr>
            <m:ctrlPr>
              <w:rPr>
                <w:rFonts w:ascii="Cambria Math" w:hAnsi="Cambria Math"/>
                <w:i/>
                <w:sz w:val="22"/>
                <w:szCs w:val="22"/>
              </w:rPr>
            </m:ctrlPr>
          </m:sSubPr>
          <m:e>
            <m:r>
              <w:rPr>
                <w:rFonts w:ascii="Cambria Math" w:hAnsi="Cambria Math"/>
                <w:sz w:val="22"/>
                <w:szCs w:val="22"/>
                <w:lang w:val="en-US"/>
              </w:rPr>
              <m:t>X</m:t>
            </m:r>
          </m:e>
          <m:sub>
            <m:r>
              <w:rPr>
                <w:rFonts w:ascii="Cambria Math" w:hAnsi="Cambria Math"/>
                <w:sz w:val="22"/>
                <w:szCs w:val="22"/>
                <w:lang w:val="en-US"/>
              </w:rPr>
              <m:t>c,t</m:t>
            </m:r>
          </m:sub>
        </m:sSub>
      </m:oMath>
      <w:r w:rsidRPr="00731C8B">
        <w:rPr>
          <w:rFonts w:ascii="Times New Roman" w:hAnsi="Times New Roman"/>
          <w:sz w:val="24"/>
          <w:szCs w:val="24"/>
        </w:rPr>
        <w:t xml:space="preserve"> in (</w:t>
      </w:r>
      <w:r w:rsidR="00AC5700">
        <w:rPr>
          <w:rFonts w:ascii="Times New Roman" w:hAnsi="Times New Roman"/>
          <w:sz w:val="24"/>
          <w:szCs w:val="24"/>
        </w:rPr>
        <w:t>2</w:t>
      </w:r>
      <w:r w:rsidRPr="00731C8B">
        <w:rPr>
          <w:rFonts w:ascii="Times New Roman" w:hAnsi="Times New Roman"/>
          <w:sz w:val="24"/>
          <w:szCs w:val="24"/>
        </w:rPr>
        <w:t xml:space="preserve">) </w:t>
      </w:r>
      <w:r w:rsidR="002933A0">
        <w:rPr>
          <w:rFonts w:ascii="Times New Roman" w:hAnsi="Times New Roman"/>
          <w:sz w:val="24"/>
          <w:szCs w:val="24"/>
        </w:rPr>
        <w:t>includes</w:t>
      </w:r>
      <w:r w:rsidRPr="00731C8B">
        <w:rPr>
          <w:rFonts w:ascii="Times New Roman" w:hAnsi="Times New Roman"/>
          <w:sz w:val="24"/>
          <w:szCs w:val="24"/>
        </w:rPr>
        <w:t xml:space="preserve"> </w:t>
      </w:r>
      <w:r w:rsidR="00F24679">
        <w:rPr>
          <w:rFonts w:ascii="Times New Roman" w:hAnsi="Times New Roman"/>
          <w:sz w:val="24"/>
          <w:szCs w:val="24"/>
        </w:rPr>
        <w:t>both positive and negative</w:t>
      </w:r>
      <w:r w:rsidR="007B7360">
        <w:rPr>
          <w:rFonts w:ascii="Times New Roman" w:hAnsi="Times New Roman"/>
          <w:sz w:val="24"/>
          <w:szCs w:val="24"/>
        </w:rPr>
        <w:t xml:space="preserve"> </w:t>
      </w:r>
      <w:r w:rsidRPr="00731C8B">
        <w:rPr>
          <w:rFonts w:ascii="Times New Roman" w:hAnsi="Times New Roman"/>
          <w:sz w:val="24"/>
          <w:szCs w:val="24"/>
        </w:rPr>
        <w:t xml:space="preserve">deviations </w:t>
      </w:r>
      <w:r w:rsidR="009D0BF6">
        <w:rPr>
          <w:rFonts w:ascii="Times New Roman" w:hAnsi="Times New Roman"/>
          <w:sz w:val="24"/>
          <w:szCs w:val="24"/>
        </w:rPr>
        <w:t xml:space="preserve">of inflation </w:t>
      </w:r>
      <w:r w:rsidRPr="00731C8B">
        <w:rPr>
          <w:rFonts w:ascii="Times New Roman" w:hAnsi="Times New Roman"/>
          <w:sz w:val="24"/>
          <w:szCs w:val="24"/>
        </w:rPr>
        <w:t xml:space="preserve">from the inflation target </w:t>
      </w:r>
      <w:r w:rsidR="00F24679">
        <w:rPr>
          <w:rFonts w:ascii="Times New Roman" w:hAnsi="Times New Roman"/>
          <w:sz w:val="24"/>
          <w:szCs w:val="24"/>
        </w:rPr>
        <w:t>(</w:t>
      </w:r>
      <m:oMath>
        <m:sSubSup>
          <m:sSubSupPr>
            <m:ctrlPr>
              <w:rPr>
                <w:rFonts w:ascii="Cambria Math" w:hAnsi="Cambria Math"/>
                <w:i/>
                <w:sz w:val="22"/>
                <w:szCs w:val="22"/>
                <w:lang w:val="en-US"/>
              </w:rPr>
            </m:ctrlPr>
          </m:sSubSupPr>
          <m:e>
            <m:r>
              <w:rPr>
                <w:rFonts w:ascii="Cambria Math" w:hAnsi="Cambria Math"/>
                <w:sz w:val="22"/>
                <w:szCs w:val="22"/>
                <w:lang w:val="en-US"/>
              </w:rPr>
              <m:t>infl gap</m:t>
            </m:r>
          </m:e>
          <m:sub>
            <m:r>
              <w:rPr>
                <w:rFonts w:ascii="Cambria Math" w:hAnsi="Cambria Math"/>
                <w:sz w:val="22"/>
                <w:szCs w:val="22"/>
                <w:lang w:val="en-US"/>
              </w:rPr>
              <m:t>c, t</m:t>
            </m:r>
          </m:sub>
          <m:sup>
            <m:r>
              <w:rPr>
                <w:rFonts w:ascii="Cambria Math" w:hAnsi="Cambria Math"/>
                <w:sz w:val="22"/>
                <w:szCs w:val="22"/>
                <w:lang w:val="en-US"/>
              </w:rPr>
              <m:t>pos</m:t>
            </m:r>
          </m:sup>
        </m:sSubSup>
      </m:oMath>
      <w:r w:rsidR="00F24679">
        <w:rPr>
          <w:rFonts w:ascii="Times New Roman" w:hAnsi="Times New Roman"/>
          <w:sz w:val="24"/>
          <w:szCs w:val="24"/>
          <w:lang w:val="en-US"/>
        </w:rPr>
        <w:t xml:space="preserve"> and </w:t>
      </w:r>
      <m:oMath>
        <m:sSubSup>
          <m:sSubSupPr>
            <m:ctrlPr>
              <w:rPr>
                <w:rFonts w:ascii="Cambria Math" w:hAnsi="Cambria Math"/>
                <w:i/>
                <w:sz w:val="22"/>
                <w:szCs w:val="22"/>
                <w:lang w:val="en-US"/>
              </w:rPr>
            </m:ctrlPr>
          </m:sSubSupPr>
          <m:e>
            <m:r>
              <w:rPr>
                <w:rFonts w:ascii="Cambria Math" w:hAnsi="Cambria Math"/>
                <w:sz w:val="22"/>
                <w:szCs w:val="22"/>
                <w:lang w:val="en-US"/>
              </w:rPr>
              <m:t>infl gap</m:t>
            </m:r>
          </m:e>
          <m:sub>
            <m:r>
              <w:rPr>
                <w:rFonts w:ascii="Cambria Math" w:hAnsi="Cambria Math"/>
                <w:sz w:val="22"/>
                <w:szCs w:val="22"/>
                <w:lang w:val="en-US"/>
              </w:rPr>
              <m:t>c, t</m:t>
            </m:r>
          </m:sub>
          <m:sup>
            <m:r>
              <w:rPr>
                <w:rFonts w:ascii="Cambria Math" w:hAnsi="Cambria Math"/>
                <w:sz w:val="22"/>
                <w:szCs w:val="22"/>
                <w:lang w:val="en-US"/>
              </w:rPr>
              <m:t>neg</m:t>
            </m:r>
          </m:sup>
        </m:sSubSup>
      </m:oMath>
      <w:r w:rsidR="00F24679" w:rsidRPr="00F24679">
        <w:rPr>
          <w:rFonts w:ascii="Times New Roman" w:hAnsi="Times New Roman"/>
          <w:sz w:val="24"/>
          <w:szCs w:val="24"/>
          <w:lang w:val="en-US"/>
        </w:rPr>
        <w:t>, respectively),</w:t>
      </w:r>
      <w:r w:rsidR="00F24679">
        <w:rPr>
          <w:rFonts w:ascii="Times New Roman" w:hAnsi="Times New Roman"/>
          <w:sz w:val="22"/>
          <w:szCs w:val="22"/>
          <w:lang w:val="en-US"/>
        </w:rPr>
        <w:t xml:space="preserve"> </w:t>
      </w:r>
      <w:r w:rsidR="00F24679">
        <w:rPr>
          <w:rFonts w:ascii="Times New Roman" w:hAnsi="Times New Roman"/>
          <w:sz w:val="24"/>
          <w:szCs w:val="24"/>
        </w:rPr>
        <w:t>the squared inflation gap</w:t>
      </w:r>
      <w:r w:rsidRPr="00731C8B">
        <w:rPr>
          <w:rFonts w:ascii="Times New Roman" w:hAnsi="Times New Roman"/>
          <w:sz w:val="24"/>
          <w:szCs w:val="24"/>
        </w:rPr>
        <w:t xml:space="preserve">, the policy interest rate </w:t>
      </w:r>
      <m:oMath>
        <m:sSub>
          <m:sSubPr>
            <m:ctrlPr>
              <w:rPr>
                <w:rFonts w:ascii="Cambria Math" w:hAnsi="Cambria Math"/>
                <w:i/>
                <w:sz w:val="24"/>
                <w:szCs w:val="24"/>
                <w:lang w:val="en-US"/>
              </w:rPr>
            </m:ctrlPr>
          </m:sSubPr>
          <m:e>
            <m:r>
              <w:rPr>
                <w:rFonts w:ascii="Cambria Math" w:hAnsi="Cambria Math"/>
                <w:sz w:val="24"/>
                <w:szCs w:val="24"/>
                <w:lang w:val="en-US"/>
              </w:rPr>
              <m:t>i</m:t>
            </m:r>
          </m:e>
          <m:sub>
            <m:r>
              <w:rPr>
                <w:rFonts w:ascii="Cambria Math" w:hAnsi="Cambria Math"/>
                <w:sz w:val="24"/>
                <w:szCs w:val="24"/>
                <w:lang w:val="en-US"/>
              </w:rPr>
              <m:t>c, t</m:t>
            </m:r>
          </m:sub>
        </m:sSub>
      </m:oMath>
      <w:r w:rsidRPr="00731C8B">
        <w:rPr>
          <w:rFonts w:ascii="Times New Roman" w:hAnsi="Times New Roman"/>
          <w:sz w:val="24"/>
          <w:szCs w:val="24"/>
          <w:lang w:val="en-US"/>
        </w:rPr>
        <w:t xml:space="preserve">, </w:t>
      </w:r>
      <w:r w:rsidRPr="00731C8B">
        <w:rPr>
          <w:rFonts w:ascii="Times New Roman" w:hAnsi="Times New Roman"/>
          <w:sz w:val="24"/>
          <w:szCs w:val="24"/>
        </w:rPr>
        <w:t xml:space="preserve">the absolute change in the nominal effective exchange rate </w:t>
      </w:r>
      <m:oMath>
        <m:r>
          <w:rPr>
            <w:rFonts w:ascii="Cambria Math" w:hAnsi="Cambria Math"/>
            <w:sz w:val="22"/>
            <w:szCs w:val="22"/>
          </w:rPr>
          <m:t>abs</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lang w:val="en-US"/>
                  </w:rPr>
                  <m:t>Δneer</m:t>
                </m:r>
              </m:e>
              <m:sub>
                <m:r>
                  <w:rPr>
                    <w:rFonts w:ascii="Cambria Math" w:hAnsi="Cambria Math"/>
                    <w:sz w:val="22"/>
                    <w:szCs w:val="22"/>
                    <w:lang w:val="en-US"/>
                  </w:rPr>
                  <m:t>c,t</m:t>
                </m:r>
              </m:sub>
            </m:sSub>
          </m:e>
        </m:d>
      </m:oMath>
      <w:r w:rsidRPr="00C31D76">
        <w:rPr>
          <w:rFonts w:ascii="Times New Roman" w:hAnsi="Times New Roman"/>
          <w:sz w:val="22"/>
          <w:szCs w:val="22"/>
        </w:rPr>
        <w:t>,</w:t>
      </w:r>
      <w:r w:rsidRPr="00731C8B">
        <w:rPr>
          <w:rFonts w:ascii="Times New Roman" w:hAnsi="Times New Roman"/>
          <w:sz w:val="24"/>
          <w:szCs w:val="24"/>
        </w:rPr>
        <w:t xml:space="preserve"> </w:t>
      </w:r>
      <w:r w:rsidRPr="00731C8B">
        <w:rPr>
          <w:rFonts w:ascii="Times New Roman" w:hAnsi="Times New Roman"/>
          <w:sz w:val="24"/>
          <w:szCs w:val="24"/>
          <w:lang w:val="en-US"/>
        </w:rPr>
        <w:t xml:space="preserve">the squared change in the policy interest rate </w:t>
      </w:r>
      <m:oMath>
        <m:sSup>
          <m:sSupPr>
            <m:ctrlPr>
              <w:rPr>
                <w:rFonts w:ascii="Cambria Math" w:hAnsi="Cambria Math"/>
                <w:i/>
                <w:sz w:val="22"/>
                <w:szCs w:val="22"/>
              </w:rPr>
            </m:ctrlPr>
          </m:sSupPr>
          <m:e>
            <m:sSub>
              <m:sSubPr>
                <m:ctrlPr>
                  <w:rPr>
                    <w:rFonts w:ascii="Cambria Math" w:hAnsi="Cambria Math"/>
                    <w:i/>
                    <w:sz w:val="22"/>
                    <w:szCs w:val="22"/>
                  </w:rPr>
                </m:ctrlPr>
              </m:sSubPr>
              <m:e>
                <m:r>
                  <w:rPr>
                    <w:rFonts w:ascii="Cambria Math" w:hAnsi="Cambria Math"/>
                    <w:sz w:val="22"/>
                    <w:szCs w:val="22"/>
                    <w:lang w:val="en-US"/>
                  </w:rPr>
                  <m:t>(</m:t>
                </m:r>
                <m:r>
                  <m:rPr>
                    <m:sty m:val="p"/>
                  </m:rPr>
                  <w:rPr>
                    <w:rFonts w:ascii="Cambria Math" w:hAnsi="Cambria Math"/>
                    <w:sz w:val="22"/>
                    <w:szCs w:val="22"/>
                    <w:lang w:val="en-US"/>
                  </w:rPr>
                  <m:t>Δ</m:t>
                </m:r>
                <m:r>
                  <w:rPr>
                    <w:rFonts w:ascii="Cambria Math" w:hAnsi="Cambria Math"/>
                    <w:sz w:val="22"/>
                    <w:szCs w:val="22"/>
                    <w:lang w:val="en-US"/>
                  </w:rPr>
                  <m:t>i</m:t>
                </m:r>
              </m:e>
              <m:sub>
                <m:r>
                  <w:rPr>
                    <w:rFonts w:ascii="Cambria Math" w:hAnsi="Cambria Math"/>
                    <w:sz w:val="22"/>
                    <w:szCs w:val="22"/>
                    <w:lang w:val="en-US"/>
                  </w:rPr>
                  <m:t>c,t</m:t>
                </m:r>
              </m:sub>
            </m:sSub>
            <m:r>
              <w:rPr>
                <w:rFonts w:ascii="Cambria Math" w:hAnsi="Cambria Math"/>
                <w:sz w:val="22"/>
                <w:szCs w:val="22"/>
              </w:rPr>
              <m:t>)</m:t>
            </m:r>
          </m:e>
          <m:sup>
            <m:r>
              <w:rPr>
                <w:rFonts w:ascii="Cambria Math" w:hAnsi="Cambria Math"/>
                <w:sz w:val="22"/>
                <w:szCs w:val="22"/>
              </w:rPr>
              <m:t>2</m:t>
            </m:r>
          </m:sup>
        </m:sSup>
      </m:oMath>
      <w:r w:rsidRPr="00C31D76">
        <w:rPr>
          <w:rFonts w:ascii="Times New Roman" w:hAnsi="Times New Roman"/>
          <w:sz w:val="22"/>
          <w:szCs w:val="22"/>
          <w:lang w:val="en-US"/>
        </w:rPr>
        <w:t>,</w:t>
      </w:r>
      <w:r w:rsidRPr="00731C8B">
        <w:rPr>
          <w:rFonts w:ascii="Times New Roman" w:hAnsi="Times New Roman"/>
          <w:sz w:val="24"/>
          <w:szCs w:val="24"/>
          <w:lang w:val="en-US"/>
        </w:rPr>
        <w:t xml:space="preserve"> the absolute change in the inflation rate </w:t>
      </w:r>
      <m:oMath>
        <m:r>
          <w:rPr>
            <w:rFonts w:ascii="Cambria Math" w:hAnsi="Cambria Math"/>
            <w:sz w:val="22"/>
            <w:szCs w:val="22"/>
          </w:rPr>
          <m:t>abs</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lang w:val="en-US"/>
                  </w:rPr>
                  <m:t>Δπ</m:t>
                </m:r>
              </m:e>
              <m:sub>
                <m:r>
                  <w:rPr>
                    <w:rFonts w:ascii="Cambria Math" w:hAnsi="Cambria Math"/>
                    <w:sz w:val="22"/>
                    <w:szCs w:val="22"/>
                    <w:lang w:val="en-US"/>
                  </w:rPr>
                  <m:t>c,t</m:t>
                </m:r>
              </m:sub>
            </m:sSub>
          </m:e>
        </m:d>
      </m:oMath>
      <w:r w:rsidRPr="00731C8B">
        <w:rPr>
          <w:rFonts w:ascii="Times New Roman" w:hAnsi="Times New Roman"/>
          <w:sz w:val="24"/>
          <w:szCs w:val="24"/>
        </w:rPr>
        <w:t xml:space="preserve"> and the squared cha</w:t>
      </w:r>
      <w:proofErr w:type="spellStart"/>
      <w:r w:rsidRPr="00731C8B">
        <w:rPr>
          <w:rFonts w:ascii="Times New Roman" w:hAnsi="Times New Roman"/>
          <w:sz w:val="24"/>
          <w:szCs w:val="24"/>
        </w:rPr>
        <w:t>nge</w:t>
      </w:r>
      <w:proofErr w:type="spellEnd"/>
      <w:r w:rsidRPr="00731C8B">
        <w:rPr>
          <w:rFonts w:ascii="Times New Roman" w:hAnsi="Times New Roman"/>
          <w:sz w:val="24"/>
          <w:szCs w:val="24"/>
        </w:rPr>
        <w:t xml:space="preserve"> in the inflation rate </w:t>
      </w:r>
      <m:oMath>
        <m:sSup>
          <m:sSupPr>
            <m:ctrlPr>
              <w:rPr>
                <w:rFonts w:ascii="Cambria Math" w:hAnsi="Cambria Math"/>
                <w:i/>
                <w:sz w:val="22"/>
                <w:szCs w:val="22"/>
              </w:rPr>
            </m:ctrlPr>
          </m:sSupPr>
          <m:e>
            <m:d>
              <m:dPr>
                <m:begChr m:val=""/>
                <m:endChr m:val=""/>
                <m:ctrlPr>
                  <w:rPr>
                    <w:rFonts w:ascii="Cambria Math" w:hAnsi="Cambria Math"/>
                    <w:i/>
                    <w:sz w:val="22"/>
                    <w:szCs w:val="22"/>
                  </w:rPr>
                </m:ctrlPr>
              </m:dPr>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lang w:val="en-US"/>
                          </w:rPr>
                          <m:t>Δπ</m:t>
                        </m:r>
                      </m:e>
                      <m:sub>
                        <m:r>
                          <w:rPr>
                            <w:rFonts w:ascii="Cambria Math" w:hAnsi="Cambria Math"/>
                            <w:sz w:val="22"/>
                            <w:szCs w:val="22"/>
                            <w:lang w:val="en-US"/>
                          </w:rPr>
                          <m:t>c,t</m:t>
                        </m:r>
                      </m:sub>
                    </m:sSub>
                  </m:e>
                </m:d>
              </m:e>
            </m:d>
          </m:e>
          <m:sup>
            <m:r>
              <w:rPr>
                <w:rFonts w:ascii="Cambria Math" w:hAnsi="Cambria Math"/>
                <w:sz w:val="22"/>
                <w:szCs w:val="22"/>
              </w:rPr>
              <m:t>2</m:t>
            </m:r>
          </m:sup>
        </m:sSup>
      </m:oMath>
      <w:r w:rsidRPr="00C31D76">
        <w:rPr>
          <w:rFonts w:ascii="Times New Roman" w:hAnsi="Times New Roman"/>
          <w:sz w:val="22"/>
          <w:szCs w:val="22"/>
        </w:rPr>
        <w:t>.</w:t>
      </w:r>
      <w:r w:rsidRPr="00731C8B">
        <w:rPr>
          <w:rFonts w:ascii="Times New Roman" w:hAnsi="Times New Roman"/>
          <w:sz w:val="24"/>
          <w:szCs w:val="24"/>
        </w:rPr>
        <w:t xml:space="preserve"> The </w:t>
      </w:r>
      <w:r w:rsidR="008A6D35">
        <w:rPr>
          <w:rFonts w:ascii="Times New Roman" w:hAnsi="Times New Roman"/>
          <w:sz w:val="24"/>
          <w:szCs w:val="24"/>
        </w:rPr>
        <w:t>absolute value</w:t>
      </w:r>
      <w:r w:rsidR="004C2516">
        <w:rPr>
          <w:rFonts w:ascii="Times New Roman" w:hAnsi="Times New Roman"/>
          <w:sz w:val="24"/>
          <w:szCs w:val="24"/>
        </w:rPr>
        <w:t>s</w:t>
      </w:r>
      <w:r w:rsidR="008A6D35">
        <w:rPr>
          <w:rFonts w:ascii="Times New Roman" w:hAnsi="Times New Roman"/>
          <w:sz w:val="24"/>
          <w:szCs w:val="24"/>
        </w:rPr>
        <w:t xml:space="preserve"> of </w:t>
      </w:r>
      <w:r w:rsidR="004C2516">
        <w:rPr>
          <w:rFonts w:ascii="Times New Roman" w:hAnsi="Times New Roman"/>
          <w:sz w:val="24"/>
          <w:szCs w:val="24"/>
        </w:rPr>
        <w:t xml:space="preserve">changes in </w:t>
      </w:r>
      <w:r w:rsidR="008A6D35">
        <w:rPr>
          <w:rFonts w:ascii="Times New Roman" w:hAnsi="Times New Roman"/>
          <w:sz w:val="24"/>
          <w:szCs w:val="24"/>
        </w:rPr>
        <w:t>variable</w:t>
      </w:r>
      <w:r w:rsidR="004C2516">
        <w:rPr>
          <w:rFonts w:ascii="Times New Roman" w:hAnsi="Times New Roman"/>
          <w:sz w:val="24"/>
          <w:szCs w:val="24"/>
        </w:rPr>
        <w:t>s</w:t>
      </w:r>
      <w:r w:rsidR="008A6D35">
        <w:rPr>
          <w:rFonts w:ascii="Times New Roman" w:hAnsi="Times New Roman"/>
          <w:sz w:val="24"/>
          <w:szCs w:val="24"/>
        </w:rPr>
        <w:t xml:space="preserve"> and the</w:t>
      </w:r>
      <w:r w:rsidR="004C2516">
        <w:rPr>
          <w:rFonts w:ascii="Times New Roman" w:hAnsi="Times New Roman"/>
          <w:sz w:val="24"/>
          <w:szCs w:val="24"/>
        </w:rPr>
        <w:t>ir</w:t>
      </w:r>
      <w:r w:rsidR="008A6D35">
        <w:rPr>
          <w:rFonts w:ascii="Times New Roman" w:hAnsi="Times New Roman"/>
          <w:sz w:val="24"/>
          <w:szCs w:val="24"/>
        </w:rPr>
        <w:t xml:space="preserve"> </w:t>
      </w:r>
      <w:r w:rsidRPr="00731C8B">
        <w:rPr>
          <w:rFonts w:ascii="Times New Roman" w:hAnsi="Times New Roman"/>
          <w:sz w:val="24"/>
          <w:szCs w:val="24"/>
        </w:rPr>
        <w:t xml:space="preserve">squared terms are motivated by </w:t>
      </w:r>
      <w:r w:rsidR="00A23065">
        <w:rPr>
          <w:rFonts w:ascii="Times New Roman" w:hAnsi="Times New Roman"/>
          <w:sz w:val="24"/>
          <w:szCs w:val="24"/>
        </w:rPr>
        <w:t>sti</w:t>
      </w:r>
      <w:r w:rsidRPr="00731C8B">
        <w:rPr>
          <w:rFonts w:ascii="Times New Roman" w:hAnsi="Times New Roman"/>
          <w:sz w:val="24"/>
          <w:szCs w:val="24"/>
        </w:rPr>
        <w:t xml:space="preserve">cky information </w:t>
      </w:r>
      <w:r w:rsidR="00A23065">
        <w:rPr>
          <w:rFonts w:ascii="Times New Roman" w:hAnsi="Times New Roman"/>
          <w:sz w:val="24"/>
          <w:szCs w:val="24"/>
        </w:rPr>
        <w:t>models where</w:t>
      </w:r>
      <w:r w:rsidRPr="00731C8B">
        <w:rPr>
          <w:rFonts w:ascii="Times New Roman" w:hAnsi="Times New Roman"/>
          <w:sz w:val="24"/>
          <w:szCs w:val="24"/>
        </w:rPr>
        <w:t xml:space="preserve"> forecast disagreement rise</w:t>
      </w:r>
      <w:r w:rsidR="00A23065">
        <w:rPr>
          <w:rFonts w:ascii="Times New Roman" w:hAnsi="Times New Roman"/>
          <w:sz w:val="24"/>
          <w:szCs w:val="24"/>
        </w:rPr>
        <w:t>s</w:t>
      </w:r>
      <w:r w:rsidRPr="00731C8B">
        <w:rPr>
          <w:rFonts w:ascii="Times New Roman" w:hAnsi="Times New Roman"/>
          <w:sz w:val="24"/>
          <w:szCs w:val="24"/>
        </w:rPr>
        <w:t xml:space="preserve"> in response to large changes in macroeconomic variables (</w:t>
      </w:r>
      <w:proofErr w:type="spellStart"/>
      <w:r w:rsidRPr="00731C8B">
        <w:rPr>
          <w:rFonts w:ascii="Times New Roman" w:hAnsi="Times New Roman"/>
          <w:sz w:val="24"/>
          <w:szCs w:val="24"/>
        </w:rPr>
        <w:t>Mankiw</w:t>
      </w:r>
      <w:proofErr w:type="spellEnd"/>
      <w:r w:rsidRPr="00731C8B">
        <w:rPr>
          <w:rFonts w:ascii="Times New Roman" w:hAnsi="Times New Roman"/>
          <w:sz w:val="24"/>
          <w:szCs w:val="24"/>
        </w:rPr>
        <w:t xml:space="preserve"> and Reis (2002); </w:t>
      </w:r>
      <w:proofErr w:type="spellStart"/>
      <w:r w:rsidRPr="00731C8B">
        <w:rPr>
          <w:rFonts w:ascii="Times New Roman" w:hAnsi="Times New Roman"/>
          <w:sz w:val="24"/>
          <w:szCs w:val="24"/>
        </w:rPr>
        <w:t>Mankiw</w:t>
      </w:r>
      <w:proofErr w:type="spellEnd"/>
      <w:r w:rsidRPr="00731C8B">
        <w:rPr>
          <w:rFonts w:ascii="Times New Roman" w:hAnsi="Times New Roman"/>
          <w:sz w:val="24"/>
          <w:szCs w:val="24"/>
        </w:rPr>
        <w:t xml:space="preserve"> et al (2004)). </w:t>
      </w:r>
      <w:r w:rsidR="00033563">
        <w:rPr>
          <w:rFonts w:ascii="Times New Roman" w:hAnsi="Times New Roman"/>
          <w:sz w:val="24"/>
          <w:szCs w:val="24"/>
        </w:rPr>
        <w:t>A</w:t>
      </w:r>
      <w:r w:rsidRPr="00731C8B">
        <w:rPr>
          <w:rFonts w:ascii="Times New Roman" w:hAnsi="Times New Roman"/>
          <w:sz w:val="24"/>
          <w:szCs w:val="24"/>
        </w:rPr>
        <w:t xml:space="preserve">s only a fraction of forecasters update their information sets in each period, </w:t>
      </w:r>
      <w:r w:rsidR="00D72BDD">
        <w:rPr>
          <w:rFonts w:ascii="Times New Roman" w:hAnsi="Times New Roman"/>
          <w:sz w:val="24"/>
          <w:szCs w:val="24"/>
        </w:rPr>
        <w:t>f</w:t>
      </w:r>
      <w:r w:rsidRPr="00731C8B">
        <w:rPr>
          <w:rFonts w:ascii="Times New Roman" w:hAnsi="Times New Roman"/>
          <w:sz w:val="24"/>
          <w:szCs w:val="24"/>
        </w:rPr>
        <w:t xml:space="preserve">orecast dispersion </w:t>
      </w:r>
      <w:r w:rsidR="00D72BDD">
        <w:rPr>
          <w:rFonts w:ascii="Times New Roman" w:hAnsi="Times New Roman"/>
          <w:sz w:val="24"/>
          <w:szCs w:val="24"/>
        </w:rPr>
        <w:t xml:space="preserve">increases endogenously </w:t>
      </w:r>
      <w:r w:rsidRPr="00731C8B">
        <w:rPr>
          <w:rFonts w:ascii="Times New Roman" w:hAnsi="Times New Roman"/>
          <w:sz w:val="24"/>
          <w:szCs w:val="24"/>
        </w:rPr>
        <w:t xml:space="preserve">when the economy faces large shocks affecting prices. </w:t>
      </w:r>
      <w:proofErr w:type="spellStart"/>
      <w:r w:rsidRPr="00731C8B">
        <w:rPr>
          <w:rFonts w:ascii="Times New Roman" w:hAnsi="Times New Roman"/>
          <w:sz w:val="24"/>
          <w:szCs w:val="24"/>
        </w:rPr>
        <w:t>Dovern</w:t>
      </w:r>
      <w:proofErr w:type="spellEnd"/>
      <w:r w:rsidRPr="00731C8B">
        <w:rPr>
          <w:rFonts w:ascii="Times New Roman" w:hAnsi="Times New Roman"/>
          <w:sz w:val="24"/>
          <w:szCs w:val="24"/>
        </w:rPr>
        <w:t xml:space="preserve"> et al</w:t>
      </w:r>
      <w:r w:rsidR="007B7360">
        <w:rPr>
          <w:rFonts w:ascii="Times New Roman" w:hAnsi="Times New Roman"/>
          <w:sz w:val="24"/>
          <w:szCs w:val="24"/>
        </w:rPr>
        <w:t xml:space="preserve"> (2012)</w:t>
      </w:r>
      <w:r w:rsidRPr="00731C8B">
        <w:rPr>
          <w:rFonts w:ascii="Times New Roman" w:hAnsi="Times New Roman"/>
          <w:sz w:val="24"/>
          <w:szCs w:val="24"/>
        </w:rPr>
        <w:t xml:space="preserve"> </w:t>
      </w:r>
      <w:r w:rsidR="00C3722F">
        <w:rPr>
          <w:rFonts w:ascii="Times New Roman" w:hAnsi="Times New Roman"/>
          <w:sz w:val="24"/>
          <w:szCs w:val="24"/>
        </w:rPr>
        <w:t xml:space="preserve">similarly </w:t>
      </w:r>
      <w:r w:rsidR="00D72BDD">
        <w:rPr>
          <w:rFonts w:ascii="Times New Roman" w:hAnsi="Times New Roman"/>
          <w:sz w:val="24"/>
          <w:szCs w:val="24"/>
        </w:rPr>
        <w:t xml:space="preserve">include the </w:t>
      </w:r>
      <w:r w:rsidR="00D72BDD" w:rsidRPr="00731C8B">
        <w:rPr>
          <w:rFonts w:ascii="Times New Roman" w:hAnsi="Times New Roman"/>
          <w:sz w:val="24"/>
          <w:szCs w:val="24"/>
        </w:rPr>
        <w:t xml:space="preserve">squared change in the policy rate </w:t>
      </w:r>
      <w:r w:rsidR="00C3722F">
        <w:rPr>
          <w:rFonts w:ascii="Times New Roman" w:hAnsi="Times New Roman"/>
          <w:sz w:val="24"/>
          <w:szCs w:val="24"/>
        </w:rPr>
        <w:t xml:space="preserve">when modelling inflation forecast disagreement, </w:t>
      </w:r>
      <w:r w:rsidR="001F05CA">
        <w:rPr>
          <w:rFonts w:ascii="Times New Roman" w:hAnsi="Times New Roman"/>
          <w:sz w:val="24"/>
          <w:szCs w:val="24"/>
        </w:rPr>
        <w:t>to</w:t>
      </w:r>
      <w:r w:rsidRPr="00731C8B">
        <w:rPr>
          <w:rFonts w:ascii="Times New Roman" w:hAnsi="Times New Roman"/>
          <w:sz w:val="24"/>
          <w:szCs w:val="24"/>
        </w:rPr>
        <w:t xml:space="preserve"> proxy for variation in monetary policy. </w:t>
      </w:r>
    </w:p>
    <w:p w14:paraId="45A086D4" w14:textId="56E10583" w:rsidR="00AC266A" w:rsidRPr="00731C8B" w:rsidRDefault="002933A0" w:rsidP="00AC266A">
      <w:pPr>
        <w:pStyle w:val="FirstParagraph"/>
        <w:spacing w:line="480" w:lineRule="auto"/>
        <w:ind w:firstLine="426"/>
        <w:rPr>
          <w:rFonts w:ascii="Times New Roman" w:hAnsi="Times New Roman"/>
          <w:sz w:val="24"/>
          <w:szCs w:val="24"/>
        </w:rPr>
      </w:pPr>
      <w:r>
        <w:rPr>
          <w:rFonts w:ascii="Times New Roman" w:hAnsi="Times New Roman"/>
          <w:sz w:val="24"/>
          <w:szCs w:val="24"/>
        </w:rPr>
        <w:lastRenderedPageBreak/>
        <w:t xml:space="preserve">In addition, </w:t>
      </w:r>
      <w:r w:rsidR="005A27A0" w:rsidRPr="00E736FB">
        <w:rPr>
          <w:rFonts w:ascii="Times New Roman" w:hAnsi="Times New Roman"/>
          <w:sz w:val="24"/>
          <w:szCs w:val="24"/>
        </w:rPr>
        <w:t>the vector of controls includes other macroeconomic variables tha</w:t>
      </w:r>
      <w:r w:rsidR="002C2761" w:rsidRPr="00E736FB">
        <w:rPr>
          <w:rFonts w:ascii="Times New Roman" w:hAnsi="Times New Roman"/>
          <w:sz w:val="24"/>
          <w:szCs w:val="24"/>
        </w:rPr>
        <w:t xml:space="preserve">t previous research has found </w:t>
      </w:r>
      <w:r w:rsidR="005A27A0" w:rsidRPr="00E736FB">
        <w:rPr>
          <w:rFonts w:ascii="Times New Roman" w:hAnsi="Times New Roman"/>
          <w:sz w:val="24"/>
          <w:szCs w:val="24"/>
        </w:rPr>
        <w:t xml:space="preserve">to be correlated with </w:t>
      </w:r>
      <w:r w:rsidR="007D50A0">
        <w:rPr>
          <w:rFonts w:ascii="Times New Roman" w:hAnsi="Times New Roman"/>
          <w:sz w:val="24"/>
          <w:szCs w:val="24"/>
        </w:rPr>
        <w:t xml:space="preserve">inflation </w:t>
      </w:r>
      <w:r w:rsidR="005A27A0" w:rsidRPr="00E736FB">
        <w:rPr>
          <w:rFonts w:ascii="Times New Roman" w:hAnsi="Times New Roman"/>
          <w:sz w:val="24"/>
          <w:szCs w:val="24"/>
        </w:rPr>
        <w:t xml:space="preserve">forecast disagreement: the output gap </w:t>
      </w:r>
      <m:oMath>
        <m:sSubSup>
          <m:sSubSupPr>
            <m:ctrlPr>
              <w:rPr>
                <w:rFonts w:ascii="Cambria Math" w:hAnsi="Cambria Math"/>
                <w:i/>
                <w:sz w:val="22"/>
                <w:szCs w:val="22"/>
                <w:lang w:val="en-US"/>
              </w:rPr>
            </m:ctrlPr>
          </m:sSubSupPr>
          <m:e>
            <m:r>
              <w:rPr>
                <w:rFonts w:ascii="Cambria Math" w:hAnsi="Cambria Math"/>
                <w:sz w:val="22"/>
                <w:szCs w:val="22"/>
                <w:lang w:val="en-US"/>
              </w:rPr>
              <m:t>y</m:t>
            </m:r>
          </m:e>
          <m:sub>
            <m:r>
              <w:rPr>
                <w:rFonts w:ascii="Cambria Math" w:hAnsi="Cambria Math"/>
                <w:sz w:val="22"/>
                <w:szCs w:val="22"/>
                <w:lang w:val="en-US"/>
              </w:rPr>
              <m:t>c, t</m:t>
            </m:r>
          </m:sub>
          <m:sup>
            <m:r>
              <w:rPr>
                <w:rFonts w:ascii="Cambria Math" w:hAnsi="Cambria Math"/>
                <w:sz w:val="22"/>
                <w:szCs w:val="22"/>
                <w:lang w:val="en-US"/>
              </w:rPr>
              <m:t>gap</m:t>
            </m:r>
          </m:sup>
        </m:sSubSup>
      </m:oMath>
      <w:r w:rsidR="002C2761" w:rsidRPr="00E736FB">
        <w:rPr>
          <w:rFonts w:ascii="Times New Roman" w:hAnsi="Times New Roman"/>
          <w:sz w:val="24"/>
          <w:szCs w:val="24"/>
          <w:lang w:val="en-US"/>
        </w:rPr>
        <w:t xml:space="preserve"> (</w:t>
      </w:r>
      <w:proofErr w:type="spellStart"/>
      <w:r w:rsidR="00360234">
        <w:rPr>
          <w:rFonts w:ascii="Times New Roman" w:hAnsi="Times New Roman"/>
          <w:sz w:val="24"/>
          <w:szCs w:val="24"/>
        </w:rPr>
        <w:t>Dovern</w:t>
      </w:r>
      <w:proofErr w:type="spellEnd"/>
      <w:r w:rsidR="00360234">
        <w:rPr>
          <w:rFonts w:ascii="Times New Roman" w:hAnsi="Times New Roman"/>
          <w:sz w:val="24"/>
          <w:szCs w:val="24"/>
        </w:rPr>
        <w:t xml:space="preserve"> et al (2012)</w:t>
      </w:r>
      <w:r w:rsidR="002C2761" w:rsidRPr="00E736FB">
        <w:rPr>
          <w:rFonts w:ascii="Times New Roman" w:hAnsi="Times New Roman"/>
          <w:sz w:val="24"/>
          <w:szCs w:val="24"/>
          <w:lang w:val="en-US"/>
        </w:rPr>
        <w:t>)</w:t>
      </w:r>
      <w:r w:rsidR="005A27A0" w:rsidRPr="00E736FB">
        <w:rPr>
          <w:rFonts w:ascii="Times New Roman" w:hAnsi="Times New Roman"/>
          <w:sz w:val="24"/>
          <w:szCs w:val="24"/>
          <w:lang w:val="en-US"/>
        </w:rPr>
        <w:t>;</w:t>
      </w:r>
      <w:r w:rsidR="005A27A0" w:rsidRPr="00E736FB">
        <w:rPr>
          <w:rFonts w:ascii="Times New Roman" w:hAnsi="Times New Roman"/>
          <w:sz w:val="24"/>
          <w:szCs w:val="24"/>
        </w:rPr>
        <w:t xml:space="preserve"> a dummy variable for recession periods</w:t>
      </w:r>
      <w:r w:rsidR="002C2761" w:rsidRPr="00E736FB">
        <w:rPr>
          <w:rFonts w:ascii="Times New Roman" w:hAnsi="Times New Roman"/>
          <w:sz w:val="24"/>
          <w:szCs w:val="24"/>
        </w:rPr>
        <w:t>,</w:t>
      </w:r>
      <w:r w:rsidR="005A27A0" w:rsidRPr="00E736FB">
        <w:rPr>
          <w:rFonts w:ascii="Times New Roman" w:hAnsi="Times New Roman"/>
          <w:sz w:val="24"/>
          <w:szCs w:val="24"/>
        </w:rPr>
        <w:t xml:space="preserve"> </w:t>
      </w:r>
      <m:oMath>
        <m:sSub>
          <m:sSubPr>
            <m:ctrlPr>
              <w:rPr>
                <w:rFonts w:ascii="Cambria Math" w:hAnsi="Cambria Math"/>
                <w:i/>
                <w:sz w:val="22"/>
                <w:szCs w:val="22"/>
                <w:lang w:val="en-US"/>
              </w:rPr>
            </m:ctrlPr>
          </m:sSubPr>
          <m:e>
            <m:r>
              <w:rPr>
                <w:rFonts w:ascii="Cambria Math" w:hAnsi="Cambria Math"/>
                <w:sz w:val="22"/>
                <w:szCs w:val="22"/>
                <w:lang w:val="en-US"/>
              </w:rPr>
              <m:t>recession</m:t>
            </m:r>
            <m:ctrlPr>
              <w:rPr>
                <w:rFonts w:ascii="Cambria Math" w:hAnsi="Cambria Math"/>
                <w:sz w:val="22"/>
                <w:szCs w:val="22"/>
              </w:rPr>
            </m:ctrlPr>
          </m:e>
          <m:sub>
            <m:r>
              <w:rPr>
                <w:rFonts w:ascii="Cambria Math" w:hAnsi="Cambria Math"/>
                <w:sz w:val="22"/>
                <w:szCs w:val="22"/>
                <w:lang w:val="en-US"/>
              </w:rPr>
              <m:t>c</m:t>
            </m:r>
            <m:r>
              <m:rPr>
                <m:sty m:val="p"/>
              </m:rPr>
              <w:rPr>
                <w:rFonts w:ascii="Cambria Math" w:hAnsi="Cambria Math"/>
                <w:sz w:val="22"/>
                <w:szCs w:val="22"/>
                <w:lang w:val="en-US"/>
              </w:rPr>
              <m:t>, </m:t>
            </m:r>
            <m:r>
              <w:rPr>
                <w:rFonts w:ascii="Cambria Math" w:hAnsi="Cambria Math"/>
                <w:sz w:val="22"/>
                <w:szCs w:val="22"/>
                <w:lang w:val="en-US"/>
              </w:rPr>
              <m:t>t</m:t>
            </m:r>
            <m:ctrlPr>
              <w:rPr>
                <w:rFonts w:ascii="Cambria Math" w:hAnsi="Cambria Math"/>
                <w:sz w:val="22"/>
                <w:szCs w:val="22"/>
              </w:rPr>
            </m:ctrlPr>
          </m:sub>
        </m:sSub>
      </m:oMath>
      <w:r w:rsidR="007018AA" w:rsidRPr="00E736FB">
        <w:rPr>
          <w:rFonts w:ascii="Times New Roman" w:hAnsi="Times New Roman"/>
          <w:sz w:val="24"/>
          <w:szCs w:val="24"/>
        </w:rPr>
        <w:t xml:space="preserve"> (</w:t>
      </w:r>
      <w:r w:rsidR="00360234">
        <w:rPr>
          <w:rFonts w:ascii="Times New Roman" w:hAnsi="Times New Roman"/>
          <w:sz w:val="24"/>
          <w:szCs w:val="24"/>
        </w:rPr>
        <w:t xml:space="preserve">Patton and </w:t>
      </w:r>
      <w:proofErr w:type="spellStart"/>
      <w:r w:rsidR="00360234">
        <w:rPr>
          <w:rFonts w:ascii="Times New Roman" w:hAnsi="Times New Roman"/>
          <w:sz w:val="24"/>
          <w:szCs w:val="24"/>
        </w:rPr>
        <w:t>Timmermann</w:t>
      </w:r>
      <w:proofErr w:type="spellEnd"/>
      <w:r w:rsidR="00360234">
        <w:rPr>
          <w:rFonts w:ascii="Times New Roman" w:hAnsi="Times New Roman"/>
          <w:sz w:val="24"/>
          <w:szCs w:val="24"/>
        </w:rPr>
        <w:t xml:space="preserve"> (20</w:t>
      </w:r>
      <w:r w:rsidR="00D568D6">
        <w:rPr>
          <w:rFonts w:ascii="Times New Roman" w:hAnsi="Times New Roman"/>
          <w:sz w:val="24"/>
          <w:szCs w:val="24"/>
        </w:rPr>
        <w:t>10</w:t>
      </w:r>
      <w:r w:rsidR="00360234">
        <w:rPr>
          <w:rFonts w:ascii="Times New Roman" w:hAnsi="Times New Roman"/>
          <w:sz w:val="24"/>
          <w:szCs w:val="24"/>
        </w:rPr>
        <w:t>)</w:t>
      </w:r>
      <w:r w:rsidR="007018AA" w:rsidRPr="00E736FB">
        <w:rPr>
          <w:rFonts w:ascii="Times New Roman" w:hAnsi="Times New Roman"/>
          <w:sz w:val="24"/>
          <w:szCs w:val="24"/>
        </w:rPr>
        <w:t>)</w:t>
      </w:r>
      <w:r w:rsidR="005A27A0" w:rsidRPr="00E736FB">
        <w:rPr>
          <w:rFonts w:ascii="Times New Roman" w:hAnsi="Times New Roman"/>
          <w:sz w:val="24"/>
          <w:szCs w:val="24"/>
        </w:rPr>
        <w:t xml:space="preserve">; and a dummy variable for </w:t>
      </w:r>
      <w:r w:rsidR="007D50A0">
        <w:rPr>
          <w:rFonts w:ascii="Times New Roman" w:hAnsi="Times New Roman"/>
          <w:sz w:val="24"/>
          <w:szCs w:val="24"/>
        </w:rPr>
        <w:t>quarters when monetary policy i</w:t>
      </w:r>
      <w:r w:rsidR="005A27A0" w:rsidRPr="00E736FB">
        <w:rPr>
          <w:rFonts w:ascii="Times New Roman" w:hAnsi="Times New Roman"/>
          <w:sz w:val="24"/>
          <w:szCs w:val="24"/>
        </w:rPr>
        <w:t>s contractionary</w:t>
      </w:r>
      <w:r w:rsidR="002B1F48">
        <w:rPr>
          <w:rFonts w:ascii="Times New Roman" w:hAnsi="Times New Roman"/>
          <w:sz w:val="24"/>
          <w:szCs w:val="24"/>
        </w:rPr>
        <w:t xml:space="preserve">, </w:t>
      </w:r>
      <m:oMath>
        <m:sSub>
          <m:sSubPr>
            <m:ctrlPr>
              <w:rPr>
                <w:rFonts w:ascii="Cambria Math" w:hAnsi="Cambria Math"/>
                <w:i/>
                <w:sz w:val="22"/>
                <w:szCs w:val="22"/>
                <w:lang w:val="en-US"/>
              </w:rPr>
            </m:ctrlPr>
          </m:sSubPr>
          <m:e>
            <m:r>
              <w:rPr>
                <w:rFonts w:ascii="Cambria Math" w:hAnsi="Cambria Math"/>
                <w:sz w:val="22"/>
                <w:szCs w:val="22"/>
                <w:lang w:val="en-US"/>
              </w:rPr>
              <m:t>mp_contraction</m:t>
            </m:r>
            <m:ctrlPr>
              <w:rPr>
                <w:rFonts w:ascii="Cambria Math" w:hAnsi="Cambria Math"/>
                <w:sz w:val="22"/>
                <w:szCs w:val="22"/>
              </w:rPr>
            </m:ctrlPr>
          </m:e>
          <m:sub>
            <m:r>
              <w:rPr>
                <w:rFonts w:ascii="Cambria Math" w:hAnsi="Cambria Math"/>
                <w:sz w:val="22"/>
                <w:szCs w:val="22"/>
                <w:lang w:val="en-US"/>
              </w:rPr>
              <m:t>c</m:t>
            </m:r>
            <m:r>
              <m:rPr>
                <m:sty m:val="p"/>
              </m:rPr>
              <w:rPr>
                <w:rFonts w:ascii="Cambria Math" w:hAnsi="Cambria Math"/>
                <w:sz w:val="22"/>
                <w:szCs w:val="22"/>
                <w:lang w:val="en-US"/>
              </w:rPr>
              <m:t>, </m:t>
            </m:r>
            <m:r>
              <w:rPr>
                <w:rFonts w:ascii="Cambria Math" w:hAnsi="Cambria Math"/>
                <w:sz w:val="22"/>
                <w:szCs w:val="22"/>
                <w:lang w:val="en-US"/>
              </w:rPr>
              <m:t>t</m:t>
            </m:r>
            <m:ctrlPr>
              <w:rPr>
                <w:rFonts w:ascii="Cambria Math" w:hAnsi="Cambria Math"/>
                <w:sz w:val="22"/>
                <w:szCs w:val="22"/>
              </w:rPr>
            </m:ctrlPr>
          </m:sub>
        </m:sSub>
      </m:oMath>
      <w:r w:rsidR="005A27A0" w:rsidRPr="00E736FB">
        <w:rPr>
          <w:rFonts w:ascii="Times New Roman" w:hAnsi="Times New Roman"/>
          <w:sz w:val="24"/>
          <w:szCs w:val="24"/>
        </w:rPr>
        <w:t xml:space="preserve"> (</w:t>
      </w:r>
      <w:proofErr w:type="spellStart"/>
      <w:r w:rsidR="00360234">
        <w:rPr>
          <w:rFonts w:ascii="Times New Roman" w:hAnsi="Times New Roman"/>
          <w:sz w:val="24"/>
          <w:szCs w:val="24"/>
        </w:rPr>
        <w:t>Glas</w:t>
      </w:r>
      <w:proofErr w:type="spellEnd"/>
      <w:r w:rsidR="00360234">
        <w:rPr>
          <w:rFonts w:ascii="Times New Roman" w:hAnsi="Times New Roman"/>
          <w:sz w:val="24"/>
          <w:szCs w:val="24"/>
        </w:rPr>
        <w:t xml:space="preserve"> and Hartmann (2016))</w:t>
      </w:r>
      <w:r w:rsidR="005A27A0" w:rsidRPr="00E736FB">
        <w:rPr>
          <w:rFonts w:ascii="Times New Roman" w:hAnsi="Times New Roman"/>
          <w:sz w:val="24"/>
          <w:szCs w:val="24"/>
        </w:rPr>
        <w:t xml:space="preserve">). </w:t>
      </w:r>
      <w:r w:rsidR="002C2761" w:rsidRPr="00E736FB">
        <w:rPr>
          <w:rFonts w:ascii="Times New Roman" w:hAnsi="Times New Roman"/>
          <w:sz w:val="24"/>
          <w:szCs w:val="24"/>
        </w:rPr>
        <w:t>T</w:t>
      </w:r>
      <w:r w:rsidR="005A27A0" w:rsidRPr="00E736FB">
        <w:rPr>
          <w:rFonts w:ascii="Times New Roman" w:hAnsi="Times New Roman"/>
          <w:sz w:val="24"/>
          <w:szCs w:val="24"/>
        </w:rPr>
        <w:t xml:space="preserve">he latter </w:t>
      </w:r>
      <w:r w:rsidR="002C2761" w:rsidRPr="00E736FB">
        <w:rPr>
          <w:rFonts w:ascii="Times New Roman" w:hAnsi="Times New Roman"/>
          <w:sz w:val="24"/>
          <w:szCs w:val="24"/>
        </w:rPr>
        <w:t>variable is set to one during</w:t>
      </w:r>
      <w:r w:rsidR="005A27A0" w:rsidRPr="00E736FB">
        <w:rPr>
          <w:rFonts w:ascii="Times New Roman" w:hAnsi="Times New Roman"/>
          <w:sz w:val="24"/>
          <w:szCs w:val="24"/>
        </w:rPr>
        <w:t xml:space="preserve"> </w:t>
      </w:r>
      <w:r w:rsidR="00B453AB" w:rsidRPr="00E736FB">
        <w:rPr>
          <w:rFonts w:ascii="Times New Roman" w:hAnsi="Times New Roman"/>
          <w:sz w:val="24"/>
          <w:szCs w:val="24"/>
        </w:rPr>
        <w:t>quarters</w:t>
      </w:r>
      <w:r w:rsidR="002C2761" w:rsidRPr="00E736FB">
        <w:rPr>
          <w:rFonts w:ascii="Times New Roman" w:hAnsi="Times New Roman"/>
          <w:sz w:val="24"/>
          <w:szCs w:val="24"/>
        </w:rPr>
        <w:t xml:space="preserve"> when</w:t>
      </w:r>
      <w:r w:rsidR="005A27A0" w:rsidRPr="00E736FB">
        <w:rPr>
          <w:rFonts w:ascii="Times New Roman" w:hAnsi="Times New Roman"/>
          <w:sz w:val="24"/>
          <w:szCs w:val="24"/>
        </w:rPr>
        <w:t xml:space="preserve"> the polic</w:t>
      </w:r>
      <w:r w:rsidR="00B453AB" w:rsidRPr="00E736FB">
        <w:rPr>
          <w:rFonts w:ascii="Times New Roman" w:hAnsi="Times New Roman"/>
          <w:sz w:val="24"/>
          <w:szCs w:val="24"/>
        </w:rPr>
        <w:t xml:space="preserve">y rate </w:t>
      </w:r>
      <w:r w:rsidR="002C2761" w:rsidRPr="00E736FB">
        <w:rPr>
          <w:rFonts w:ascii="Times New Roman" w:hAnsi="Times New Roman"/>
          <w:sz w:val="24"/>
          <w:szCs w:val="24"/>
        </w:rPr>
        <w:t>is above</w:t>
      </w:r>
      <w:r w:rsidR="00B453AB" w:rsidRPr="00E736FB">
        <w:rPr>
          <w:rFonts w:ascii="Times New Roman" w:hAnsi="Times New Roman"/>
          <w:sz w:val="24"/>
          <w:szCs w:val="24"/>
        </w:rPr>
        <w:t xml:space="preserve"> a </w:t>
      </w:r>
      <w:r w:rsidR="002C2761" w:rsidRPr="00E736FB">
        <w:rPr>
          <w:rFonts w:ascii="Times New Roman" w:hAnsi="Times New Roman"/>
          <w:sz w:val="24"/>
          <w:szCs w:val="24"/>
        </w:rPr>
        <w:t xml:space="preserve">Taylor-rule specified </w:t>
      </w:r>
      <w:r w:rsidR="00B453AB" w:rsidRPr="00E736FB">
        <w:rPr>
          <w:rFonts w:ascii="Times New Roman" w:hAnsi="Times New Roman"/>
          <w:sz w:val="24"/>
          <w:szCs w:val="24"/>
        </w:rPr>
        <w:t xml:space="preserve">benchmark, using the </w:t>
      </w:r>
      <w:r w:rsidR="00B87A70">
        <w:rPr>
          <w:rFonts w:ascii="Times New Roman" w:hAnsi="Times New Roman"/>
          <w:sz w:val="24"/>
          <w:szCs w:val="24"/>
        </w:rPr>
        <w:t xml:space="preserve">Taylor-rule </w:t>
      </w:r>
      <w:r w:rsidR="002C2761" w:rsidRPr="00E736FB">
        <w:rPr>
          <w:rFonts w:ascii="Times New Roman" w:hAnsi="Times New Roman"/>
          <w:sz w:val="24"/>
          <w:szCs w:val="24"/>
        </w:rPr>
        <w:t xml:space="preserve">specification in Hofmann and Bogdanova (2012). </w:t>
      </w:r>
      <w:r w:rsidR="00E646D9">
        <w:rPr>
          <w:rFonts w:ascii="Times New Roman" w:hAnsi="Times New Roman"/>
          <w:sz w:val="24"/>
          <w:szCs w:val="24"/>
        </w:rPr>
        <w:t xml:space="preserve">Online </w:t>
      </w:r>
      <w:r w:rsidR="00AC266A" w:rsidRPr="00E736FB">
        <w:rPr>
          <w:rFonts w:ascii="Times New Roman" w:hAnsi="Times New Roman"/>
          <w:sz w:val="24"/>
          <w:szCs w:val="24"/>
        </w:rPr>
        <w:t>Annex</w:t>
      </w:r>
      <w:r w:rsidR="00AC266A" w:rsidRPr="00731C8B">
        <w:rPr>
          <w:rFonts w:ascii="Times New Roman" w:hAnsi="Times New Roman"/>
          <w:sz w:val="24"/>
          <w:szCs w:val="24"/>
        </w:rPr>
        <w:t xml:space="preserve"> Table A</w:t>
      </w:r>
      <w:r w:rsidR="00E646D9">
        <w:rPr>
          <w:rFonts w:ascii="Times New Roman" w:hAnsi="Times New Roman"/>
          <w:sz w:val="24"/>
          <w:szCs w:val="24"/>
        </w:rPr>
        <w:t>3</w:t>
      </w:r>
      <w:r w:rsidR="00F754C1">
        <w:rPr>
          <w:rFonts w:ascii="Times New Roman" w:hAnsi="Times New Roman"/>
          <w:sz w:val="24"/>
          <w:szCs w:val="24"/>
        </w:rPr>
        <w:t xml:space="preserve"> lists all data sources</w:t>
      </w:r>
      <w:r w:rsidR="002C2761">
        <w:rPr>
          <w:rFonts w:ascii="Times New Roman" w:hAnsi="Times New Roman"/>
          <w:sz w:val="24"/>
          <w:szCs w:val="24"/>
        </w:rPr>
        <w:t xml:space="preserve"> and gives more information on the construction of the variables.</w:t>
      </w:r>
    </w:p>
    <w:p w14:paraId="3A6151F3" w14:textId="77777777" w:rsidR="0055405B" w:rsidRPr="00731C8B" w:rsidRDefault="0055405B" w:rsidP="0055405B">
      <w:pPr>
        <w:pStyle w:val="Paragraph"/>
        <w:spacing w:line="480" w:lineRule="auto"/>
        <w:rPr>
          <w:rFonts w:ascii="Times New Roman" w:hAnsi="Times New Roman"/>
          <w:sz w:val="24"/>
          <w:szCs w:val="24"/>
        </w:rPr>
      </w:pPr>
      <w:r w:rsidRPr="00731C8B">
        <w:rPr>
          <w:rFonts w:ascii="Times New Roman" w:hAnsi="Times New Roman"/>
          <w:sz w:val="24"/>
          <w:szCs w:val="24"/>
        </w:rPr>
        <w:t>Equation (</w:t>
      </w:r>
      <w:r w:rsidR="00AC5700">
        <w:rPr>
          <w:rFonts w:ascii="Times New Roman" w:hAnsi="Times New Roman"/>
          <w:sz w:val="24"/>
          <w:szCs w:val="24"/>
        </w:rPr>
        <w:t>2</w:t>
      </w:r>
      <w:r w:rsidRPr="00731C8B">
        <w:rPr>
          <w:rFonts w:ascii="Times New Roman" w:hAnsi="Times New Roman"/>
          <w:sz w:val="24"/>
          <w:szCs w:val="24"/>
        </w:rPr>
        <w:t xml:space="preserve">) is estimated by ordinary least squares. We use heteroscedasticity-consistent standard errors clustered both by time and by </w:t>
      </w:r>
      <w:r>
        <w:rPr>
          <w:rFonts w:ascii="Times New Roman" w:hAnsi="Times New Roman"/>
          <w:sz w:val="24"/>
          <w:szCs w:val="24"/>
        </w:rPr>
        <w:t>country</w:t>
      </w:r>
      <w:r w:rsidRPr="00731C8B">
        <w:rPr>
          <w:rFonts w:ascii="Times New Roman" w:hAnsi="Times New Roman"/>
          <w:sz w:val="24"/>
          <w:szCs w:val="24"/>
        </w:rPr>
        <w:t xml:space="preserve">. Thus, we allow the residuals to be correlated both within the same </w:t>
      </w:r>
      <w:r>
        <w:rPr>
          <w:rFonts w:ascii="Times New Roman" w:hAnsi="Times New Roman"/>
          <w:sz w:val="24"/>
          <w:szCs w:val="24"/>
        </w:rPr>
        <w:t>country</w:t>
      </w:r>
      <w:r w:rsidRPr="00731C8B">
        <w:rPr>
          <w:rFonts w:ascii="Times New Roman" w:hAnsi="Times New Roman"/>
          <w:sz w:val="24"/>
          <w:szCs w:val="24"/>
        </w:rPr>
        <w:t xml:space="preserve"> over time and across </w:t>
      </w:r>
      <w:r>
        <w:rPr>
          <w:rFonts w:ascii="Times New Roman" w:hAnsi="Times New Roman"/>
          <w:sz w:val="24"/>
          <w:szCs w:val="24"/>
        </w:rPr>
        <w:t>countries</w:t>
      </w:r>
      <w:r w:rsidRPr="00731C8B">
        <w:rPr>
          <w:rFonts w:ascii="Times New Roman" w:hAnsi="Times New Roman"/>
          <w:sz w:val="24"/>
          <w:szCs w:val="24"/>
        </w:rPr>
        <w:t xml:space="preserve"> during the same time period. </w:t>
      </w:r>
      <w:r w:rsidR="0021530D" w:rsidRPr="00731C8B">
        <w:rPr>
          <w:rFonts w:ascii="Times New Roman" w:hAnsi="Times New Roman"/>
          <w:sz w:val="24"/>
          <w:szCs w:val="24"/>
        </w:rPr>
        <w:t xml:space="preserve">Periods of inflation rates above 10% </w:t>
      </w:r>
      <w:r w:rsidR="0021530D">
        <w:rPr>
          <w:rFonts w:ascii="Times New Roman" w:hAnsi="Times New Roman"/>
          <w:sz w:val="24"/>
          <w:szCs w:val="24"/>
        </w:rPr>
        <w:t xml:space="preserve">and policy rates above 100% </w:t>
      </w:r>
      <w:r w:rsidR="0021530D" w:rsidRPr="00731C8B">
        <w:rPr>
          <w:rFonts w:ascii="Times New Roman" w:hAnsi="Times New Roman"/>
          <w:sz w:val="24"/>
          <w:szCs w:val="24"/>
        </w:rPr>
        <w:t>are excluded from all estimations in the paper.</w:t>
      </w:r>
    </w:p>
    <w:p w14:paraId="4291B670" w14:textId="77777777" w:rsidR="00401CD1" w:rsidRPr="00731C8B" w:rsidRDefault="00DE39D7" w:rsidP="00695AE0">
      <w:pPr>
        <w:pStyle w:val="Heading1"/>
        <w:spacing w:line="480" w:lineRule="auto"/>
        <w:rPr>
          <w:rFonts w:ascii="Times New Roman" w:hAnsi="Times New Roman"/>
          <w:color w:val="auto"/>
          <w:sz w:val="24"/>
          <w:szCs w:val="24"/>
        </w:rPr>
      </w:pPr>
      <w:r w:rsidRPr="00731C8B">
        <w:rPr>
          <w:rFonts w:ascii="Times New Roman" w:hAnsi="Times New Roman"/>
          <w:color w:val="auto"/>
          <w:sz w:val="24"/>
          <w:szCs w:val="24"/>
        </w:rPr>
        <w:t>4.</w:t>
      </w:r>
      <w:r w:rsidRPr="00731C8B">
        <w:rPr>
          <w:rFonts w:ascii="Times New Roman" w:hAnsi="Times New Roman"/>
          <w:color w:val="auto"/>
          <w:sz w:val="24"/>
          <w:szCs w:val="24"/>
        </w:rPr>
        <w:tab/>
      </w:r>
      <w:r w:rsidR="00401CD1" w:rsidRPr="00731C8B">
        <w:rPr>
          <w:rFonts w:ascii="Times New Roman" w:hAnsi="Times New Roman"/>
          <w:color w:val="auto"/>
          <w:sz w:val="24"/>
          <w:szCs w:val="24"/>
        </w:rPr>
        <w:t>Empirical evidence</w:t>
      </w:r>
    </w:p>
    <w:p w14:paraId="6B10B463" w14:textId="77777777" w:rsidR="00401CD1" w:rsidRPr="00731C8B" w:rsidRDefault="00DE39D7" w:rsidP="008C5B51">
      <w:pPr>
        <w:pStyle w:val="Heading2"/>
        <w:spacing w:line="480" w:lineRule="auto"/>
        <w:rPr>
          <w:rFonts w:ascii="Times New Roman" w:hAnsi="Times New Roman"/>
          <w:color w:val="auto"/>
          <w:szCs w:val="24"/>
        </w:rPr>
      </w:pPr>
      <w:r w:rsidRPr="00731C8B">
        <w:rPr>
          <w:rFonts w:ascii="Times New Roman" w:hAnsi="Times New Roman"/>
          <w:color w:val="auto"/>
          <w:szCs w:val="24"/>
        </w:rPr>
        <w:t>4.</w:t>
      </w:r>
      <w:r w:rsidR="0021530D">
        <w:rPr>
          <w:rFonts w:ascii="Times New Roman" w:hAnsi="Times New Roman"/>
          <w:color w:val="auto"/>
          <w:szCs w:val="24"/>
        </w:rPr>
        <w:t>1</w:t>
      </w:r>
      <w:r w:rsidRPr="00731C8B">
        <w:rPr>
          <w:rFonts w:ascii="Times New Roman" w:hAnsi="Times New Roman"/>
          <w:color w:val="auto"/>
          <w:szCs w:val="24"/>
        </w:rPr>
        <w:t>.</w:t>
      </w:r>
      <w:r w:rsidRPr="00731C8B">
        <w:rPr>
          <w:rFonts w:ascii="Times New Roman" w:hAnsi="Times New Roman"/>
          <w:color w:val="auto"/>
          <w:szCs w:val="24"/>
        </w:rPr>
        <w:tab/>
      </w:r>
      <w:r w:rsidR="00401CD1" w:rsidRPr="00731C8B">
        <w:rPr>
          <w:rFonts w:ascii="Times New Roman" w:hAnsi="Times New Roman"/>
          <w:color w:val="auto"/>
          <w:szCs w:val="24"/>
        </w:rPr>
        <w:t>Deflation and forecast disagreement</w:t>
      </w:r>
    </w:p>
    <w:p w14:paraId="7AE521AA" w14:textId="4D09351F" w:rsidR="00E53A78" w:rsidRDefault="00401CD1" w:rsidP="008C5B51">
      <w:pPr>
        <w:pStyle w:val="FirstParagraph"/>
        <w:spacing w:line="480" w:lineRule="auto"/>
        <w:rPr>
          <w:rFonts w:ascii="Times New Roman" w:hAnsi="Times New Roman"/>
          <w:sz w:val="24"/>
          <w:szCs w:val="24"/>
        </w:rPr>
      </w:pPr>
      <w:r w:rsidRPr="00731C8B">
        <w:rPr>
          <w:rFonts w:ascii="Times New Roman" w:hAnsi="Times New Roman"/>
          <w:sz w:val="24"/>
          <w:szCs w:val="24"/>
        </w:rPr>
        <w:t xml:space="preserve">Our </w:t>
      </w:r>
      <w:r w:rsidR="00AC266A">
        <w:rPr>
          <w:rFonts w:ascii="Times New Roman" w:hAnsi="Times New Roman"/>
          <w:sz w:val="24"/>
          <w:szCs w:val="24"/>
        </w:rPr>
        <w:t xml:space="preserve">baseline </w:t>
      </w:r>
      <w:r w:rsidRPr="00731C8B">
        <w:rPr>
          <w:rFonts w:ascii="Times New Roman" w:hAnsi="Times New Roman"/>
          <w:sz w:val="24"/>
          <w:szCs w:val="24"/>
        </w:rPr>
        <w:t xml:space="preserve">estimates </w:t>
      </w:r>
      <w:r w:rsidR="0021530D">
        <w:rPr>
          <w:rFonts w:ascii="Times New Roman" w:hAnsi="Times New Roman"/>
          <w:sz w:val="24"/>
          <w:szCs w:val="24"/>
        </w:rPr>
        <w:t>of Equation (</w:t>
      </w:r>
      <w:r w:rsidR="00AC5700">
        <w:rPr>
          <w:rFonts w:ascii="Times New Roman" w:hAnsi="Times New Roman"/>
          <w:sz w:val="24"/>
          <w:szCs w:val="24"/>
        </w:rPr>
        <w:t>2</w:t>
      </w:r>
      <w:r w:rsidR="0021530D">
        <w:rPr>
          <w:rFonts w:ascii="Times New Roman" w:hAnsi="Times New Roman"/>
          <w:sz w:val="24"/>
          <w:szCs w:val="24"/>
        </w:rPr>
        <w:t xml:space="preserve">) </w:t>
      </w:r>
      <w:r w:rsidRPr="00731C8B">
        <w:rPr>
          <w:rFonts w:ascii="Times New Roman" w:hAnsi="Times New Roman"/>
          <w:sz w:val="24"/>
          <w:szCs w:val="24"/>
        </w:rPr>
        <w:t>show that deflation</w:t>
      </w:r>
      <w:r w:rsidR="00D34C7F">
        <w:rPr>
          <w:rFonts w:ascii="Times New Roman" w:hAnsi="Times New Roman"/>
          <w:sz w:val="24"/>
          <w:szCs w:val="24"/>
        </w:rPr>
        <w:t>s</w:t>
      </w:r>
      <w:r w:rsidRPr="00731C8B">
        <w:rPr>
          <w:rFonts w:ascii="Times New Roman" w:hAnsi="Times New Roman"/>
          <w:sz w:val="24"/>
          <w:szCs w:val="24"/>
        </w:rPr>
        <w:t xml:space="preserve"> </w:t>
      </w:r>
      <w:r w:rsidR="00D34C7F">
        <w:rPr>
          <w:rFonts w:ascii="Times New Roman" w:hAnsi="Times New Roman"/>
          <w:sz w:val="24"/>
          <w:szCs w:val="24"/>
        </w:rPr>
        <w:t>are</w:t>
      </w:r>
      <w:r w:rsidRPr="00731C8B">
        <w:rPr>
          <w:rFonts w:ascii="Times New Roman" w:hAnsi="Times New Roman"/>
          <w:sz w:val="24"/>
          <w:szCs w:val="24"/>
        </w:rPr>
        <w:t xml:space="preserve"> associated with greater forecast disagreement. Using the interquartile range as the measure for disagreement, the coefficient on the deflation dummy in Column (1) </w:t>
      </w:r>
      <w:r w:rsidR="0036556E">
        <w:rPr>
          <w:rFonts w:ascii="Times New Roman" w:hAnsi="Times New Roman"/>
          <w:sz w:val="24"/>
          <w:szCs w:val="24"/>
        </w:rPr>
        <w:t xml:space="preserve">in Table 1 </w:t>
      </w:r>
      <w:r w:rsidRPr="00731C8B">
        <w:rPr>
          <w:rFonts w:ascii="Times New Roman" w:hAnsi="Times New Roman"/>
          <w:sz w:val="24"/>
          <w:szCs w:val="24"/>
        </w:rPr>
        <w:t>is economically and statistically significant – forecast dispersion rises by around 0.</w:t>
      </w:r>
      <w:r w:rsidR="00B73BB3">
        <w:rPr>
          <w:rFonts w:ascii="Times New Roman" w:hAnsi="Times New Roman"/>
          <w:sz w:val="24"/>
          <w:szCs w:val="24"/>
        </w:rPr>
        <w:t>4</w:t>
      </w:r>
      <w:r w:rsidR="00B73BB3" w:rsidRPr="00731C8B">
        <w:rPr>
          <w:rFonts w:ascii="Times New Roman" w:hAnsi="Times New Roman"/>
          <w:sz w:val="24"/>
          <w:szCs w:val="24"/>
        </w:rPr>
        <w:t xml:space="preserve"> </w:t>
      </w:r>
      <w:r w:rsidRPr="00731C8B">
        <w:rPr>
          <w:rFonts w:ascii="Times New Roman" w:hAnsi="Times New Roman"/>
          <w:sz w:val="24"/>
          <w:szCs w:val="24"/>
        </w:rPr>
        <w:t>percentage points during deflation, compared to other periods. In contrast, high inflation</w:t>
      </w:r>
      <w:r w:rsidR="006D1AE0">
        <w:rPr>
          <w:rFonts w:ascii="Times New Roman" w:hAnsi="Times New Roman"/>
          <w:sz w:val="24"/>
          <w:szCs w:val="24"/>
        </w:rPr>
        <w:t xml:space="preserve"> e</w:t>
      </w:r>
      <w:r w:rsidR="00663399">
        <w:rPr>
          <w:rFonts w:ascii="Times New Roman" w:hAnsi="Times New Roman"/>
          <w:sz w:val="24"/>
          <w:szCs w:val="24"/>
        </w:rPr>
        <w:t>pisodes</w:t>
      </w:r>
      <w:r w:rsidR="00D34C7F">
        <w:rPr>
          <w:rFonts w:ascii="Times New Roman" w:hAnsi="Times New Roman"/>
          <w:sz w:val="24"/>
          <w:szCs w:val="24"/>
        </w:rPr>
        <w:t xml:space="preserve"> do</w:t>
      </w:r>
      <w:r w:rsidRPr="00731C8B">
        <w:rPr>
          <w:rFonts w:ascii="Times New Roman" w:hAnsi="Times New Roman"/>
          <w:sz w:val="24"/>
          <w:szCs w:val="24"/>
        </w:rPr>
        <w:t xml:space="preserve"> not lead to a further rise in forecast disagreement, beyond that already captured by a higher level of expected inflation. Indeed, </w:t>
      </w:r>
      <w:r w:rsidRPr="00731C8B">
        <w:rPr>
          <w:rFonts w:ascii="Times New Roman" w:hAnsi="Times New Roman"/>
          <w:sz w:val="24"/>
          <w:szCs w:val="24"/>
        </w:rPr>
        <w:lastRenderedPageBreak/>
        <w:t xml:space="preserve">Column (1) shows that when the level of </w:t>
      </w:r>
      <w:r w:rsidR="000902F2">
        <w:rPr>
          <w:rFonts w:ascii="Times New Roman" w:hAnsi="Times New Roman"/>
          <w:sz w:val="24"/>
          <w:szCs w:val="24"/>
        </w:rPr>
        <w:t>one-year-ahead</w:t>
      </w:r>
      <w:r w:rsidRPr="00731C8B">
        <w:rPr>
          <w:rFonts w:ascii="Times New Roman" w:hAnsi="Times New Roman"/>
          <w:sz w:val="24"/>
          <w:szCs w:val="24"/>
        </w:rPr>
        <w:t xml:space="preserve"> </w:t>
      </w:r>
      <w:r w:rsidR="00D111D1">
        <w:rPr>
          <w:rFonts w:ascii="Times New Roman" w:hAnsi="Times New Roman"/>
          <w:sz w:val="24"/>
          <w:szCs w:val="24"/>
        </w:rPr>
        <w:t xml:space="preserve">positive </w:t>
      </w:r>
      <w:r w:rsidR="000902F2">
        <w:rPr>
          <w:rFonts w:ascii="Times New Roman" w:hAnsi="Times New Roman"/>
          <w:sz w:val="24"/>
          <w:szCs w:val="24"/>
        </w:rPr>
        <w:t>expected inflation</w:t>
      </w:r>
      <w:r w:rsidRPr="00731C8B">
        <w:rPr>
          <w:rFonts w:ascii="Times New Roman" w:hAnsi="Times New Roman"/>
          <w:sz w:val="24"/>
          <w:szCs w:val="24"/>
        </w:rPr>
        <w:t xml:space="preserve"> is higher, forecast disagreement is </w:t>
      </w:r>
      <w:r w:rsidR="00F440B4">
        <w:rPr>
          <w:rFonts w:ascii="Times New Roman" w:hAnsi="Times New Roman"/>
          <w:sz w:val="24"/>
          <w:szCs w:val="24"/>
        </w:rPr>
        <w:t>greater</w:t>
      </w:r>
      <w:r w:rsidRPr="00731C8B">
        <w:rPr>
          <w:rFonts w:ascii="Times New Roman" w:hAnsi="Times New Roman"/>
          <w:sz w:val="24"/>
          <w:szCs w:val="24"/>
        </w:rPr>
        <w:t xml:space="preserve">. </w:t>
      </w:r>
    </w:p>
    <w:p w14:paraId="43495F95" w14:textId="77777777" w:rsidR="008C5B51" w:rsidRPr="008C5B51" w:rsidRDefault="008C5B51" w:rsidP="008C5B51">
      <w:pPr>
        <w:pStyle w:val="Paragraph"/>
        <w:spacing w:line="480" w:lineRule="auto"/>
        <w:rPr>
          <w:rFonts w:ascii="Times New Roman" w:hAnsi="Times New Roman"/>
          <w:sz w:val="24"/>
          <w:szCs w:val="24"/>
        </w:rPr>
      </w:pPr>
      <w:r w:rsidRPr="008C5B51">
        <w:rPr>
          <w:rFonts w:ascii="Times New Roman" w:hAnsi="Times New Roman"/>
          <w:sz w:val="24"/>
          <w:szCs w:val="24"/>
        </w:rPr>
        <w:t xml:space="preserve">[Table </w:t>
      </w:r>
      <w:r w:rsidR="0036556E">
        <w:rPr>
          <w:rFonts w:ascii="Times New Roman" w:hAnsi="Times New Roman"/>
          <w:sz w:val="24"/>
          <w:szCs w:val="24"/>
        </w:rPr>
        <w:t>1</w:t>
      </w:r>
      <w:r w:rsidRPr="008C5B51">
        <w:rPr>
          <w:rFonts w:ascii="Times New Roman" w:hAnsi="Times New Roman"/>
          <w:sz w:val="24"/>
          <w:szCs w:val="24"/>
        </w:rPr>
        <w:t xml:space="preserve"> around here]</w:t>
      </w:r>
    </w:p>
    <w:p w14:paraId="11126402" w14:textId="50C4A3B5" w:rsidR="00A86D9B" w:rsidRDefault="00017BB8" w:rsidP="00A86D9B">
      <w:pPr>
        <w:pStyle w:val="Paragraph"/>
        <w:spacing w:line="480" w:lineRule="auto"/>
        <w:rPr>
          <w:rFonts w:ascii="Times New Roman" w:hAnsi="Times New Roman"/>
          <w:sz w:val="24"/>
          <w:szCs w:val="24"/>
        </w:rPr>
      </w:pPr>
      <w:r>
        <w:rPr>
          <w:rFonts w:ascii="Times New Roman" w:hAnsi="Times New Roman"/>
          <w:sz w:val="24"/>
          <w:szCs w:val="24"/>
        </w:rPr>
        <w:t xml:space="preserve">To what extent does the rise in disagreement reflect something specific to deflations, </w:t>
      </w:r>
      <w:r w:rsidR="007C1922">
        <w:rPr>
          <w:rFonts w:ascii="Times New Roman" w:hAnsi="Times New Roman"/>
          <w:sz w:val="24"/>
          <w:szCs w:val="24"/>
        </w:rPr>
        <w:t>instead of</w:t>
      </w:r>
      <w:r>
        <w:rPr>
          <w:rFonts w:ascii="Times New Roman" w:hAnsi="Times New Roman"/>
          <w:sz w:val="24"/>
          <w:szCs w:val="24"/>
        </w:rPr>
        <w:t xml:space="preserve"> other macroeconomic factors that tend to correlate with forecast disagreement? Column (1) includes</w:t>
      </w:r>
      <w:r w:rsidR="004F2B07">
        <w:rPr>
          <w:rFonts w:ascii="Times New Roman" w:hAnsi="Times New Roman"/>
          <w:sz w:val="24"/>
          <w:szCs w:val="24"/>
        </w:rPr>
        <w:t xml:space="preserve"> a battery of control variables that have been shown to matter in previous studies</w:t>
      </w:r>
      <w:r w:rsidR="007C2043">
        <w:rPr>
          <w:rFonts w:ascii="Times New Roman" w:hAnsi="Times New Roman"/>
          <w:sz w:val="24"/>
          <w:szCs w:val="24"/>
        </w:rPr>
        <w:t xml:space="preserve"> for the degree of forecast disagreement</w:t>
      </w:r>
      <w:r w:rsidR="004F2B07">
        <w:rPr>
          <w:rFonts w:ascii="Times New Roman" w:hAnsi="Times New Roman"/>
          <w:sz w:val="24"/>
          <w:szCs w:val="24"/>
        </w:rPr>
        <w:t>, such as recession</w:t>
      </w:r>
      <w:r w:rsidR="0044068F">
        <w:rPr>
          <w:rFonts w:ascii="Times New Roman" w:hAnsi="Times New Roman"/>
          <w:sz w:val="24"/>
          <w:szCs w:val="24"/>
        </w:rPr>
        <w:t>s</w:t>
      </w:r>
      <w:r w:rsidR="004F2B07">
        <w:rPr>
          <w:rFonts w:ascii="Times New Roman" w:hAnsi="Times New Roman"/>
          <w:sz w:val="24"/>
          <w:szCs w:val="24"/>
        </w:rPr>
        <w:t xml:space="preserve"> and contractionary monetary policy.</w:t>
      </w:r>
      <w:r>
        <w:rPr>
          <w:rFonts w:ascii="Times New Roman" w:hAnsi="Times New Roman"/>
          <w:sz w:val="24"/>
          <w:szCs w:val="24"/>
        </w:rPr>
        <w:t xml:space="preserve"> Another possible factor is the deviation of </w:t>
      </w:r>
      <w:r w:rsidR="00401CD1" w:rsidRPr="00731C8B">
        <w:rPr>
          <w:rFonts w:ascii="Times New Roman" w:hAnsi="Times New Roman"/>
          <w:sz w:val="24"/>
          <w:szCs w:val="24"/>
        </w:rPr>
        <w:t>inflation</w:t>
      </w:r>
      <w:r>
        <w:rPr>
          <w:rFonts w:ascii="Times New Roman" w:hAnsi="Times New Roman"/>
          <w:sz w:val="24"/>
          <w:szCs w:val="24"/>
        </w:rPr>
        <w:t xml:space="preserve"> </w:t>
      </w:r>
      <w:r w:rsidR="00CC7612">
        <w:rPr>
          <w:rFonts w:ascii="Times New Roman" w:hAnsi="Times New Roman"/>
          <w:sz w:val="24"/>
          <w:szCs w:val="24"/>
        </w:rPr>
        <w:t>from</w:t>
      </w:r>
      <w:r w:rsidR="00401CD1" w:rsidRPr="00731C8B">
        <w:rPr>
          <w:rFonts w:ascii="Times New Roman" w:hAnsi="Times New Roman"/>
          <w:sz w:val="24"/>
          <w:szCs w:val="24"/>
        </w:rPr>
        <w:t xml:space="preserve"> the central bank’s target</w:t>
      </w:r>
      <w:r>
        <w:rPr>
          <w:rFonts w:ascii="Times New Roman" w:hAnsi="Times New Roman"/>
          <w:sz w:val="24"/>
          <w:szCs w:val="24"/>
        </w:rPr>
        <w:t>.</w:t>
      </w:r>
      <w:r w:rsidR="00401CD1" w:rsidRPr="00731C8B">
        <w:rPr>
          <w:rFonts w:ascii="Times New Roman" w:hAnsi="Times New Roman"/>
          <w:sz w:val="24"/>
          <w:szCs w:val="24"/>
        </w:rPr>
        <w:t xml:space="preserve"> We include in Column (2) the </w:t>
      </w:r>
      <w:r w:rsidR="006F1661">
        <w:rPr>
          <w:rFonts w:ascii="Times New Roman" w:hAnsi="Times New Roman"/>
          <w:sz w:val="24"/>
          <w:szCs w:val="24"/>
        </w:rPr>
        <w:t>positive and negative</w:t>
      </w:r>
      <w:r w:rsidR="00401CD1" w:rsidRPr="00731C8B">
        <w:rPr>
          <w:rFonts w:ascii="Times New Roman" w:hAnsi="Times New Roman"/>
          <w:sz w:val="24"/>
          <w:szCs w:val="24"/>
        </w:rPr>
        <w:t xml:space="preserve"> deviation</w:t>
      </w:r>
      <w:r w:rsidR="006F1661">
        <w:rPr>
          <w:rFonts w:ascii="Times New Roman" w:hAnsi="Times New Roman"/>
          <w:sz w:val="24"/>
          <w:szCs w:val="24"/>
        </w:rPr>
        <w:t>s</w:t>
      </w:r>
      <w:r w:rsidR="00401CD1" w:rsidRPr="00731C8B">
        <w:rPr>
          <w:rFonts w:ascii="Times New Roman" w:hAnsi="Times New Roman"/>
          <w:sz w:val="24"/>
          <w:szCs w:val="24"/>
        </w:rPr>
        <w:t xml:space="preserve"> of inflation from the inflation ta</w:t>
      </w:r>
      <w:r w:rsidR="009C443A">
        <w:rPr>
          <w:rFonts w:ascii="Times New Roman" w:hAnsi="Times New Roman"/>
          <w:sz w:val="24"/>
          <w:szCs w:val="24"/>
        </w:rPr>
        <w:t>rget (the inflation gap) and its</w:t>
      </w:r>
      <w:r w:rsidR="00401CD1" w:rsidRPr="00731C8B">
        <w:rPr>
          <w:rFonts w:ascii="Times New Roman" w:hAnsi="Times New Roman"/>
          <w:sz w:val="24"/>
          <w:szCs w:val="24"/>
        </w:rPr>
        <w:t xml:space="preserve"> squared </w:t>
      </w:r>
      <w:r w:rsidR="009C443A">
        <w:rPr>
          <w:rFonts w:ascii="Times New Roman" w:hAnsi="Times New Roman"/>
          <w:sz w:val="24"/>
          <w:szCs w:val="24"/>
        </w:rPr>
        <w:t>term</w:t>
      </w:r>
      <w:r w:rsidR="00401CD1" w:rsidRPr="00731C8B">
        <w:rPr>
          <w:rFonts w:ascii="Times New Roman" w:hAnsi="Times New Roman"/>
          <w:sz w:val="24"/>
          <w:szCs w:val="24"/>
        </w:rPr>
        <w:t xml:space="preserve">. </w:t>
      </w:r>
      <w:r w:rsidR="006F3A18">
        <w:rPr>
          <w:rFonts w:ascii="Times New Roman" w:hAnsi="Times New Roman"/>
          <w:sz w:val="24"/>
          <w:szCs w:val="24"/>
        </w:rPr>
        <w:t>T</w:t>
      </w:r>
      <w:r w:rsidR="00401CD1" w:rsidRPr="00731C8B">
        <w:rPr>
          <w:rFonts w:ascii="Times New Roman" w:hAnsi="Times New Roman"/>
          <w:sz w:val="24"/>
          <w:szCs w:val="24"/>
        </w:rPr>
        <w:t xml:space="preserve">he coefficient on the deflation dummy remains robust to the inclusion of </w:t>
      </w:r>
      <w:r>
        <w:rPr>
          <w:rFonts w:ascii="Times New Roman" w:hAnsi="Times New Roman"/>
          <w:sz w:val="24"/>
          <w:szCs w:val="24"/>
        </w:rPr>
        <w:t>these</w:t>
      </w:r>
      <w:r w:rsidRPr="00731C8B">
        <w:rPr>
          <w:rFonts w:ascii="Times New Roman" w:hAnsi="Times New Roman"/>
          <w:sz w:val="24"/>
          <w:szCs w:val="24"/>
        </w:rPr>
        <w:t xml:space="preserve"> </w:t>
      </w:r>
      <w:r w:rsidR="00401CD1" w:rsidRPr="00731C8B">
        <w:rPr>
          <w:rFonts w:ascii="Times New Roman" w:hAnsi="Times New Roman"/>
          <w:sz w:val="24"/>
          <w:szCs w:val="24"/>
        </w:rPr>
        <w:t>variables</w:t>
      </w:r>
      <w:r w:rsidR="001E7C47">
        <w:rPr>
          <w:rFonts w:ascii="Times New Roman" w:hAnsi="Times New Roman"/>
          <w:sz w:val="24"/>
          <w:szCs w:val="24"/>
        </w:rPr>
        <w:t>.</w:t>
      </w:r>
      <w:r w:rsidR="00401CD1" w:rsidRPr="00731C8B">
        <w:rPr>
          <w:rFonts w:ascii="Times New Roman" w:hAnsi="Times New Roman"/>
          <w:sz w:val="24"/>
          <w:szCs w:val="24"/>
        </w:rPr>
        <w:t xml:space="preserve"> Column (3) displays results for deflation</w:t>
      </w:r>
      <w:r w:rsidR="00522EA5">
        <w:rPr>
          <w:rFonts w:ascii="Times New Roman" w:hAnsi="Times New Roman"/>
          <w:sz w:val="24"/>
          <w:szCs w:val="24"/>
        </w:rPr>
        <w:t>s</w:t>
      </w:r>
      <w:r w:rsidR="00401CD1" w:rsidRPr="00731C8B">
        <w:rPr>
          <w:rFonts w:ascii="Times New Roman" w:hAnsi="Times New Roman"/>
          <w:sz w:val="24"/>
          <w:szCs w:val="24"/>
        </w:rPr>
        <w:t xml:space="preserve"> that last a minimum of twelve months. </w:t>
      </w:r>
      <w:r w:rsidR="006F3A18">
        <w:rPr>
          <w:rFonts w:ascii="Times New Roman" w:hAnsi="Times New Roman"/>
          <w:sz w:val="24"/>
          <w:szCs w:val="24"/>
        </w:rPr>
        <w:t>D</w:t>
      </w:r>
      <w:r w:rsidR="00401CD1" w:rsidRPr="00731C8B">
        <w:rPr>
          <w:rFonts w:ascii="Times New Roman" w:hAnsi="Times New Roman"/>
          <w:sz w:val="24"/>
          <w:szCs w:val="24"/>
        </w:rPr>
        <w:t>isagreement rises also during the more persistent deflation</w:t>
      </w:r>
      <w:r w:rsidR="00522EA5">
        <w:rPr>
          <w:rFonts w:ascii="Times New Roman" w:hAnsi="Times New Roman"/>
          <w:sz w:val="24"/>
          <w:szCs w:val="24"/>
        </w:rPr>
        <w:t>s</w:t>
      </w:r>
      <w:r w:rsidR="00401CD1" w:rsidRPr="00731C8B">
        <w:rPr>
          <w:rFonts w:ascii="Times New Roman" w:hAnsi="Times New Roman"/>
          <w:sz w:val="24"/>
          <w:szCs w:val="24"/>
        </w:rPr>
        <w:t>, with a simil</w:t>
      </w:r>
      <w:r w:rsidR="009C443A">
        <w:rPr>
          <w:rFonts w:ascii="Times New Roman" w:hAnsi="Times New Roman"/>
          <w:sz w:val="24"/>
          <w:szCs w:val="24"/>
        </w:rPr>
        <w:t>arly sized coefficient estimate</w:t>
      </w:r>
      <w:r w:rsidR="00F558FD">
        <w:rPr>
          <w:rFonts w:ascii="Times New Roman" w:hAnsi="Times New Roman"/>
          <w:sz w:val="24"/>
          <w:szCs w:val="24"/>
        </w:rPr>
        <w:t xml:space="preserve"> as for</w:t>
      </w:r>
      <w:r w:rsidR="00EF35B9">
        <w:rPr>
          <w:rFonts w:ascii="Times New Roman" w:hAnsi="Times New Roman"/>
          <w:sz w:val="24"/>
          <w:szCs w:val="24"/>
        </w:rPr>
        <w:t xml:space="preserve"> the shorter deflations</w:t>
      </w:r>
      <w:r w:rsidR="00401CD1" w:rsidRPr="00731C8B">
        <w:rPr>
          <w:rFonts w:ascii="Times New Roman" w:hAnsi="Times New Roman"/>
          <w:sz w:val="24"/>
          <w:szCs w:val="24"/>
        </w:rPr>
        <w:t>.</w:t>
      </w:r>
      <w:r w:rsidR="00EE7E05">
        <w:rPr>
          <w:rFonts w:ascii="Times New Roman" w:hAnsi="Times New Roman"/>
          <w:sz w:val="24"/>
          <w:szCs w:val="24"/>
        </w:rPr>
        <w:t xml:space="preserve"> </w:t>
      </w:r>
      <w:r w:rsidR="00C823FB" w:rsidRPr="00731C8B">
        <w:rPr>
          <w:rFonts w:ascii="Times New Roman" w:hAnsi="Times New Roman"/>
          <w:sz w:val="24"/>
          <w:szCs w:val="24"/>
        </w:rPr>
        <w:t>The results are robust to considering a</w:t>
      </w:r>
      <w:r w:rsidR="00A86D9B">
        <w:rPr>
          <w:rFonts w:ascii="Times New Roman" w:hAnsi="Times New Roman"/>
          <w:sz w:val="24"/>
          <w:szCs w:val="24"/>
        </w:rPr>
        <w:t>n alternative</w:t>
      </w:r>
      <w:r w:rsidR="00C823FB" w:rsidRPr="00731C8B">
        <w:rPr>
          <w:rFonts w:ascii="Times New Roman" w:hAnsi="Times New Roman"/>
          <w:sz w:val="24"/>
          <w:szCs w:val="24"/>
        </w:rPr>
        <w:t xml:space="preserve"> measure of forecast disagreement</w:t>
      </w:r>
      <w:r w:rsidR="0036556E">
        <w:rPr>
          <w:rFonts w:ascii="Times New Roman" w:hAnsi="Times New Roman"/>
          <w:sz w:val="24"/>
          <w:szCs w:val="24"/>
        </w:rPr>
        <w:t xml:space="preserve">, the </w:t>
      </w:r>
      <w:proofErr w:type="spellStart"/>
      <w:r w:rsidR="0036556E">
        <w:rPr>
          <w:rFonts w:ascii="Times New Roman" w:hAnsi="Times New Roman"/>
          <w:sz w:val="24"/>
          <w:szCs w:val="24"/>
        </w:rPr>
        <w:t>interdecile</w:t>
      </w:r>
      <w:proofErr w:type="spellEnd"/>
      <w:r w:rsidR="0036556E">
        <w:rPr>
          <w:rFonts w:ascii="Times New Roman" w:hAnsi="Times New Roman"/>
          <w:sz w:val="24"/>
          <w:szCs w:val="24"/>
        </w:rPr>
        <w:t xml:space="preserve"> range (</w:t>
      </w:r>
      <w:r w:rsidR="00C823FB" w:rsidRPr="00731C8B">
        <w:rPr>
          <w:rFonts w:ascii="Times New Roman" w:hAnsi="Times New Roman"/>
          <w:sz w:val="24"/>
          <w:szCs w:val="24"/>
        </w:rPr>
        <w:t>Columns (4) and (5)</w:t>
      </w:r>
      <w:r w:rsidR="0036556E">
        <w:rPr>
          <w:rFonts w:ascii="Times New Roman" w:hAnsi="Times New Roman"/>
          <w:sz w:val="24"/>
          <w:szCs w:val="24"/>
        </w:rPr>
        <w:t>).</w:t>
      </w:r>
      <w:r w:rsidR="001E7C47">
        <w:rPr>
          <w:rStyle w:val="FootnoteReference"/>
          <w:sz w:val="24"/>
          <w:szCs w:val="24"/>
        </w:rPr>
        <w:footnoteReference w:id="12"/>
      </w:r>
      <w:r w:rsidR="0036556E">
        <w:rPr>
          <w:rFonts w:ascii="Times New Roman" w:hAnsi="Times New Roman"/>
          <w:sz w:val="24"/>
          <w:szCs w:val="24"/>
        </w:rPr>
        <w:t xml:space="preserve"> </w:t>
      </w:r>
      <w:r w:rsidR="00FE3194">
        <w:rPr>
          <w:rFonts w:ascii="Times New Roman" w:hAnsi="Times New Roman"/>
          <w:sz w:val="24"/>
          <w:szCs w:val="24"/>
        </w:rPr>
        <w:t>Taken together, t</w:t>
      </w:r>
      <w:r w:rsidR="001E7C47">
        <w:rPr>
          <w:rFonts w:ascii="Times New Roman" w:hAnsi="Times New Roman"/>
          <w:sz w:val="24"/>
          <w:szCs w:val="24"/>
        </w:rPr>
        <w:t>hese results suggest</w:t>
      </w:r>
      <w:r w:rsidR="001E7C47" w:rsidRPr="00731C8B">
        <w:rPr>
          <w:rFonts w:ascii="Times New Roman" w:hAnsi="Times New Roman"/>
          <w:sz w:val="24"/>
          <w:szCs w:val="24"/>
        </w:rPr>
        <w:t xml:space="preserve"> that </w:t>
      </w:r>
      <w:r w:rsidR="001E7C47">
        <w:rPr>
          <w:rFonts w:ascii="Times New Roman" w:hAnsi="Times New Roman"/>
          <w:sz w:val="24"/>
          <w:szCs w:val="24"/>
        </w:rPr>
        <w:t xml:space="preserve">the increase in disagreement during </w:t>
      </w:r>
      <w:r w:rsidR="001E7C47" w:rsidRPr="00731C8B">
        <w:rPr>
          <w:rFonts w:ascii="Times New Roman" w:hAnsi="Times New Roman"/>
          <w:sz w:val="24"/>
          <w:szCs w:val="24"/>
        </w:rPr>
        <w:t xml:space="preserve">deflations </w:t>
      </w:r>
      <w:r w:rsidR="001E7C47">
        <w:rPr>
          <w:rFonts w:ascii="Times New Roman" w:hAnsi="Times New Roman"/>
          <w:sz w:val="24"/>
          <w:szCs w:val="24"/>
        </w:rPr>
        <w:t>goes be</w:t>
      </w:r>
      <w:r w:rsidR="00FE3194">
        <w:rPr>
          <w:rFonts w:ascii="Times New Roman" w:hAnsi="Times New Roman"/>
          <w:sz w:val="24"/>
          <w:szCs w:val="24"/>
        </w:rPr>
        <w:t>yond that associated with larger</w:t>
      </w:r>
      <w:r w:rsidR="001E7C47" w:rsidRPr="00731C8B">
        <w:rPr>
          <w:rFonts w:ascii="Times New Roman" w:hAnsi="Times New Roman"/>
          <w:sz w:val="24"/>
          <w:szCs w:val="24"/>
        </w:rPr>
        <w:t xml:space="preserve"> inflation gaps</w:t>
      </w:r>
      <w:r w:rsidR="001E7C47">
        <w:rPr>
          <w:rFonts w:ascii="Times New Roman" w:hAnsi="Times New Roman"/>
          <w:sz w:val="24"/>
          <w:szCs w:val="24"/>
        </w:rPr>
        <w:t xml:space="preserve"> or other macroeconomic factors that tend to correlate with the degree of forecast disagreement</w:t>
      </w:r>
      <w:r w:rsidR="001E7C47" w:rsidRPr="00731C8B">
        <w:rPr>
          <w:rFonts w:ascii="Times New Roman" w:hAnsi="Times New Roman"/>
          <w:sz w:val="24"/>
          <w:szCs w:val="24"/>
        </w:rPr>
        <w:t xml:space="preserve">. </w:t>
      </w:r>
    </w:p>
    <w:p w14:paraId="09936930" w14:textId="26EDCBD4" w:rsidR="00F747DB" w:rsidRDefault="00791F27" w:rsidP="008C5B51">
      <w:pPr>
        <w:pStyle w:val="Paragraph"/>
        <w:spacing w:line="480" w:lineRule="auto"/>
        <w:rPr>
          <w:rFonts w:ascii="Times New Roman" w:hAnsi="Times New Roman"/>
          <w:sz w:val="24"/>
          <w:szCs w:val="24"/>
        </w:rPr>
      </w:pPr>
      <w:r>
        <w:rPr>
          <w:rFonts w:ascii="Times New Roman" w:hAnsi="Times New Roman"/>
          <w:sz w:val="24"/>
          <w:szCs w:val="24"/>
        </w:rPr>
        <w:t xml:space="preserve">To what </w:t>
      </w:r>
      <w:r w:rsidR="00FE3194">
        <w:rPr>
          <w:rFonts w:ascii="Times New Roman" w:hAnsi="Times New Roman"/>
          <w:sz w:val="24"/>
          <w:szCs w:val="24"/>
        </w:rPr>
        <w:t xml:space="preserve">extent </w:t>
      </w:r>
      <w:r>
        <w:rPr>
          <w:rFonts w:ascii="Times New Roman" w:hAnsi="Times New Roman"/>
          <w:sz w:val="24"/>
          <w:szCs w:val="24"/>
        </w:rPr>
        <w:t xml:space="preserve">could information frictions account for the rise in forecast disagreement during deflations? </w:t>
      </w:r>
      <w:r w:rsidR="005331C7">
        <w:rPr>
          <w:rFonts w:ascii="Times New Roman" w:hAnsi="Times New Roman"/>
          <w:sz w:val="24"/>
          <w:szCs w:val="24"/>
        </w:rPr>
        <w:t>T</w:t>
      </w:r>
      <w:r w:rsidR="00154891">
        <w:rPr>
          <w:rFonts w:ascii="Times New Roman" w:hAnsi="Times New Roman"/>
          <w:sz w:val="24"/>
          <w:szCs w:val="24"/>
        </w:rPr>
        <w:t xml:space="preserve">he coefficients on </w:t>
      </w:r>
      <w:r w:rsidR="00F747DB" w:rsidRPr="00731C8B">
        <w:rPr>
          <w:rFonts w:ascii="Times New Roman" w:hAnsi="Times New Roman"/>
          <w:sz w:val="24"/>
          <w:szCs w:val="24"/>
        </w:rPr>
        <w:t>control</w:t>
      </w:r>
      <w:r w:rsidR="00A86D9B">
        <w:rPr>
          <w:rFonts w:ascii="Times New Roman" w:hAnsi="Times New Roman"/>
          <w:sz w:val="24"/>
          <w:szCs w:val="24"/>
        </w:rPr>
        <w:t>s</w:t>
      </w:r>
      <w:r w:rsidR="00F747DB" w:rsidRPr="00731C8B">
        <w:rPr>
          <w:rFonts w:ascii="Times New Roman" w:hAnsi="Times New Roman"/>
          <w:sz w:val="24"/>
          <w:szCs w:val="24"/>
        </w:rPr>
        <w:t xml:space="preserve"> </w:t>
      </w:r>
      <w:r>
        <w:rPr>
          <w:rFonts w:ascii="Times New Roman" w:hAnsi="Times New Roman"/>
          <w:sz w:val="24"/>
          <w:szCs w:val="24"/>
        </w:rPr>
        <w:t xml:space="preserve">suggested by a sticky information model </w:t>
      </w:r>
      <w:r w:rsidR="00F747DB" w:rsidRPr="00731C8B">
        <w:rPr>
          <w:rFonts w:ascii="Times New Roman" w:hAnsi="Times New Roman"/>
          <w:sz w:val="24"/>
          <w:szCs w:val="24"/>
        </w:rPr>
        <w:t xml:space="preserve">in </w:t>
      </w:r>
      <w:r w:rsidR="00F747DB" w:rsidRPr="00731C8B">
        <w:rPr>
          <w:rFonts w:ascii="Times New Roman" w:hAnsi="Times New Roman"/>
          <w:sz w:val="24"/>
          <w:szCs w:val="24"/>
        </w:rPr>
        <w:lastRenderedPageBreak/>
        <w:t xml:space="preserve">Table </w:t>
      </w:r>
      <w:r w:rsidR="0036556E">
        <w:rPr>
          <w:rFonts w:ascii="Times New Roman" w:hAnsi="Times New Roman"/>
          <w:sz w:val="24"/>
          <w:szCs w:val="24"/>
        </w:rPr>
        <w:t>1</w:t>
      </w:r>
      <w:r w:rsidR="00F747DB" w:rsidRPr="00731C8B">
        <w:rPr>
          <w:rFonts w:ascii="Times New Roman" w:hAnsi="Times New Roman"/>
          <w:sz w:val="24"/>
          <w:szCs w:val="24"/>
        </w:rPr>
        <w:t xml:space="preserve"> obtain the expected signs and are in some cases highly statistically significant. Forecast disagreement rises in response to large changes in policy rates, and is also greater when changes i</w:t>
      </w:r>
      <w:r w:rsidR="003F6C71">
        <w:rPr>
          <w:rFonts w:ascii="Times New Roman" w:hAnsi="Times New Roman"/>
          <w:sz w:val="24"/>
          <w:szCs w:val="24"/>
        </w:rPr>
        <w:t>n exchange rates are larger. These dynamics</w:t>
      </w:r>
      <w:r w:rsidR="00CD61AD">
        <w:rPr>
          <w:rFonts w:ascii="Times New Roman" w:hAnsi="Times New Roman"/>
          <w:sz w:val="24"/>
          <w:szCs w:val="24"/>
        </w:rPr>
        <w:t xml:space="preserve"> are</w:t>
      </w:r>
      <w:r w:rsidR="00F747DB" w:rsidRPr="00731C8B">
        <w:rPr>
          <w:rFonts w:ascii="Times New Roman" w:hAnsi="Times New Roman"/>
          <w:sz w:val="24"/>
          <w:szCs w:val="24"/>
        </w:rPr>
        <w:t xml:space="preserve"> consistent with a framework where expectations are adjusted infrequently and there are costs </w:t>
      </w:r>
      <w:r w:rsidR="00E9678F">
        <w:rPr>
          <w:rFonts w:ascii="Times New Roman" w:hAnsi="Times New Roman"/>
          <w:sz w:val="24"/>
          <w:szCs w:val="24"/>
        </w:rPr>
        <w:t>to acquire and process information</w:t>
      </w:r>
      <w:r w:rsidR="00F747DB" w:rsidRPr="00731C8B">
        <w:rPr>
          <w:rFonts w:ascii="Times New Roman" w:hAnsi="Times New Roman"/>
          <w:sz w:val="24"/>
          <w:szCs w:val="24"/>
        </w:rPr>
        <w:t xml:space="preserve">. </w:t>
      </w:r>
      <w:r w:rsidR="00922874">
        <w:rPr>
          <w:rFonts w:ascii="Times New Roman" w:hAnsi="Times New Roman"/>
          <w:sz w:val="24"/>
          <w:szCs w:val="24"/>
        </w:rPr>
        <w:t xml:space="preserve">Yet, the </w:t>
      </w:r>
      <w:r w:rsidR="003912E2">
        <w:rPr>
          <w:rFonts w:ascii="Times New Roman" w:hAnsi="Times New Roman"/>
          <w:sz w:val="24"/>
          <w:szCs w:val="24"/>
        </w:rPr>
        <w:t>observation</w:t>
      </w:r>
      <w:r w:rsidR="00922874">
        <w:rPr>
          <w:rFonts w:ascii="Times New Roman" w:hAnsi="Times New Roman"/>
          <w:sz w:val="24"/>
          <w:szCs w:val="24"/>
        </w:rPr>
        <w:t xml:space="preserve"> that the deflation dummy remains statistically significant suggests that </w:t>
      </w:r>
      <w:r>
        <w:rPr>
          <w:rFonts w:ascii="Times New Roman" w:hAnsi="Times New Roman"/>
          <w:sz w:val="24"/>
          <w:szCs w:val="24"/>
        </w:rPr>
        <w:t>sticky information</w:t>
      </w:r>
      <w:r w:rsidR="00922874">
        <w:rPr>
          <w:rFonts w:ascii="Times New Roman" w:hAnsi="Times New Roman"/>
          <w:sz w:val="24"/>
          <w:szCs w:val="24"/>
        </w:rPr>
        <w:t xml:space="preserve"> may not fully account for the rise in forecast disagreement. </w:t>
      </w:r>
    </w:p>
    <w:p w14:paraId="7736FC59" w14:textId="22C9426E" w:rsidR="00A86D9B" w:rsidRDefault="00A86D9B" w:rsidP="008C5B51">
      <w:pPr>
        <w:pStyle w:val="Paragraph"/>
        <w:spacing w:line="480" w:lineRule="auto"/>
        <w:rPr>
          <w:rFonts w:ascii="Times New Roman" w:hAnsi="Times New Roman"/>
          <w:sz w:val="24"/>
          <w:szCs w:val="24"/>
        </w:rPr>
      </w:pPr>
      <w:r>
        <w:rPr>
          <w:rFonts w:ascii="Times New Roman" w:hAnsi="Times New Roman"/>
          <w:sz w:val="24"/>
          <w:szCs w:val="24"/>
        </w:rPr>
        <w:t xml:space="preserve">To further analyse the </w:t>
      </w:r>
      <w:r w:rsidR="00DA1212">
        <w:rPr>
          <w:rFonts w:ascii="Times New Roman" w:hAnsi="Times New Roman"/>
          <w:sz w:val="24"/>
          <w:szCs w:val="24"/>
        </w:rPr>
        <w:t>relevan</w:t>
      </w:r>
      <w:r w:rsidR="00486442">
        <w:rPr>
          <w:rFonts w:ascii="Times New Roman" w:hAnsi="Times New Roman"/>
          <w:sz w:val="24"/>
          <w:szCs w:val="24"/>
        </w:rPr>
        <w:t>ce</w:t>
      </w:r>
      <w:r w:rsidR="00DA1212">
        <w:rPr>
          <w:rFonts w:ascii="Times New Roman" w:hAnsi="Times New Roman"/>
          <w:sz w:val="24"/>
          <w:szCs w:val="24"/>
        </w:rPr>
        <w:t xml:space="preserve"> of information frictions, </w:t>
      </w:r>
      <w:r>
        <w:rPr>
          <w:rFonts w:ascii="Times New Roman" w:hAnsi="Times New Roman"/>
          <w:sz w:val="24"/>
          <w:szCs w:val="24"/>
        </w:rPr>
        <w:t xml:space="preserve">we use the framework </w:t>
      </w:r>
      <w:r w:rsidR="00E36D38">
        <w:rPr>
          <w:rFonts w:ascii="Times New Roman" w:hAnsi="Times New Roman"/>
          <w:sz w:val="24"/>
          <w:szCs w:val="24"/>
        </w:rPr>
        <w:t>proposed</w:t>
      </w:r>
      <w:r>
        <w:rPr>
          <w:rFonts w:ascii="Times New Roman" w:hAnsi="Times New Roman"/>
          <w:sz w:val="24"/>
          <w:szCs w:val="24"/>
        </w:rPr>
        <w:t xml:space="preserve"> by </w:t>
      </w:r>
      <w:proofErr w:type="spellStart"/>
      <w:r>
        <w:rPr>
          <w:rFonts w:ascii="Times New Roman" w:hAnsi="Times New Roman"/>
          <w:sz w:val="24"/>
          <w:szCs w:val="24"/>
        </w:rPr>
        <w:t>Coibion</w:t>
      </w:r>
      <w:proofErr w:type="spellEnd"/>
      <w:r>
        <w:rPr>
          <w:rFonts w:ascii="Times New Roman" w:hAnsi="Times New Roman"/>
          <w:sz w:val="24"/>
          <w:szCs w:val="24"/>
        </w:rPr>
        <w:t xml:space="preserve"> and </w:t>
      </w:r>
      <w:proofErr w:type="spellStart"/>
      <w:r>
        <w:rPr>
          <w:rFonts w:ascii="Times New Roman" w:hAnsi="Times New Roman"/>
          <w:sz w:val="24"/>
          <w:szCs w:val="24"/>
        </w:rPr>
        <w:t>Gorod</w:t>
      </w:r>
      <w:r w:rsidR="006C726C">
        <w:rPr>
          <w:rFonts w:ascii="Times New Roman" w:hAnsi="Times New Roman"/>
          <w:sz w:val="24"/>
          <w:szCs w:val="24"/>
        </w:rPr>
        <w:t>n</w:t>
      </w:r>
      <w:r>
        <w:rPr>
          <w:rFonts w:ascii="Times New Roman" w:hAnsi="Times New Roman"/>
          <w:sz w:val="24"/>
          <w:szCs w:val="24"/>
        </w:rPr>
        <w:t>ichenko</w:t>
      </w:r>
      <w:proofErr w:type="spellEnd"/>
      <w:r>
        <w:rPr>
          <w:rFonts w:ascii="Times New Roman" w:hAnsi="Times New Roman"/>
          <w:sz w:val="24"/>
          <w:szCs w:val="24"/>
        </w:rPr>
        <w:t xml:space="preserve"> (2015)</w:t>
      </w:r>
      <w:r w:rsidR="00922874">
        <w:rPr>
          <w:rFonts w:ascii="Times New Roman" w:hAnsi="Times New Roman"/>
          <w:sz w:val="24"/>
          <w:szCs w:val="24"/>
        </w:rPr>
        <w:t xml:space="preserve">. The estimated model </w:t>
      </w:r>
      <w:r>
        <w:rPr>
          <w:rFonts w:ascii="Times New Roman" w:hAnsi="Times New Roman"/>
          <w:sz w:val="24"/>
          <w:szCs w:val="24"/>
        </w:rPr>
        <w:t xml:space="preserve">links ex-post mean forecast errors to ex-ante mean forecast revisions. </w:t>
      </w:r>
      <w:r w:rsidR="00922874">
        <w:rPr>
          <w:rFonts w:ascii="Times New Roman" w:hAnsi="Times New Roman"/>
          <w:sz w:val="24"/>
          <w:szCs w:val="24"/>
        </w:rPr>
        <w:t xml:space="preserve">In the </w:t>
      </w:r>
      <w:r w:rsidR="002843D9">
        <w:rPr>
          <w:rFonts w:ascii="Times New Roman" w:hAnsi="Times New Roman"/>
          <w:sz w:val="24"/>
          <w:szCs w:val="24"/>
        </w:rPr>
        <w:t>presence</w:t>
      </w:r>
      <w:r w:rsidR="00922874">
        <w:rPr>
          <w:rFonts w:ascii="Times New Roman" w:hAnsi="Times New Roman"/>
          <w:sz w:val="24"/>
          <w:szCs w:val="24"/>
        </w:rPr>
        <w:t xml:space="preserve"> of </w:t>
      </w:r>
      <w:r w:rsidR="002A6557">
        <w:rPr>
          <w:rFonts w:ascii="Times New Roman" w:hAnsi="Times New Roman"/>
          <w:sz w:val="24"/>
          <w:szCs w:val="24"/>
        </w:rPr>
        <w:t>information frictions</w:t>
      </w:r>
      <w:r w:rsidR="00922874">
        <w:rPr>
          <w:rFonts w:ascii="Times New Roman" w:hAnsi="Times New Roman"/>
          <w:sz w:val="24"/>
          <w:szCs w:val="24"/>
        </w:rPr>
        <w:t xml:space="preserve">, </w:t>
      </w:r>
      <w:r w:rsidR="002A6557">
        <w:rPr>
          <w:rFonts w:ascii="Times New Roman" w:hAnsi="Times New Roman"/>
          <w:sz w:val="24"/>
          <w:szCs w:val="24"/>
        </w:rPr>
        <w:t xml:space="preserve">average </w:t>
      </w:r>
      <w:r w:rsidR="00922874">
        <w:rPr>
          <w:rFonts w:ascii="Times New Roman" w:hAnsi="Times New Roman"/>
          <w:sz w:val="24"/>
          <w:szCs w:val="24"/>
        </w:rPr>
        <w:t xml:space="preserve">forecast </w:t>
      </w:r>
      <w:r w:rsidR="002A6557">
        <w:rPr>
          <w:rFonts w:ascii="Times New Roman" w:hAnsi="Times New Roman"/>
          <w:sz w:val="24"/>
          <w:szCs w:val="24"/>
        </w:rPr>
        <w:t xml:space="preserve">errors across agents will be predictable using the average forecast revisions. This is not the </w:t>
      </w:r>
      <w:r w:rsidR="002843D9">
        <w:rPr>
          <w:rFonts w:ascii="Times New Roman" w:hAnsi="Times New Roman"/>
          <w:sz w:val="24"/>
          <w:szCs w:val="24"/>
        </w:rPr>
        <w:t xml:space="preserve">case </w:t>
      </w:r>
      <w:r w:rsidR="00756067">
        <w:rPr>
          <w:rFonts w:ascii="Times New Roman" w:hAnsi="Times New Roman"/>
          <w:sz w:val="24"/>
          <w:szCs w:val="24"/>
        </w:rPr>
        <w:t>for</w:t>
      </w:r>
      <w:r w:rsidR="002843D9">
        <w:rPr>
          <w:rFonts w:ascii="Times New Roman" w:hAnsi="Times New Roman"/>
          <w:sz w:val="24"/>
          <w:szCs w:val="24"/>
        </w:rPr>
        <w:t xml:space="preserve"> full-</w:t>
      </w:r>
      <w:r w:rsidR="002A6557">
        <w:rPr>
          <w:rFonts w:ascii="Times New Roman" w:hAnsi="Times New Roman"/>
          <w:sz w:val="24"/>
          <w:szCs w:val="24"/>
        </w:rPr>
        <w:t>information rational expectations, which imply conditionally and unconditionally unpredictable forecast errors.</w:t>
      </w:r>
      <w:r w:rsidR="00922874">
        <w:rPr>
          <w:rFonts w:ascii="Times New Roman" w:hAnsi="Times New Roman"/>
          <w:sz w:val="24"/>
          <w:szCs w:val="24"/>
        </w:rPr>
        <w:t xml:space="preserve"> </w:t>
      </w:r>
      <w:r>
        <w:rPr>
          <w:rFonts w:ascii="Times New Roman" w:hAnsi="Times New Roman"/>
          <w:sz w:val="24"/>
          <w:szCs w:val="24"/>
        </w:rPr>
        <w:t xml:space="preserve">We consider the following equation, </w:t>
      </w:r>
      <w:r w:rsidR="00F81DD9">
        <w:rPr>
          <w:rFonts w:ascii="Times New Roman" w:hAnsi="Times New Roman"/>
          <w:sz w:val="24"/>
          <w:szCs w:val="24"/>
        </w:rPr>
        <w:t>estimat</w:t>
      </w:r>
      <w:r w:rsidR="006C726C">
        <w:rPr>
          <w:rFonts w:ascii="Times New Roman" w:hAnsi="Times New Roman"/>
          <w:sz w:val="24"/>
          <w:szCs w:val="24"/>
        </w:rPr>
        <w:t xml:space="preserve">ed for </w:t>
      </w:r>
      <w:r w:rsidR="00B06A35">
        <w:rPr>
          <w:rFonts w:ascii="Times New Roman" w:hAnsi="Times New Roman"/>
          <w:sz w:val="24"/>
          <w:szCs w:val="24"/>
        </w:rPr>
        <w:t>the</w:t>
      </w:r>
      <w:r w:rsidR="006C726C">
        <w:rPr>
          <w:rFonts w:ascii="Times New Roman" w:hAnsi="Times New Roman"/>
          <w:sz w:val="24"/>
          <w:szCs w:val="24"/>
        </w:rPr>
        <w:t xml:space="preserve"> </w:t>
      </w:r>
      <w:r w:rsidR="00B06A35">
        <w:rPr>
          <w:rFonts w:ascii="Times New Roman" w:hAnsi="Times New Roman"/>
          <w:sz w:val="24"/>
          <w:szCs w:val="24"/>
        </w:rPr>
        <w:t>full</w:t>
      </w:r>
      <w:r w:rsidR="006C726C">
        <w:rPr>
          <w:rFonts w:ascii="Times New Roman" w:hAnsi="Times New Roman"/>
          <w:sz w:val="24"/>
          <w:szCs w:val="24"/>
        </w:rPr>
        <w:t xml:space="preserve"> panel of countries</w:t>
      </w:r>
      <w:r w:rsidR="00F81DD9">
        <w:rPr>
          <w:rFonts w:ascii="Times New Roman" w:hAnsi="Times New Roman"/>
          <w:sz w:val="24"/>
          <w:szCs w:val="24"/>
        </w:rPr>
        <w:t>:</w:t>
      </w:r>
    </w:p>
    <w:p w14:paraId="137BDF17" w14:textId="77777777" w:rsidR="008F7ED9" w:rsidRDefault="00AA128E" w:rsidP="008F7ED9">
      <w:pPr>
        <w:pStyle w:val="Paragraph"/>
        <w:spacing w:line="480" w:lineRule="auto"/>
        <w:rPr>
          <w:rFonts w:ascii="Times New Roman" w:hAnsi="Times New Roman"/>
          <w:sz w:val="24"/>
          <w:szCs w:val="24"/>
        </w:rPr>
      </w:pPr>
      <m:oMath>
        <m:d>
          <m:dPr>
            <m:begChr m:val=""/>
            <m:endChr m:val=""/>
            <m:ctrlPr>
              <w:rPr>
                <w:rFonts w:ascii="Cambria Math" w:hAnsi="Cambria Math"/>
                <w:iCs/>
                <w:sz w:val="22"/>
                <w:szCs w:val="22"/>
              </w:rPr>
            </m:ctrlPr>
          </m:dPr>
          <m:e>
            <m:sSub>
              <m:sSubPr>
                <m:ctrlPr>
                  <w:rPr>
                    <w:rFonts w:ascii="Cambria Math" w:hAnsi="Cambria Math"/>
                    <w:iCs/>
                    <w:sz w:val="22"/>
                    <w:szCs w:val="22"/>
                  </w:rPr>
                </m:ctrlPr>
              </m:sSubPr>
              <m:e>
                <m:r>
                  <w:rPr>
                    <w:rFonts w:ascii="Cambria Math" w:hAnsi="Cambria Math"/>
                    <w:sz w:val="22"/>
                    <w:szCs w:val="22"/>
                    <w:lang w:val="en-US"/>
                  </w:rPr>
                  <m:t>π</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r>
                  <m:rPr>
                    <m:sty m:val="p"/>
                  </m:rPr>
                  <w:rPr>
                    <w:rFonts w:ascii="Cambria Math" w:hAnsi="Cambria Math"/>
                    <w:sz w:val="22"/>
                    <w:szCs w:val="22"/>
                    <w:lang w:val="en-US"/>
                  </w:rPr>
                  <m:t>+</m:t>
                </m:r>
                <m:r>
                  <w:rPr>
                    <w:rFonts w:ascii="Cambria Math" w:hAnsi="Cambria Math"/>
                    <w:sz w:val="22"/>
                    <w:szCs w:val="22"/>
                    <w:lang w:val="en-US"/>
                  </w:rPr>
                  <m:t>h</m:t>
                </m:r>
              </m:sub>
            </m:sSub>
          </m:e>
        </m:d>
        <m:r>
          <m:rPr>
            <m:sty m:val="p"/>
          </m:rPr>
          <w:rPr>
            <w:rFonts w:ascii="Cambria Math" w:hAnsi="Cambria Math"/>
            <w:sz w:val="22"/>
            <w:szCs w:val="22"/>
            <w:lang w:val="en-US"/>
          </w:rPr>
          <m:t>-</m:t>
        </m:r>
        <m:sSub>
          <m:sSubPr>
            <m:ctrlPr>
              <w:rPr>
                <w:rFonts w:ascii="Cambria Math" w:hAnsi="Cambria Math"/>
                <w:iCs/>
                <w:sz w:val="22"/>
                <w:szCs w:val="22"/>
              </w:rPr>
            </m:ctrlPr>
          </m:sSubPr>
          <m:e>
            <m:sSub>
              <m:sSubPr>
                <m:ctrlPr>
                  <w:rPr>
                    <w:rFonts w:ascii="Cambria Math" w:hAnsi="Cambria Math"/>
                    <w:i/>
                    <w:sz w:val="22"/>
                    <w:szCs w:val="22"/>
                    <w:lang w:val="en-US"/>
                  </w:rPr>
                </m:ctrlPr>
              </m:sSubPr>
              <m:e>
                <m:r>
                  <w:rPr>
                    <w:rFonts w:ascii="Cambria Math" w:hAnsi="Cambria Math"/>
                    <w:sz w:val="22"/>
                    <w:szCs w:val="22"/>
                    <w:lang w:val="en-US"/>
                  </w:rPr>
                  <m:t>E</m:t>
                </m:r>
              </m:e>
              <m:sub>
                <m:r>
                  <w:rPr>
                    <w:rFonts w:ascii="Cambria Math" w:hAnsi="Cambria Math"/>
                    <w:sz w:val="22"/>
                    <w:szCs w:val="22"/>
                    <w:lang w:val="en-US"/>
                  </w:rPr>
                  <m:t>t</m:t>
                </m:r>
              </m:sub>
            </m:sSub>
            <m:r>
              <w:rPr>
                <w:rFonts w:ascii="Cambria Math" w:hAnsi="Cambria Math"/>
                <w:sz w:val="22"/>
                <w:szCs w:val="22"/>
                <w:lang w:val="en-US"/>
              </w:rPr>
              <m:t>π</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r>
              <m:rPr>
                <m:sty m:val="p"/>
              </m:rPr>
              <w:rPr>
                <w:rFonts w:ascii="Cambria Math" w:hAnsi="Cambria Math"/>
                <w:sz w:val="22"/>
                <w:szCs w:val="22"/>
                <w:lang w:val="en-US"/>
              </w:rPr>
              <m:t>+</m:t>
            </m:r>
            <m:r>
              <w:rPr>
                <w:rFonts w:ascii="Cambria Math" w:hAnsi="Cambria Math"/>
                <w:sz w:val="22"/>
                <w:szCs w:val="22"/>
                <w:lang w:val="en-US"/>
              </w:rPr>
              <m:t>h</m:t>
            </m:r>
          </m:sub>
        </m:sSub>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α</m:t>
            </m:r>
          </m:e>
          <m:sub>
            <m:r>
              <w:rPr>
                <w:rFonts w:ascii="Cambria Math" w:hAnsi="Cambria Math"/>
                <w:sz w:val="22"/>
                <w:szCs w:val="22"/>
                <w:lang w:val="en-US"/>
              </w:rPr>
              <m:t>c</m:t>
            </m:r>
          </m:sub>
        </m:sSub>
        <m:r>
          <m:rPr>
            <m:sty m:val="p"/>
          </m:rPr>
          <w:rPr>
            <w:rFonts w:ascii="Cambria Math" w:hAnsi="Cambria Math"/>
            <w:sz w:val="22"/>
            <w:szCs w:val="22"/>
            <w:lang w:val="en-US"/>
          </w:rPr>
          <m:t>+</m:t>
        </m:r>
        <m:sSub>
          <m:sSubPr>
            <m:ctrlPr>
              <w:rPr>
                <w:rFonts w:ascii="Cambria Math" w:hAnsi="Cambria Math"/>
                <w:iCs/>
                <w:sz w:val="22"/>
                <w:szCs w:val="22"/>
              </w:rPr>
            </m:ctrlPr>
          </m:sSubPr>
          <m:e>
            <m:r>
              <w:rPr>
                <w:rFonts w:ascii="Cambria Math" w:hAnsi="Cambria Math"/>
                <w:sz w:val="22"/>
                <w:szCs w:val="22"/>
                <w:lang w:val="en-US"/>
              </w:rPr>
              <m:t>γ</m:t>
            </m:r>
          </m:e>
          <m:sub>
            <m:r>
              <w:rPr>
                <w:rFonts w:ascii="Cambria Math" w:hAnsi="Cambria Math"/>
                <w:sz w:val="22"/>
                <w:szCs w:val="22"/>
                <w:lang w:val="en-US"/>
              </w:rPr>
              <m:t>t</m:t>
            </m:r>
          </m:sub>
        </m:sSub>
        <m:r>
          <m:rPr>
            <m:sty m:val="p"/>
          </m:rPr>
          <w:rPr>
            <w:rFonts w:ascii="Cambria Math" w:hAnsi="Cambria Math"/>
            <w:sz w:val="22"/>
            <w:szCs w:val="22"/>
            <w:lang w:val="en-US"/>
          </w:rPr>
          <m:t>+</m:t>
        </m:r>
        <m:r>
          <w:rPr>
            <w:rFonts w:ascii="Cambria Math" w:hAnsi="Cambria Math"/>
            <w:sz w:val="22"/>
            <w:szCs w:val="22"/>
            <w:lang w:val="en-US"/>
          </w:rPr>
          <m:t>β</m:t>
        </m:r>
        <m:sSub>
          <m:sSubPr>
            <m:ctrlPr>
              <w:rPr>
                <w:rFonts w:ascii="Cambria Math" w:hAnsi="Cambria Math"/>
                <w:iCs/>
                <w:sz w:val="22"/>
                <w:szCs w:val="22"/>
              </w:rPr>
            </m:ctrlPr>
          </m:sSubPr>
          <m:e>
            <m:sSub>
              <m:sSubPr>
                <m:ctrlPr>
                  <w:rPr>
                    <w:rFonts w:ascii="Cambria Math" w:hAnsi="Cambria Math"/>
                    <w:i/>
                    <w:sz w:val="22"/>
                    <w:szCs w:val="22"/>
                    <w:lang w:val="en-US"/>
                  </w:rPr>
                </m:ctrlPr>
              </m:sSubPr>
              <m:e>
                <m:r>
                  <w:rPr>
                    <w:rFonts w:ascii="Cambria Math" w:hAnsi="Cambria Math"/>
                    <w:sz w:val="22"/>
                    <w:szCs w:val="22"/>
                    <w:lang w:val="en-US"/>
                  </w:rPr>
                  <m:t>(E</m:t>
                </m:r>
              </m:e>
              <m:sub>
                <m:r>
                  <w:rPr>
                    <w:rFonts w:ascii="Cambria Math" w:hAnsi="Cambria Math"/>
                    <w:sz w:val="22"/>
                    <w:szCs w:val="22"/>
                    <w:lang w:val="en-US"/>
                  </w:rPr>
                  <m:t>t</m:t>
                </m:r>
              </m:sub>
            </m:sSub>
            <m:r>
              <w:rPr>
                <w:rFonts w:ascii="Cambria Math" w:hAnsi="Cambria Math"/>
                <w:sz w:val="22"/>
                <w:szCs w:val="22"/>
                <w:lang w:val="en-US"/>
              </w:rPr>
              <m:t>π</m:t>
            </m:r>
          </m:e>
          <m:sub>
            <m:r>
              <w:rPr>
                <w:rFonts w:ascii="Cambria Math" w:hAnsi="Cambria Math"/>
                <w:sz w:val="22"/>
                <w:szCs w:val="22"/>
                <w:lang w:val="en-US"/>
              </w:rPr>
              <m:t>t</m:t>
            </m:r>
            <m:r>
              <m:rPr>
                <m:sty m:val="p"/>
              </m:rPr>
              <w:rPr>
                <w:rFonts w:ascii="Cambria Math" w:hAnsi="Cambria Math"/>
                <w:sz w:val="22"/>
                <w:szCs w:val="22"/>
                <w:lang w:val="en-US"/>
              </w:rPr>
              <m:t>+</m:t>
            </m:r>
            <m:r>
              <w:rPr>
                <w:rFonts w:ascii="Cambria Math" w:hAnsi="Cambria Math"/>
                <w:sz w:val="22"/>
                <w:szCs w:val="22"/>
                <w:lang w:val="en-US"/>
              </w:rPr>
              <m:t>h</m:t>
            </m:r>
          </m:sub>
        </m:sSub>
        <m:r>
          <m:rPr>
            <m:sty m:val="p"/>
          </m:rPr>
          <w:rPr>
            <w:rFonts w:ascii="Cambria Math" w:hAnsi="Cambria Math"/>
            <w:sz w:val="22"/>
            <w:szCs w:val="22"/>
            <w:lang w:val="en-US"/>
          </w:rPr>
          <m:t>-</m:t>
        </m:r>
        <m:sSub>
          <m:sSubPr>
            <m:ctrlPr>
              <w:rPr>
                <w:rFonts w:ascii="Cambria Math" w:hAnsi="Cambria Math"/>
                <w:iCs/>
                <w:sz w:val="22"/>
                <w:szCs w:val="22"/>
              </w:rPr>
            </m:ctrlPr>
          </m:sSubPr>
          <m:e>
            <m:sSub>
              <m:sSubPr>
                <m:ctrlPr>
                  <w:rPr>
                    <w:rFonts w:ascii="Cambria Math" w:hAnsi="Cambria Math"/>
                    <w:iCs/>
                    <w:sz w:val="22"/>
                    <w:szCs w:val="22"/>
                  </w:rPr>
                </m:ctrlPr>
              </m:sSubPr>
              <m:e>
                <m:sSub>
                  <m:sSubPr>
                    <m:ctrlPr>
                      <w:rPr>
                        <w:rFonts w:ascii="Cambria Math" w:hAnsi="Cambria Math"/>
                        <w:i/>
                        <w:sz w:val="22"/>
                        <w:szCs w:val="22"/>
                        <w:lang w:val="en-US"/>
                      </w:rPr>
                    </m:ctrlPr>
                  </m:sSubPr>
                  <m:e>
                    <m:r>
                      <w:rPr>
                        <w:rFonts w:ascii="Cambria Math" w:hAnsi="Cambria Math"/>
                        <w:sz w:val="22"/>
                        <w:szCs w:val="22"/>
                        <w:lang w:val="en-US"/>
                      </w:rPr>
                      <m:t>E</m:t>
                    </m:r>
                  </m:e>
                  <m:sub>
                    <m:r>
                      <w:rPr>
                        <w:rFonts w:ascii="Cambria Math" w:hAnsi="Cambria Math"/>
                        <w:sz w:val="22"/>
                        <w:szCs w:val="22"/>
                        <w:lang w:val="en-US"/>
                      </w:rPr>
                      <m:t>t-1</m:t>
                    </m:r>
                  </m:sub>
                </m:sSub>
                <m:r>
                  <w:rPr>
                    <w:rFonts w:ascii="Cambria Math" w:hAnsi="Cambria Math"/>
                    <w:sz w:val="22"/>
                    <w:szCs w:val="22"/>
                    <w:lang w:val="en-US"/>
                  </w:rPr>
                  <m:t>π</m:t>
                </m:r>
              </m:e>
              <m:sub>
                <m:r>
                  <w:rPr>
                    <w:rFonts w:ascii="Cambria Math" w:hAnsi="Cambria Math"/>
                    <w:sz w:val="22"/>
                    <w:szCs w:val="22"/>
                    <w:lang w:val="en-US"/>
                  </w:rPr>
                  <m:t>t</m:t>
                </m:r>
                <m:r>
                  <m:rPr>
                    <m:sty m:val="p"/>
                  </m:rPr>
                  <w:rPr>
                    <w:rFonts w:ascii="Cambria Math" w:hAnsi="Cambria Math"/>
                    <w:sz w:val="22"/>
                    <w:szCs w:val="22"/>
                    <w:lang w:val="en-US"/>
                  </w:rPr>
                  <m:t>+</m:t>
                </m:r>
                <m:r>
                  <w:rPr>
                    <w:rFonts w:ascii="Cambria Math" w:hAnsi="Cambria Math"/>
                    <w:sz w:val="22"/>
                    <w:szCs w:val="22"/>
                    <w:lang w:val="en-US"/>
                  </w:rPr>
                  <m:t>h</m:t>
                </m:r>
              </m:sub>
            </m:sSub>
            <m:r>
              <m:rPr>
                <m:sty m:val="p"/>
              </m:rPr>
              <w:rPr>
                <w:rFonts w:ascii="Cambria Math" w:hAnsi="Cambria Math"/>
                <w:sz w:val="22"/>
                <w:szCs w:val="22"/>
                <w:lang w:val="en-US"/>
              </w:rPr>
              <m:t>)+</m:t>
            </m:r>
            <m:r>
              <w:rPr>
                <w:rFonts w:ascii="Cambria Math" w:hAnsi="Cambria Math"/>
                <w:sz w:val="22"/>
                <w:szCs w:val="22"/>
                <w:lang w:val="en-US"/>
              </w:rPr>
              <m:t>ε</m:t>
            </m:r>
          </m:e>
          <m:sub>
            <m:r>
              <w:rPr>
                <w:rFonts w:ascii="Cambria Math" w:hAnsi="Cambria Math"/>
                <w:sz w:val="22"/>
                <w:szCs w:val="22"/>
                <w:lang w:val="en-US"/>
              </w:rPr>
              <m:t>c</m:t>
            </m:r>
            <m:r>
              <m:rPr>
                <m:sty m:val="p"/>
              </m:rPr>
              <w:rPr>
                <w:rFonts w:ascii="Cambria Math" w:hAnsi="Cambria Math"/>
                <w:sz w:val="22"/>
                <w:szCs w:val="22"/>
                <w:lang w:val="en-US"/>
              </w:rPr>
              <m:t>,</m:t>
            </m:r>
            <m:r>
              <w:rPr>
                <w:rFonts w:ascii="Cambria Math" w:hAnsi="Cambria Math"/>
                <w:sz w:val="22"/>
                <w:szCs w:val="22"/>
                <w:lang w:val="en-US"/>
              </w:rPr>
              <m:t>t</m:t>
            </m:r>
          </m:sub>
        </m:sSub>
        <m:r>
          <m:rPr>
            <m:sty m:val="p"/>
          </m:rPr>
          <w:rPr>
            <w:rFonts w:ascii="Cambria Math" w:hAnsi="Cambria Math"/>
            <w:sz w:val="22"/>
            <w:szCs w:val="22"/>
          </w:rPr>
          <m:t>.</m:t>
        </m:r>
      </m:oMath>
      <w:r w:rsidR="008F7ED9">
        <w:rPr>
          <w:rFonts w:ascii="Times New Roman" w:hAnsi="Times New Roman"/>
          <w:sz w:val="24"/>
          <w:szCs w:val="24"/>
        </w:rPr>
        <w:t xml:space="preserve"> </w:t>
      </w:r>
      <w:r w:rsidR="008F7ED9">
        <w:rPr>
          <w:rFonts w:ascii="Times New Roman" w:hAnsi="Times New Roman"/>
          <w:sz w:val="24"/>
          <w:szCs w:val="24"/>
        </w:rPr>
        <w:tab/>
      </w:r>
      <w:r w:rsidR="008F7ED9">
        <w:rPr>
          <w:rFonts w:ascii="Times New Roman" w:hAnsi="Times New Roman"/>
          <w:sz w:val="24"/>
          <w:szCs w:val="24"/>
        </w:rPr>
        <w:tab/>
        <w:t>(3)</w:t>
      </w:r>
    </w:p>
    <w:p w14:paraId="122A3978" w14:textId="47878272" w:rsidR="00A86D9B" w:rsidRDefault="007746FB" w:rsidP="008F7ED9">
      <w:pPr>
        <w:pStyle w:val="Paragraph"/>
        <w:spacing w:line="480" w:lineRule="auto"/>
        <w:rPr>
          <w:rFonts w:ascii="Times New Roman" w:hAnsi="Times New Roman"/>
          <w:sz w:val="24"/>
          <w:szCs w:val="24"/>
        </w:rPr>
      </w:pPr>
      <w:r>
        <w:rPr>
          <w:rFonts w:ascii="Times New Roman" w:hAnsi="Times New Roman"/>
          <w:sz w:val="24"/>
          <w:szCs w:val="24"/>
        </w:rPr>
        <w:t>The left-hand term of Equation (</w:t>
      </w:r>
      <w:r w:rsidR="002F6059">
        <w:rPr>
          <w:rFonts w:ascii="Times New Roman" w:hAnsi="Times New Roman"/>
          <w:sz w:val="24"/>
          <w:szCs w:val="24"/>
        </w:rPr>
        <w:t>3</w:t>
      </w:r>
      <w:r>
        <w:rPr>
          <w:rFonts w:ascii="Times New Roman" w:hAnsi="Times New Roman"/>
          <w:sz w:val="24"/>
          <w:szCs w:val="24"/>
        </w:rPr>
        <w:t>) is the ex-post forecast error (mean across forecasters</w:t>
      </w:r>
      <w:r w:rsidR="00311F91">
        <w:rPr>
          <w:rFonts w:ascii="Times New Roman" w:hAnsi="Times New Roman"/>
          <w:sz w:val="24"/>
          <w:szCs w:val="24"/>
        </w:rPr>
        <w:t xml:space="preserve"> in country </w:t>
      </w:r>
      <w:r w:rsidR="00311F91" w:rsidRPr="00311F91">
        <w:rPr>
          <w:rFonts w:ascii="Times New Roman" w:hAnsi="Times New Roman"/>
          <w:i/>
          <w:sz w:val="24"/>
          <w:szCs w:val="24"/>
        </w:rPr>
        <w:t>c</w:t>
      </w:r>
      <w:r>
        <w:rPr>
          <w:rFonts w:ascii="Times New Roman" w:hAnsi="Times New Roman"/>
          <w:sz w:val="24"/>
          <w:szCs w:val="24"/>
        </w:rPr>
        <w:t xml:space="preserve">), while the right-hand term is the </w:t>
      </w:r>
      <w:r w:rsidR="00311F91">
        <w:rPr>
          <w:rFonts w:ascii="Times New Roman" w:hAnsi="Times New Roman"/>
          <w:sz w:val="24"/>
          <w:szCs w:val="24"/>
        </w:rPr>
        <w:t xml:space="preserve">mean </w:t>
      </w:r>
      <w:r>
        <w:rPr>
          <w:rFonts w:ascii="Times New Roman" w:hAnsi="Times New Roman"/>
          <w:sz w:val="24"/>
          <w:szCs w:val="24"/>
        </w:rPr>
        <w:t xml:space="preserve">ex-ante forecast revision. </w:t>
      </w:r>
      <w:r w:rsidR="008E3BCA">
        <w:rPr>
          <w:rFonts w:ascii="Times New Roman" w:hAnsi="Times New Roman"/>
          <w:sz w:val="24"/>
          <w:szCs w:val="24"/>
        </w:rPr>
        <w:t xml:space="preserve">In estimating (3), we include </w:t>
      </w:r>
      <w:r w:rsidR="00621F98">
        <w:rPr>
          <w:rFonts w:ascii="Times New Roman" w:hAnsi="Times New Roman"/>
          <w:sz w:val="24"/>
          <w:szCs w:val="24"/>
        </w:rPr>
        <w:t>f</w:t>
      </w:r>
      <w:r w:rsidR="008E3BCA">
        <w:rPr>
          <w:rFonts w:ascii="Times New Roman" w:hAnsi="Times New Roman"/>
          <w:sz w:val="24"/>
          <w:szCs w:val="24"/>
        </w:rPr>
        <w:t xml:space="preserve">orecasts </w:t>
      </w:r>
      <w:r w:rsidR="00621F98">
        <w:rPr>
          <w:rFonts w:ascii="Times New Roman" w:hAnsi="Times New Roman"/>
          <w:sz w:val="24"/>
          <w:szCs w:val="24"/>
        </w:rPr>
        <w:t xml:space="preserve">at all </w:t>
      </w:r>
      <w:r w:rsidR="00045D8D">
        <w:rPr>
          <w:rFonts w:ascii="Times New Roman" w:hAnsi="Times New Roman"/>
          <w:sz w:val="24"/>
          <w:szCs w:val="24"/>
        </w:rPr>
        <w:t xml:space="preserve">available </w:t>
      </w:r>
      <w:r w:rsidR="00621F98">
        <w:rPr>
          <w:rFonts w:ascii="Times New Roman" w:hAnsi="Times New Roman"/>
          <w:sz w:val="24"/>
          <w:szCs w:val="24"/>
        </w:rPr>
        <w:t xml:space="preserve">horizons </w:t>
      </w:r>
      <m:oMath>
        <m:r>
          <w:rPr>
            <w:rFonts w:ascii="Cambria Math" w:hAnsi="Cambria Math"/>
            <w:sz w:val="22"/>
            <w:szCs w:val="22"/>
          </w:rPr>
          <m:t xml:space="preserve">12 </m:t>
        </m:r>
        <m:r>
          <w:rPr>
            <w:rFonts w:ascii="Cambria Math" w:eastAsiaTheme="minorEastAsia" w:hAnsi="Cambria Math"/>
            <w:sz w:val="22"/>
            <w:szCs w:val="22"/>
          </w:rPr>
          <m:t>&lt;h&lt;</m:t>
        </m:r>
        <m:r>
          <w:rPr>
            <w:rFonts w:ascii="Cambria Math" w:eastAsiaTheme="minorEastAsia" w:hAnsi="Cambria Math"/>
            <w:sz w:val="22"/>
            <w:szCs w:val="22"/>
          </w:rPr>
          <m:t xml:space="preserve">24 </m:t>
        </m:r>
      </m:oMath>
      <w:r w:rsidR="008E3BCA">
        <w:rPr>
          <w:rFonts w:ascii="Times New Roman" w:hAnsi="Times New Roman"/>
          <w:sz w:val="24"/>
          <w:szCs w:val="24"/>
        </w:rPr>
        <w:t>for the next calendar year</w:t>
      </w:r>
      <w:r w:rsidR="00621F98">
        <w:rPr>
          <w:rFonts w:ascii="Times New Roman" w:hAnsi="Times New Roman"/>
          <w:sz w:val="24"/>
          <w:szCs w:val="24"/>
        </w:rPr>
        <w:t>.</w:t>
      </w:r>
      <w:r w:rsidR="008E3BCA">
        <w:rPr>
          <w:rFonts w:ascii="Times New Roman" w:hAnsi="Times New Roman"/>
          <w:sz w:val="24"/>
          <w:szCs w:val="24"/>
        </w:rPr>
        <w:t xml:space="preserve"> </w:t>
      </w:r>
      <w:proofErr w:type="spellStart"/>
      <w:r>
        <w:rPr>
          <w:rFonts w:ascii="Times New Roman" w:hAnsi="Times New Roman"/>
          <w:sz w:val="24"/>
          <w:szCs w:val="24"/>
        </w:rPr>
        <w:t>Coibion</w:t>
      </w:r>
      <w:proofErr w:type="spellEnd"/>
      <w:r>
        <w:rPr>
          <w:rFonts w:ascii="Times New Roman" w:hAnsi="Times New Roman"/>
          <w:sz w:val="24"/>
          <w:szCs w:val="24"/>
        </w:rPr>
        <w:t xml:space="preserve"> and </w:t>
      </w:r>
      <w:proofErr w:type="spellStart"/>
      <w:r>
        <w:rPr>
          <w:rFonts w:ascii="Times New Roman" w:hAnsi="Times New Roman"/>
          <w:sz w:val="24"/>
          <w:szCs w:val="24"/>
        </w:rPr>
        <w:t>Gorodnichenko</w:t>
      </w:r>
      <w:proofErr w:type="spellEnd"/>
      <w:r>
        <w:rPr>
          <w:rFonts w:ascii="Times New Roman" w:hAnsi="Times New Roman"/>
          <w:sz w:val="24"/>
          <w:szCs w:val="24"/>
        </w:rPr>
        <w:t xml:space="preserve"> (2015) show that the coefficient </w:t>
      </w:r>
      <m:oMath>
        <m:r>
          <w:rPr>
            <w:rFonts w:ascii="Cambria Math" w:hAnsi="Cambria Math"/>
            <w:sz w:val="22"/>
            <w:szCs w:val="22"/>
          </w:rPr>
          <m:t>β</m:t>
        </m:r>
      </m:oMath>
      <w:r>
        <w:rPr>
          <w:rFonts w:ascii="Times New Roman" w:hAnsi="Times New Roman"/>
          <w:sz w:val="24"/>
          <w:szCs w:val="24"/>
        </w:rPr>
        <w:t xml:space="preserve"> on the forecast revision </w:t>
      </w:r>
      <w:r w:rsidR="00D95469">
        <w:rPr>
          <w:rFonts w:ascii="Times New Roman" w:hAnsi="Times New Roman"/>
          <w:sz w:val="24"/>
          <w:szCs w:val="24"/>
        </w:rPr>
        <w:t xml:space="preserve">term </w:t>
      </w:r>
      <w:r>
        <w:rPr>
          <w:rFonts w:ascii="Times New Roman" w:hAnsi="Times New Roman"/>
          <w:sz w:val="24"/>
          <w:szCs w:val="24"/>
        </w:rPr>
        <w:t xml:space="preserve">can be written </w:t>
      </w:r>
      <w:proofErr w:type="gramStart"/>
      <w:r>
        <w:rPr>
          <w:rFonts w:ascii="Times New Roman" w:hAnsi="Times New Roman"/>
          <w:sz w:val="24"/>
          <w:szCs w:val="24"/>
        </w:rPr>
        <w:t xml:space="preserve">as </w:t>
      </w:r>
      <w:proofErr w:type="gramEnd"/>
      <m:oMath>
        <m:f>
          <m:fPr>
            <m:ctrlPr>
              <w:rPr>
                <w:rFonts w:ascii="Cambria Math" w:hAnsi="Cambria Math"/>
                <w:i/>
                <w:sz w:val="24"/>
                <w:szCs w:val="24"/>
              </w:rPr>
            </m:ctrlPr>
          </m:fPr>
          <m:num>
            <m:r>
              <w:rPr>
                <w:rFonts w:ascii="Cambria Math" w:hAnsi="Cambria Math"/>
                <w:sz w:val="24"/>
                <w:szCs w:val="24"/>
              </w:rPr>
              <m:t>λ</m:t>
            </m:r>
          </m:num>
          <m:den>
            <m:r>
              <w:rPr>
                <w:rFonts w:ascii="Cambria Math" w:hAnsi="Cambria Math"/>
                <w:sz w:val="24"/>
                <w:szCs w:val="24"/>
              </w:rPr>
              <m:t>1-λ</m:t>
            </m:r>
          </m:den>
        </m:f>
      </m:oMath>
      <w:r w:rsidR="00311F91">
        <w:rPr>
          <w:rFonts w:ascii="Times New Roman" w:hAnsi="Times New Roman"/>
          <w:sz w:val="24"/>
          <w:szCs w:val="24"/>
        </w:rPr>
        <w:t xml:space="preserve">, </w:t>
      </w:r>
      <w:r w:rsidR="00D95469">
        <w:rPr>
          <w:rFonts w:ascii="Times New Roman" w:hAnsi="Times New Roman"/>
          <w:sz w:val="24"/>
          <w:szCs w:val="24"/>
        </w:rPr>
        <w:t>where</w:t>
      </w:r>
      <w:r w:rsidR="00311F91">
        <w:rPr>
          <w:rFonts w:ascii="Times New Roman" w:hAnsi="Times New Roman"/>
          <w:sz w:val="24"/>
          <w:szCs w:val="24"/>
        </w:rPr>
        <w:t xml:space="preserve"> </w:t>
      </w:r>
      <m:oMath>
        <m:r>
          <w:rPr>
            <w:rFonts w:ascii="Cambria Math" w:hAnsi="Cambria Math"/>
            <w:sz w:val="24"/>
            <w:szCs w:val="24"/>
          </w:rPr>
          <m:t>λ</m:t>
        </m:r>
      </m:oMath>
      <w:r w:rsidR="00D95469">
        <w:rPr>
          <w:rFonts w:ascii="Times New Roman" w:hAnsi="Times New Roman"/>
          <w:sz w:val="24"/>
          <w:szCs w:val="24"/>
        </w:rPr>
        <w:t xml:space="preserve"> is the degree of information rigidity. When there are no information frictions</w:t>
      </w:r>
      <w:proofErr w:type="gramStart"/>
      <w:r w:rsidR="00D95469">
        <w:rPr>
          <w:rFonts w:ascii="Times New Roman" w:hAnsi="Times New Roman"/>
          <w:sz w:val="24"/>
          <w:szCs w:val="24"/>
        </w:rPr>
        <w:t xml:space="preserve">, </w:t>
      </w:r>
      <w:proofErr w:type="gramEnd"/>
      <m:oMath>
        <m:r>
          <w:rPr>
            <w:rFonts w:ascii="Cambria Math" w:hAnsi="Cambria Math"/>
            <w:sz w:val="22"/>
            <w:szCs w:val="22"/>
          </w:rPr>
          <m:t>λ=0</m:t>
        </m:r>
      </m:oMath>
      <w:r w:rsidR="00D95469" w:rsidRPr="00C31D76">
        <w:rPr>
          <w:rFonts w:ascii="Times New Roman" w:hAnsi="Times New Roman"/>
          <w:sz w:val="22"/>
          <w:szCs w:val="22"/>
        </w:rPr>
        <w:t>.</w:t>
      </w:r>
      <w:r w:rsidR="00D95469">
        <w:rPr>
          <w:rFonts w:ascii="Times New Roman" w:hAnsi="Times New Roman"/>
          <w:sz w:val="24"/>
          <w:szCs w:val="24"/>
        </w:rPr>
        <w:t xml:space="preserve"> In such a case, the forecast error cannot be predicted using information dated </w:t>
      </w:r>
      <w:r w:rsidR="00D95469" w:rsidRPr="00D95469">
        <w:rPr>
          <w:rFonts w:ascii="Times New Roman" w:hAnsi="Times New Roman"/>
          <w:i/>
          <w:sz w:val="24"/>
          <w:szCs w:val="24"/>
        </w:rPr>
        <w:t>t</w:t>
      </w:r>
      <w:r w:rsidR="00D95469">
        <w:rPr>
          <w:rFonts w:ascii="Times New Roman" w:hAnsi="Times New Roman"/>
          <w:sz w:val="24"/>
          <w:szCs w:val="24"/>
        </w:rPr>
        <w:t xml:space="preserve"> or earlier.</w:t>
      </w:r>
    </w:p>
    <w:p w14:paraId="78EB6856" w14:textId="77777777" w:rsidR="00E9678F" w:rsidRDefault="00E9678F" w:rsidP="008F7ED9">
      <w:pPr>
        <w:pStyle w:val="Paragraph"/>
        <w:spacing w:line="480" w:lineRule="auto"/>
        <w:rPr>
          <w:rFonts w:ascii="Times New Roman" w:hAnsi="Times New Roman"/>
          <w:sz w:val="24"/>
          <w:szCs w:val="24"/>
        </w:rPr>
      </w:pPr>
      <w:r>
        <w:rPr>
          <w:rFonts w:ascii="Times New Roman" w:hAnsi="Times New Roman"/>
          <w:sz w:val="24"/>
          <w:szCs w:val="24"/>
        </w:rPr>
        <w:t>[Table 2 around here]</w:t>
      </w:r>
    </w:p>
    <w:p w14:paraId="7A0EB0D6" w14:textId="07C2EA27" w:rsidR="008F7ED9" w:rsidRDefault="00315EAD" w:rsidP="008F7ED9">
      <w:pPr>
        <w:pStyle w:val="Paragraph"/>
        <w:spacing w:line="480" w:lineRule="auto"/>
        <w:rPr>
          <w:rFonts w:ascii="Times New Roman" w:hAnsi="Times New Roman"/>
          <w:sz w:val="24"/>
          <w:szCs w:val="24"/>
        </w:rPr>
      </w:pPr>
      <w:r>
        <w:rPr>
          <w:rFonts w:ascii="Times New Roman" w:hAnsi="Times New Roman"/>
          <w:sz w:val="24"/>
          <w:szCs w:val="24"/>
        </w:rPr>
        <w:t>We find that t</w:t>
      </w:r>
      <w:r w:rsidR="00685660">
        <w:rPr>
          <w:rFonts w:ascii="Times New Roman" w:hAnsi="Times New Roman"/>
          <w:sz w:val="24"/>
          <w:szCs w:val="24"/>
        </w:rPr>
        <w:t xml:space="preserve">he degree of information rigidity depends on the inflation environment. </w:t>
      </w:r>
      <w:r w:rsidR="008F7ED9">
        <w:rPr>
          <w:rFonts w:ascii="Times New Roman" w:hAnsi="Times New Roman"/>
          <w:sz w:val="24"/>
          <w:szCs w:val="24"/>
        </w:rPr>
        <w:t>Perhaps surprisingly</w:t>
      </w:r>
      <w:r w:rsidR="00597EFE">
        <w:rPr>
          <w:rFonts w:ascii="Times New Roman" w:hAnsi="Times New Roman"/>
          <w:sz w:val="24"/>
          <w:szCs w:val="24"/>
        </w:rPr>
        <w:t xml:space="preserve"> given previous findings on the presence of information rigidities (</w:t>
      </w:r>
      <w:proofErr w:type="spellStart"/>
      <w:r w:rsidR="00597EFE">
        <w:rPr>
          <w:rFonts w:ascii="Times New Roman" w:hAnsi="Times New Roman"/>
          <w:sz w:val="24"/>
          <w:szCs w:val="24"/>
        </w:rPr>
        <w:t>eg</w:t>
      </w:r>
      <w:proofErr w:type="spellEnd"/>
      <w:r w:rsidR="00597EFE">
        <w:rPr>
          <w:rFonts w:ascii="Times New Roman" w:hAnsi="Times New Roman"/>
          <w:sz w:val="24"/>
          <w:szCs w:val="24"/>
        </w:rPr>
        <w:t xml:space="preserve"> </w:t>
      </w:r>
      <w:proofErr w:type="spellStart"/>
      <w:r w:rsidR="00597EFE">
        <w:rPr>
          <w:rFonts w:ascii="Times New Roman" w:hAnsi="Times New Roman"/>
          <w:sz w:val="24"/>
          <w:szCs w:val="24"/>
        </w:rPr>
        <w:lastRenderedPageBreak/>
        <w:t>Coibion</w:t>
      </w:r>
      <w:proofErr w:type="spellEnd"/>
      <w:r w:rsidR="00597EFE">
        <w:rPr>
          <w:rFonts w:ascii="Times New Roman" w:hAnsi="Times New Roman"/>
          <w:sz w:val="24"/>
          <w:szCs w:val="24"/>
        </w:rPr>
        <w:t xml:space="preserve"> and </w:t>
      </w:r>
      <w:proofErr w:type="spellStart"/>
      <w:r w:rsidR="00597EFE">
        <w:rPr>
          <w:rFonts w:ascii="Times New Roman" w:hAnsi="Times New Roman"/>
          <w:sz w:val="24"/>
          <w:szCs w:val="24"/>
        </w:rPr>
        <w:t>Gorodnichenko</w:t>
      </w:r>
      <w:proofErr w:type="spellEnd"/>
      <w:r w:rsidR="00597EFE">
        <w:rPr>
          <w:rFonts w:ascii="Times New Roman" w:hAnsi="Times New Roman"/>
          <w:sz w:val="24"/>
          <w:szCs w:val="24"/>
        </w:rPr>
        <w:t xml:space="preserve"> (2015))</w:t>
      </w:r>
      <w:r w:rsidR="008F7ED9">
        <w:rPr>
          <w:rFonts w:ascii="Times New Roman" w:hAnsi="Times New Roman"/>
          <w:sz w:val="24"/>
          <w:szCs w:val="24"/>
        </w:rPr>
        <w:t>, panel estimates of (</w:t>
      </w:r>
      <w:r w:rsidR="00571164">
        <w:rPr>
          <w:rFonts w:ascii="Times New Roman" w:hAnsi="Times New Roman"/>
          <w:sz w:val="24"/>
          <w:szCs w:val="24"/>
        </w:rPr>
        <w:t>3</w:t>
      </w:r>
      <w:r w:rsidR="008F7ED9">
        <w:rPr>
          <w:rFonts w:ascii="Times New Roman" w:hAnsi="Times New Roman"/>
          <w:sz w:val="24"/>
          <w:szCs w:val="24"/>
        </w:rPr>
        <w:t xml:space="preserve">) yield a coefficient estimate of </w:t>
      </w:r>
      <m:oMath>
        <m:r>
          <w:rPr>
            <w:rFonts w:ascii="Cambria Math" w:hAnsi="Cambria Math"/>
            <w:sz w:val="22"/>
            <w:szCs w:val="22"/>
          </w:rPr>
          <m:t>β</m:t>
        </m:r>
      </m:oMath>
      <w:r w:rsidR="008F7ED9">
        <w:rPr>
          <w:rFonts w:ascii="Times New Roman" w:hAnsi="Times New Roman"/>
          <w:sz w:val="24"/>
          <w:szCs w:val="24"/>
        </w:rPr>
        <w:t xml:space="preserve"> that is not significantly different from zero (Co</w:t>
      </w:r>
      <w:proofErr w:type="spellStart"/>
      <w:r w:rsidR="00E9678F">
        <w:rPr>
          <w:rFonts w:ascii="Times New Roman" w:hAnsi="Times New Roman"/>
          <w:sz w:val="24"/>
          <w:szCs w:val="24"/>
        </w:rPr>
        <w:t>lumn</w:t>
      </w:r>
      <w:proofErr w:type="spellEnd"/>
      <w:r w:rsidR="00E9678F">
        <w:rPr>
          <w:rFonts w:ascii="Times New Roman" w:hAnsi="Times New Roman"/>
          <w:sz w:val="24"/>
          <w:szCs w:val="24"/>
        </w:rPr>
        <w:t xml:space="preserve"> (1) of Table 2</w:t>
      </w:r>
      <w:r w:rsidR="008F7ED9">
        <w:rPr>
          <w:rFonts w:ascii="Times New Roman" w:hAnsi="Times New Roman"/>
          <w:sz w:val="24"/>
          <w:szCs w:val="24"/>
        </w:rPr>
        <w:t xml:space="preserve">). However, this result of insignificant information rigidity obtains because the sample contains </w:t>
      </w:r>
      <w:r w:rsidR="00560E88">
        <w:rPr>
          <w:rFonts w:ascii="Times New Roman" w:hAnsi="Times New Roman"/>
          <w:sz w:val="24"/>
          <w:szCs w:val="24"/>
        </w:rPr>
        <w:t xml:space="preserve">various </w:t>
      </w:r>
      <w:r w:rsidR="008F7ED9">
        <w:rPr>
          <w:rFonts w:ascii="Times New Roman" w:hAnsi="Times New Roman"/>
          <w:sz w:val="24"/>
          <w:szCs w:val="24"/>
        </w:rPr>
        <w:t xml:space="preserve">different inflation environments. </w:t>
      </w:r>
      <w:r w:rsidR="00BA4626">
        <w:rPr>
          <w:rFonts w:ascii="Times New Roman" w:hAnsi="Times New Roman"/>
          <w:sz w:val="24"/>
          <w:szCs w:val="24"/>
        </w:rPr>
        <w:t xml:space="preserve">Indeed, </w:t>
      </w:r>
      <w:r w:rsidR="008215A8">
        <w:rPr>
          <w:rFonts w:ascii="Times New Roman" w:hAnsi="Times New Roman"/>
          <w:sz w:val="24"/>
          <w:szCs w:val="24"/>
        </w:rPr>
        <w:t xml:space="preserve">when we </w:t>
      </w:r>
      <w:r w:rsidR="00BA4626">
        <w:rPr>
          <w:rFonts w:ascii="Times New Roman" w:hAnsi="Times New Roman"/>
          <w:sz w:val="24"/>
          <w:szCs w:val="24"/>
        </w:rPr>
        <w:t>e</w:t>
      </w:r>
      <w:r w:rsidR="008215A8">
        <w:rPr>
          <w:rFonts w:ascii="Times New Roman" w:hAnsi="Times New Roman"/>
          <w:sz w:val="24"/>
          <w:szCs w:val="24"/>
        </w:rPr>
        <w:t>stimate</w:t>
      </w:r>
      <w:r w:rsidR="008F7ED9">
        <w:rPr>
          <w:rFonts w:ascii="Times New Roman" w:hAnsi="Times New Roman"/>
          <w:sz w:val="24"/>
          <w:szCs w:val="24"/>
        </w:rPr>
        <w:t xml:space="preserve"> (</w:t>
      </w:r>
      <w:r w:rsidR="008215A8">
        <w:rPr>
          <w:rFonts w:ascii="Times New Roman" w:hAnsi="Times New Roman"/>
          <w:sz w:val="24"/>
          <w:szCs w:val="24"/>
        </w:rPr>
        <w:t>3</w:t>
      </w:r>
      <w:r w:rsidR="008F7ED9">
        <w:rPr>
          <w:rFonts w:ascii="Times New Roman" w:hAnsi="Times New Roman"/>
          <w:sz w:val="24"/>
          <w:szCs w:val="24"/>
        </w:rPr>
        <w:t>)</w:t>
      </w:r>
      <w:r w:rsidR="008215A8">
        <w:rPr>
          <w:rFonts w:ascii="Times New Roman" w:hAnsi="Times New Roman"/>
          <w:sz w:val="24"/>
          <w:szCs w:val="24"/>
        </w:rPr>
        <w:t xml:space="preserve"> and include</w:t>
      </w:r>
      <w:r w:rsidR="008F7ED9">
        <w:rPr>
          <w:rFonts w:ascii="Times New Roman" w:hAnsi="Times New Roman"/>
          <w:sz w:val="24"/>
          <w:szCs w:val="24"/>
        </w:rPr>
        <w:t xml:space="preserve"> </w:t>
      </w:r>
      <w:r w:rsidR="00621F98">
        <w:rPr>
          <w:rFonts w:ascii="Times New Roman" w:hAnsi="Times New Roman"/>
          <w:sz w:val="24"/>
          <w:szCs w:val="24"/>
        </w:rPr>
        <w:t>i</w:t>
      </w:r>
      <w:r w:rsidR="008F7ED9">
        <w:rPr>
          <w:rFonts w:ascii="Times New Roman" w:hAnsi="Times New Roman"/>
          <w:sz w:val="24"/>
          <w:szCs w:val="24"/>
        </w:rPr>
        <w:t xml:space="preserve">nteraction terms of </w:t>
      </w:r>
      <m:oMath>
        <m:r>
          <w:rPr>
            <w:rFonts w:ascii="Cambria Math" w:hAnsi="Cambria Math"/>
            <w:sz w:val="22"/>
            <w:szCs w:val="22"/>
          </w:rPr>
          <m:t>β</m:t>
        </m:r>
      </m:oMath>
      <w:r w:rsidR="008F7ED9">
        <w:rPr>
          <w:rFonts w:ascii="Times New Roman" w:hAnsi="Times New Roman"/>
          <w:sz w:val="24"/>
          <w:szCs w:val="24"/>
        </w:rPr>
        <w:t xml:space="preserve"> with the deflation and high inflation dummy variables introduced earlier, as well as </w:t>
      </w:r>
      <w:r w:rsidR="008215A8">
        <w:rPr>
          <w:rFonts w:ascii="Times New Roman" w:hAnsi="Times New Roman"/>
          <w:sz w:val="24"/>
          <w:szCs w:val="24"/>
        </w:rPr>
        <w:t>an interaction</w:t>
      </w:r>
      <w:r w:rsidR="00626C8C">
        <w:rPr>
          <w:rFonts w:ascii="Times New Roman" w:hAnsi="Times New Roman"/>
          <w:sz w:val="24"/>
          <w:szCs w:val="24"/>
        </w:rPr>
        <w:t xml:space="preserve"> </w:t>
      </w:r>
      <w:r w:rsidR="008215A8">
        <w:rPr>
          <w:rFonts w:ascii="Times New Roman" w:hAnsi="Times New Roman"/>
          <w:sz w:val="24"/>
          <w:szCs w:val="24"/>
        </w:rPr>
        <w:t xml:space="preserve">of </w:t>
      </w:r>
      <m:oMath>
        <m:r>
          <w:rPr>
            <w:rFonts w:ascii="Cambria Math" w:hAnsi="Cambria Math"/>
            <w:sz w:val="22"/>
            <w:szCs w:val="22"/>
          </w:rPr>
          <m:t>β</m:t>
        </m:r>
      </m:oMath>
      <w:r w:rsidR="008215A8">
        <w:rPr>
          <w:rFonts w:ascii="Times New Roman" w:hAnsi="Times New Roman"/>
          <w:sz w:val="24"/>
          <w:szCs w:val="24"/>
        </w:rPr>
        <w:t xml:space="preserve"> </w:t>
      </w:r>
      <w:r w:rsidR="008F7ED9">
        <w:rPr>
          <w:rFonts w:ascii="Times New Roman" w:hAnsi="Times New Roman"/>
          <w:sz w:val="24"/>
          <w:szCs w:val="24"/>
        </w:rPr>
        <w:t xml:space="preserve">with a dummy for “other” (moderately positive) inflation environments, </w:t>
      </w:r>
      <w:r w:rsidR="00626C8C">
        <w:rPr>
          <w:rFonts w:ascii="Times New Roman" w:hAnsi="Times New Roman"/>
          <w:sz w:val="24"/>
          <w:szCs w:val="24"/>
        </w:rPr>
        <w:t xml:space="preserve">we obtain </w:t>
      </w:r>
      <w:r w:rsidR="009C443A">
        <w:rPr>
          <w:rFonts w:ascii="Times New Roman" w:hAnsi="Times New Roman"/>
          <w:sz w:val="24"/>
          <w:szCs w:val="24"/>
        </w:rPr>
        <w:t>evidence of state-dependent</w:t>
      </w:r>
      <w:r w:rsidR="008F7ED9">
        <w:rPr>
          <w:rFonts w:ascii="Times New Roman" w:hAnsi="Times New Roman"/>
          <w:sz w:val="24"/>
          <w:szCs w:val="24"/>
        </w:rPr>
        <w:t xml:space="preserve"> information rigidities. In particular, Column (2) </w:t>
      </w:r>
      <w:r w:rsidR="007A1B85">
        <w:rPr>
          <w:rFonts w:ascii="Times New Roman" w:hAnsi="Times New Roman"/>
          <w:sz w:val="24"/>
          <w:szCs w:val="24"/>
        </w:rPr>
        <w:t xml:space="preserve">in Table 2 </w:t>
      </w:r>
      <w:r w:rsidR="008F7ED9">
        <w:rPr>
          <w:rFonts w:ascii="Times New Roman" w:hAnsi="Times New Roman"/>
          <w:sz w:val="24"/>
          <w:szCs w:val="24"/>
        </w:rPr>
        <w:t xml:space="preserve">shows </w:t>
      </w:r>
      <w:r w:rsidR="00597EFE">
        <w:rPr>
          <w:rFonts w:ascii="Times New Roman" w:hAnsi="Times New Roman"/>
          <w:sz w:val="24"/>
          <w:szCs w:val="24"/>
        </w:rPr>
        <w:t>statistically and economically significant</w:t>
      </w:r>
      <w:r w:rsidR="00597EFE" w:rsidDel="00597EFE">
        <w:rPr>
          <w:rFonts w:ascii="Times New Roman" w:hAnsi="Times New Roman"/>
          <w:sz w:val="24"/>
          <w:szCs w:val="24"/>
        </w:rPr>
        <w:t xml:space="preserve"> </w:t>
      </w:r>
      <w:r w:rsidR="008F7ED9">
        <w:rPr>
          <w:rFonts w:ascii="Times New Roman" w:hAnsi="Times New Roman"/>
          <w:sz w:val="24"/>
          <w:szCs w:val="24"/>
        </w:rPr>
        <w:t xml:space="preserve">information rigidity during the “other” </w:t>
      </w:r>
      <w:r w:rsidR="003F11CC">
        <w:rPr>
          <w:rFonts w:ascii="Times New Roman" w:hAnsi="Times New Roman"/>
          <w:sz w:val="24"/>
          <w:szCs w:val="24"/>
        </w:rPr>
        <w:t xml:space="preserve">inflation </w:t>
      </w:r>
      <w:r w:rsidR="008F7ED9">
        <w:rPr>
          <w:rFonts w:ascii="Times New Roman" w:hAnsi="Times New Roman"/>
          <w:sz w:val="24"/>
          <w:szCs w:val="24"/>
        </w:rPr>
        <w:t xml:space="preserve">environments, with </w:t>
      </w:r>
      <w:proofErr w:type="gramStart"/>
      <w:r w:rsidR="008F7ED9">
        <w:rPr>
          <w:rFonts w:ascii="Times New Roman" w:hAnsi="Times New Roman"/>
          <w:sz w:val="24"/>
          <w:szCs w:val="24"/>
        </w:rPr>
        <w:t>a</w:t>
      </w:r>
      <w:proofErr w:type="gramEnd"/>
      <w:r w:rsidR="008F7ED9">
        <w:rPr>
          <w:rFonts w:ascii="Times New Roman" w:hAnsi="Times New Roman"/>
          <w:sz w:val="24"/>
          <w:szCs w:val="24"/>
        </w:rPr>
        <w:t xml:space="preserve"> </w:t>
      </w:r>
      <m:oMath>
        <m:r>
          <w:rPr>
            <w:rFonts w:ascii="Cambria Math" w:hAnsi="Cambria Math"/>
            <w:sz w:val="22"/>
            <w:szCs w:val="22"/>
          </w:rPr>
          <m:t>β</m:t>
        </m:r>
      </m:oMath>
      <w:r w:rsidR="008F7ED9">
        <w:rPr>
          <w:rFonts w:ascii="Times New Roman" w:hAnsi="Times New Roman"/>
          <w:sz w:val="24"/>
          <w:szCs w:val="24"/>
        </w:rPr>
        <w:t xml:space="preserve"> estimate of </w:t>
      </w:r>
      <w:r w:rsidR="008F7ED9" w:rsidRPr="00B154B0">
        <w:rPr>
          <w:rFonts w:ascii="Times New Roman" w:hAnsi="Times New Roman"/>
          <w:sz w:val="24"/>
          <w:szCs w:val="24"/>
        </w:rPr>
        <w:t>0.97</w:t>
      </w:r>
      <w:r w:rsidR="008F7ED9">
        <w:rPr>
          <w:rFonts w:ascii="Times New Roman" w:hAnsi="Times New Roman"/>
          <w:sz w:val="24"/>
          <w:szCs w:val="24"/>
        </w:rPr>
        <w:t>. However, information frictions do not appear to be present during deflation and high inflation environments. Intuitively, forecasters are updating their information sets more frequently during more turbulent</w:t>
      </w:r>
      <w:r w:rsidR="00052C9F">
        <w:rPr>
          <w:rFonts w:ascii="Times New Roman" w:hAnsi="Times New Roman"/>
          <w:sz w:val="24"/>
          <w:szCs w:val="24"/>
        </w:rPr>
        <w:t xml:space="preserve"> </w:t>
      </w:r>
      <w:r w:rsidR="008F7ED9">
        <w:rPr>
          <w:rFonts w:ascii="Times New Roman" w:hAnsi="Times New Roman"/>
          <w:sz w:val="24"/>
          <w:szCs w:val="24"/>
        </w:rPr>
        <w:t xml:space="preserve">times. As information frictions do not account for the observed disagreement, the </w:t>
      </w:r>
      <w:r w:rsidR="00E81FFE">
        <w:rPr>
          <w:rFonts w:ascii="Times New Roman" w:hAnsi="Times New Roman"/>
          <w:sz w:val="24"/>
          <w:szCs w:val="24"/>
        </w:rPr>
        <w:t>large</w:t>
      </w:r>
      <w:r w:rsidR="00114EBA">
        <w:rPr>
          <w:rFonts w:ascii="Times New Roman" w:hAnsi="Times New Roman"/>
          <w:sz w:val="24"/>
          <w:szCs w:val="24"/>
        </w:rPr>
        <w:t xml:space="preserve"> </w:t>
      </w:r>
      <w:r w:rsidR="008F7ED9">
        <w:rPr>
          <w:rFonts w:ascii="Times New Roman" w:hAnsi="Times New Roman"/>
          <w:sz w:val="24"/>
          <w:szCs w:val="24"/>
        </w:rPr>
        <w:t xml:space="preserve">rise in </w:t>
      </w:r>
      <w:r w:rsidR="00D06FB6">
        <w:rPr>
          <w:rFonts w:ascii="Times New Roman" w:hAnsi="Times New Roman"/>
          <w:sz w:val="24"/>
          <w:szCs w:val="24"/>
        </w:rPr>
        <w:t xml:space="preserve">forecast </w:t>
      </w:r>
      <w:r w:rsidR="008F7ED9">
        <w:rPr>
          <w:rFonts w:ascii="Times New Roman" w:hAnsi="Times New Roman"/>
          <w:sz w:val="24"/>
          <w:szCs w:val="24"/>
        </w:rPr>
        <w:t>disagreement during deflations</w:t>
      </w:r>
      <w:r w:rsidR="00072245">
        <w:rPr>
          <w:rFonts w:ascii="Times New Roman" w:hAnsi="Times New Roman"/>
          <w:sz w:val="24"/>
          <w:szCs w:val="24"/>
        </w:rPr>
        <w:t xml:space="preserve"> </w:t>
      </w:r>
      <w:r w:rsidR="00EC2DCB">
        <w:rPr>
          <w:rFonts w:ascii="Times New Roman" w:hAnsi="Times New Roman"/>
          <w:sz w:val="24"/>
          <w:szCs w:val="24"/>
        </w:rPr>
        <w:t>appear</w:t>
      </w:r>
      <w:r w:rsidR="00951CB1">
        <w:rPr>
          <w:rFonts w:ascii="Times New Roman" w:hAnsi="Times New Roman"/>
          <w:sz w:val="24"/>
          <w:szCs w:val="24"/>
        </w:rPr>
        <w:t>s</w:t>
      </w:r>
      <w:r w:rsidR="00EC2DCB">
        <w:rPr>
          <w:rFonts w:ascii="Times New Roman" w:hAnsi="Times New Roman"/>
          <w:sz w:val="24"/>
          <w:szCs w:val="24"/>
        </w:rPr>
        <w:t xml:space="preserve"> to be driven by other factors</w:t>
      </w:r>
      <w:r w:rsidR="008F7ED9">
        <w:rPr>
          <w:rFonts w:ascii="Times New Roman" w:hAnsi="Times New Roman"/>
          <w:sz w:val="24"/>
          <w:szCs w:val="24"/>
        </w:rPr>
        <w:t>.</w:t>
      </w:r>
    </w:p>
    <w:p w14:paraId="067032F8" w14:textId="36BEC082" w:rsidR="007B1F16" w:rsidRPr="00731C8B" w:rsidRDefault="007B1F16" w:rsidP="007B1F16">
      <w:pPr>
        <w:pStyle w:val="Heading2"/>
        <w:spacing w:line="480" w:lineRule="auto"/>
        <w:rPr>
          <w:rFonts w:ascii="Times New Roman" w:hAnsi="Times New Roman"/>
          <w:color w:val="auto"/>
          <w:szCs w:val="24"/>
        </w:rPr>
      </w:pPr>
      <w:r w:rsidRPr="00731C8B">
        <w:rPr>
          <w:rFonts w:ascii="Times New Roman" w:hAnsi="Times New Roman"/>
          <w:color w:val="auto"/>
          <w:szCs w:val="24"/>
        </w:rPr>
        <w:t>4.</w:t>
      </w:r>
      <w:r>
        <w:rPr>
          <w:rFonts w:ascii="Times New Roman" w:hAnsi="Times New Roman"/>
          <w:color w:val="auto"/>
          <w:szCs w:val="24"/>
        </w:rPr>
        <w:t>2</w:t>
      </w:r>
      <w:r w:rsidRPr="00731C8B">
        <w:rPr>
          <w:rFonts w:ascii="Times New Roman" w:hAnsi="Times New Roman"/>
          <w:color w:val="auto"/>
          <w:szCs w:val="24"/>
        </w:rPr>
        <w:t>.</w:t>
      </w:r>
      <w:r w:rsidRPr="00731C8B">
        <w:rPr>
          <w:rFonts w:ascii="Times New Roman" w:hAnsi="Times New Roman"/>
          <w:color w:val="auto"/>
          <w:szCs w:val="24"/>
        </w:rPr>
        <w:tab/>
      </w:r>
      <w:proofErr w:type="spellStart"/>
      <w:r>
        <w:rPr>
          <w:rFonts w:ascii="Times New Roman" w:hAnsi="Times New Roman"/>
          <w:color w:val="auto"/>
          <w:szCs w:val="24"/>
        </w:rPr>
        <w:t>Heterogenous</w:t>
      </w:r>
      <w:proofErr w:type="spellEnd"/>
      <w:r>
        <w:rPr>
          <w:rFonts w:ascii="Times New Roman" w:hAnsi="Times New Roman"/>
          <w:color w:val="auto"/>
          <w:szCs w:val="24"/>
        </w:rPr>
        <w:t xml:space="preserve"> expectations formation</w:t>
      </w:r>
      <w:r w:rsidRPr="00731C8B">
        <w:rPr>
          <w:rFonts w:ascii="Times New Roman" w:hAnsi="Times New Roman"/>
          <w:color w:val="auto"/>
          <w:szCs w:val="24"/>
        </w:rPr>
        <w:t xml:space="preserve"> </w:t>
      </w:r>
    </w:p>
    <w:p w14:paraId="311D7D30" w14:textId="43D6D8D0" w:rsidR="00401CD1" w:rsidRPr="00731C8B" w:rsidRDefault="00792B36" w:rsidP="006B24EA">
      <w:pPr>
        <w:pStyle w:val="Paragraph"/>
        <w:spacing w:line="480" w:lineRule="auto"/>
        <w:rPr>
          <w:rFonts w:ascii="Times New Roman" w:hAnsi="Times New Roman"/>
          <w:sz w:val="24"/>
          <w:szCs w:val="24"/>
        </w:rPr>
      </w:pPr>
      <w:r>
        <w:rPr>
          <w:rFonts w:ascii="Times New Roman" w:hAnsi="Times New Roman"/>
          <w:sz w:val="24"/>
          <w:szCs w:val="24"/>
        </w:rPr>
        <w:t xml:space="preserve">To what extent could </w:t>
      </w:r>
      <w:r w:rsidR="00E640DD">
        <w:rPr>
          <w:rFonts w:ascii="Times New Roman" w:hAnsi="Times New Roman"/>
          <w:sz w:val="24"/>
          <w:szCs w:val="24"/>
        </w:rPr>
        <w:t xml:space="preserve">forecasters’ </w:t>
      </w:r>
      <w:r w:rsidR="002042B2">
        <w:rPr>
          <w:rFonts w:ascii="Times New Roman" w:hAnsi="Times New Roman"/>
          <w:sz w:val="24"/>
          <w:szCs w:val="24"/>
        </w:rPr>
        <w:t xml:space="preserve">heterogeneous views about the inflation process </w:t>
      </w:r>
      <w:r w:rsidR="00E640DD">
        <w:rPr>
          <w:rFonts w:ascii="Times New Roman" w:hAnsi="Times New Roman"/>
          <w:sz w:val="24"/>
          <w:szCs w:val="24"/>
        </w:rPr>
        <w:t xml:space="preserve">during deflations </w:t>
      </w:r>
      <w:r>
        <w:rPr>
          <w:rFonts w:ascii="Times New Roman" w:hAnsi="Times New Roman"/>
          <w:sz w:val="24"/>
          <w:szCs w:val="24"/>
        </w:rPr>
        <w:t>explain our results?</w:t>
      </w:r>
      <w:r w:rsidR="002042B2">
        <w:rPr>
          <w:rFonts w:ascii="Times New Roman" w:hAnsi="Times New Roman"/>
          <w:sz w:val="24"/>
          <w:szCs w:val="24"/>
        </w:rPr>
        <w:t xml:space="preserve"> To </w:t>
      </w:r>
      <w:r>
        <w:rPr>
          <w:rFonts w:ascii="Times New Roman" w:hAnsi="Times New Roman"/>
          <w:sz w:val="24"/>
          <w:szCs w:val="24"/>
        </w:rPr>
        <w:t>investigate</w:t>
      </w:r>
      <w:r w:rsidR="002042B2">
        <w:rPr>
          <w:rFonts w:ascii="Times New Roman" w:hAnsi="Times New Roman"/>
          <w:sz w:val="24"/>
          <w:szCs w:val="24"/>
        </w:rPr>
        <w:t xml:space="preserve"> this, we focus on the tails </w:t>
      </w:r>
      <w:r w:rsidR="00401CD1" w:rsidRPr="00731C8B">
        <w:rPr>
          <w:rFonts w:ascii="Times New Roman" w:hAnsi="Times New Roman"/>
          <w:sz w:val="24"/>
          <w:szCs w:val="24"/>
        </w:rPr>
        <w:t xml:space="preserve">of the </w:t>
      </w:r>
      <w:r w:rsidR="00313E64">
        <w:rPr>
          <w:rFonts w:ascii="Times New Roman" w:hAnsi="Times New Roman"/>
          <w:sz w:val="24"/>
          <w:szCs w:val="24"/>
        </w:rPr>
        <w:t xml:space="preserve">inflation </w:t>
      </w:r>
      <w:r w:rsidR="002042B2">
        <w:rPr>
          <w:rFonts w:ascii="Times New Roman" w:hAnsi="Times New Roman"/>
          <w:sz w:val="24"/>
          <w:szCs w:val="24"/>
        </w:rPr>
        <w:t xml:space="preserve">forecast </w:t>
      </w:r>
      <w:r w:rsidR="00401CD1" w:rsidRPr="00731C8B">
        <w:rPr>
          <w:rFonts w:ascii="Times New Roman" w:hAnsi="Times New Roman"/>
          <w:sz w:val="24"/>
          <w:szCs w:val="24"/>
        </w:rPr>
        <w:t xml:space="preserve">distribution. Table </w:t>
      </w:r>
      <w:r w:rsidR="007A16D4" w:rsidRPr="00731C8B">
        <w:rPr>
          <w:rFonts w:ascii="Times New Roman" w:hAnsi="Times New Roman"/>
          <w:sz w:val="24"/>
          <w:szCs w:val="24"/>
        </w:rPr>
        <w:t xml:space="preserve">3 </w:t>
      </w:r>
      <w:r w:rsidR="00401CD1" w:rsidRPr="00731C8B">
        <w:rPr>
          <w:rFonts w:ascii="Times New Roman" w:hAnsi="Times New Roman"/>
          <w:sz w:val="24"/>
          <w:szCs w:val="24"/>
        </w:rPr>
        <w:t xml:space="preserve">evaluates the </w:t>
      </w:r>
      <w:r w:rsidR="004A699B">
        <w:rPr>
          <w:rFonts w:ascii="Times New Roman" w:hAnsi="Times New Roman"/>
          <w:sz w:val="24"/>
          <w:szCs w:val="24"/>
        </w:rPr>
        <w:t>relationship</w:t>
      </w:r>
      <w:r w:rsidR="00401CD1" w:rsidRPr="00731C8B">
        <w:rPr>
          <w:rFonts w:ascii="Times New Roman" w:hAnsi="Times New Roman"/>
          <w:sz w:val="24"/>
          <w:szCs w:val="24"/>
        </w:rPr>
        <w:t xml:space="preserve"> o</w:t>
      </w:r>
      <w:r w:rsidR="00B66628">
        <w:rPr>
          <w:rFonts w:ascii="Times New Roman" w:hAnsi="Times New Roman"/>
          <w:sz w:val="24"/>
          <w:szCs w:val="24"/>
        </w:rPr>
        <w:t>f</w:t>
      </w:r>
      <w:r w:rsidR="004A699B">
        <w:rPr>
          <w:rFonts w:ascii="Times New Roman" w:hAnsi="Times New Roman"/>
          <w:sz w:val="24"/>
          <w:szCs w:val="24"/>
        </w:rPr>
        <w:t xml:space="preserve"> deflation with</w:t>
      </w:r>
      <w:r w:rsidR="00401CD1" w:rsidRPr="00731C8B">
        <w:rPr>
          <w:rFonts w:ascii="Times New Roman" w:hAnsi="Times New Roman"/>
          <w:sz w:val="24"/>
          <w:szCs w:val="24"/>
        </w:rPr>
        <w:t xml:space="preserve"> </w:t>
      </w:r>
      <w:r w:rsidR="00B66628">
        <w:rPr>
          <w:rFonts w:ascii="Times New Roman" w:hAnsi="Times New Roman"/>
          <w:sz w:val="24"/>
          <w:szCs w:val="24"/>
        </w:rPr>
        <w:t>forecasts that are in</w:t>
      </w:r>
      <w:r w:rsidR="00401CD1" w:rsidRPr="00731C8B">
        <w:rPr>
          <w:rFonts w:ascii="Times New Roman" w:hAnsi="Times New Roman"/>
          <w:sz w:val="24"/>
          <w:szCs w:val="24"/>
        </w:rPr>
        <w:t xml:space="preserve"> the left and right tails, </w:t>
      </w:r>
      <w:proofErr w:type="spellStart"/>
      <w:r w:rsidR="00401CD1" w:rsidRPr="00731C8B">
        <w:rPr>
          <w:rFonts w:ascii="Times New Roman" w:hAnsi="Times New Roman"/>
          <w:sz w:val="24"/>
          <w:szCs w:val="24"/>
        </w:rPr>
        <w:t>ie</w:t>
      </w:r>
      <w:proofErr w:type="spellEnd"/>
      <w:r w:rsidR="00401CD1" w:rsidRPr="00731C8B">
        <w:rPr>
          <w:rFonts w:ascii="Times New Roman" w:hAnsi="Times New Roman"/>
          <w:sz w:val="24"/>
          <w:szCs w:val="24"/>
        </w:rPr>
        <w:t xml:space="preserve"> </w:t>
      </w:r>
      <w:r w:rsidR="00D166B8">
        <w:rPr>
          <w:rFonts w:ascii="Times New Roman" w:hAnsi="Times New Roman"/>
          <w:sz w:val="24"/>
          <w:szCs w:val="24"/>
        </w:rPr>
        <w:t xml:space="preserve">the </w:t>
      </w:r>
      <w:r w:rsidR="00313E64">
        <w:rPr>
          <w:rFonts w:ascii="Times New Roman" w:hAnsi="Times New Roman"/>
          <w:sz w:val="24"/>
          <w:szCs w:val="24"/>
        </w:rPr>
        <w:t xml:space="preserve">dependent variables in these regressions are </w:t>
      </w:r>
      <w:r w:rsidR="00924E86">
        <w:rPr>
          <w:rFonts w:ascii="Times New Roman" w:hAnsi="Times New Roman"/>
          <w:sz w:val="24"/>
          <w:szCs w:val="24"/>
        </w:rPr>
        <w:t xml:space="preserve">level </w:t>
      </w:r>
      <w:r w:rsidR="00B66628">
        <w:rPr>
          <w:rFonts w:ascii="Times New Roman" w:hAnsi="Times New Roman"/>
          <w:sz w:val="24"/>
          <w:szCs w:val="24"/>
        </w:rPr>
        <w:t xml:space="preserve">forecasts at the </w:t>
      </w:r>
      <w:r w:rsidR="00313E64">
        <w:rPr>
          <w:rFonts w:ascii="Times New Roman" w:hAnsi="Times New Roman"/>
          <w:sz w:val="24"/>
          <w:szCs w:val="24"/>
        </w:rPr>
        <w:t>25</w:t>
      </w:r>
      <w:r w:rsidR="00401CD1" w:rsidRPr="00731C8B">
        <w:rPr>
          <w:rFonts w:ascii="Times New Roman" w:hAnsi="Times New Roman"/>
          <w:sz w:val="24"/>
          <w:szCs w:val="24"/>
        </w:rPr>
        <w:t xml:space="preserve">th and </w:t>
      </w:r>
      <w:r w:rsidR="00313E64">
        <w:rPr>
          <w:rFonts w:ascii="Times New Roman" w:hAnsi="Times New Roman"/>
          <w:sz w:val="24"/>
          <w:szCs w:val="24"/>
        </w:rPr>
        <w:t>75t</w:t>
      </w:r>
      <w:r w:rsidR="00401CD1" w:rsidRPr="00731C8B">
        <w:rPr>
          <w:rFonts w:ascii="Times New Roman" w:hAnsi="Times New Roman"/>
          <w:sz w:val="24"/>
          <w:szCs w:val="24"/>
        </w:rPr>
        <w:t xml:space="preserve">h percentiles, respectively. </w:t>
      </w:r>
      <w:r w:rsidR="0020121E">
        <w:rPr>
          <w:rFonts w:ascii="Times New Roman" w:hAnsi="Times New Roman"/>
          <w:sz w:val="24"/>
          <w:szCs w:val="24"/>
        </w:rPr>
        <w:t xml:space="preserve">Other </w:t>
      </w:r>
      <w:r w:rsidR="00440784">
        <w:rPr>
          <w:rFonts w:ascii="Times New Roman" w:hAnsi="Times New Roman"/>
          <w:sz w:val="24"/>
          <w:szCs w:val="24"/>
        </w:rPr>
        <w:t xml:space="preserve">control variables are </w:t>
      </w:r>
      <w:r w:rsidR="0020121E">
        <w:rPr>
          <w:rFonts w:ascii="Times New Roman" w:hAnsi="Times New Roman"/>
          <w:sz w:val="24"/>
          <w:szCs w:val="24"/>
        </w:rPr>
        <w:t>identical</w:t>
      </w:r>
      <w:r w:rsidR="00440784">
        <w:rPr>
          <w:rFonts w:ascii="Times New Roman" w:hAnsi="Times New Roman"/>
          <w:sz w:val="24"/>
          <w:szCs w:val="24"/>
        </w:rPr>
        <w:t xml:space="preserve"> to those used in the estimates of Equation (2). </w:t>
      </w:r>
    </w:p>
    <w:p w14:paraId="5358716E" w14:textId="77777777" w:rsidR="008C5B51" w:rsidRDefault="008C5B51" w:rsidP="008C5B51">
      <w:pPr>
        <w:pStyle w:val="Paragraph"/>
        <w:spacing w:line="480" w:lineRule="auto"/>
        <w:rPr>
          <w:rFonts w:ascii="Times New Roman" w:hAnsi="Times New Roman"/>
          <w:sz w:val="24"/>
          <w:szCs w:val="24"/>
        </w:rPr>
      </w:pPr>
      <w:r>
        <w:rPr>
          <w:rFonts w:ascii="Times New Roman" w:hAnsi="Times New Roman"/>
          <w:sz w:val="24"/>
          <w:szCs w:val="24"/>
        </w:rPr>
        <w:t>[Table 3 around here]</w:t>
      </w:r>
    </w:p>
    <w:p w14:paraId="03045E62" w14:textId="05C8C8B5" w:rsidR="00A810BA" w:rsidRDefault="00401CD1" w:rsidP="008C5B51">
      <w:pPr>
        <w:pStyle w:val="Paragraph"/>
        <w:spacing w:line="480" w:lineRule="auto"/>
        <w:rPr>
          <w:rFonts w:ascii="Times New Roman" w:hAnsi="Times New Roman"/>
          <w:sz w:val="24"/>
          <w:szCs w:val="24"/>
        </w:rPr>
      </w:pPr>
      <w:r w:rsidRPr="00731C8B">
        <w:rPr>
          <w:rFonts w:ascii="Times New Roman" w:hAnsi="Times New Roman"/>
          <w:sz w:val="24"/>
          <w:szCs w:val="24"/>
        </w:rPr>
        <w:t>The results s</w:t>
      </w:r>
      <w:r w:rsidR="0099091F">
        <w:rPr>
          <w:rFonts w:ascii="Times New Roman" w:hAnsi="Times New Roman"/>
          <w:sz w:val="24"/>
          <w:szCs w:val="24"/>
        </w:rPr>
        <w:t>how</w:t>
      </w:r>
      <w:r w:rsidRPr="00731C8B">
        <w:rPr>
          <w:rFonts w:ascii="Times New Roman" w:hAnsi="Times New Roman"/>
          <w:sz w:val="24"/>
          <w:szCs w:val="24"/>
        </w:rPr>
        <w:t xml:space="preserve"> that </w:t>
      </w:r>
      <w:r w:rsidR="0099091F">
        <w:rPr>
          <w:rFonts w:ascii="Times New Roman" w:hAnsi="Times New Roman"/>
          <w:sz w:val="24"/>
          <w:szCs w:val="24"/>
        </w:rPr>
        <w:t xml:space="preserve">forecast </w:t>
      </w:r>
      <w:r w:rsidR="008A7444">
        <w:rPr>
          <w:rFonts w:ascii="Times New Roman" w:hAnsi="Times New Roman"/>
          <w:sz w:val="24"/>
          <w:szCs w:val="24"/>
        </w:rPr>
        <w:t xml:space="preserve">disagreement rises </w:t>
      </w:r>
      <w:r w:rsidR="00B66628">
        <w:rPr>
          <w:rFonts w:ascii="Times New Roman" w:hAnsi="Times New Roman"/>
          <w:sz w:val="24"/>
          <w:szCs w:val="24"/>
        </w:rPr>
        <w:t xml:space="preserve">during </w:t>
      </w:r>
      <w:r w:rsidRPr="00731C8B">
        <w:rPr>
          <w:rFonts w:ascii="Times New Roman" w:hAnsi="Times New Roman"/>
          <w:sz w:val="24"/>
          <w:szCs w:val="24"/>
        </w:rPr>
        <w:t>deflations</w:t>
      </w:r>
      <w:r w:rsidR="00B66628">
        <w:rPr>
          <w:rFonts w:ascii="Times New Roman" w:hAnsi="Times New Roman"/>
          <w:sz w:val="24"/>
          <w:szCs w:val="24"/>
        </w:rPr>
        <w:t xml:space="preserve"> </w:t>
      </w:r>
      <w:r w:rsidR="00B80B5E">
        <w:rPr>
          <w:rFonts w:ascii="Times New Roman" w:hAnsi="Times New Roman"/>
          <w:sz w:val="24"/>
          <w:szCs w:val="24"/>
        </w:rPr>
        <w:t xml:space="preserve">in part </w:t>
      </w:r>
      <w:r w:rsidR="00B66628">
        <w:rPr>
          <w:rFonts w:ascii="Times New Roman" w:hAnsi="Times New Roman"/>
          <w:sz w:val="24"/>
          <w:szCs w:val="24"/>
        </w:rPr>
        <w:t xml:space="preserve">because of </w:t>
      </w:r>
      <w:r w:rsidR="007073DB">
        <w:rPr>
          <w:rFonts w:ascii="Times New Roman" w:hAnsi="Times New Roman"/>
          <w:sz w:val="24"/>
          <w:szCs w:val="24"/>
        </w:rPr>
        <w:t xml:space="preserve">downward </w:t>
      </w:r>
      <w:r w:rsidR="00440784">
        <w:rPr>
          <w:rFonts w:ascii="Times New Roman" w:hAnsi="Times New Roman"/>
          <w:sz w:val="24"/>
          <w:szCs w:val="24"/>
        </w:rPr>
        <w:t>shifts in forecasts</w:t>
      </w:r>
      <w:r w:rsidR="00B66628">
        <w:rPr>
          <w:rFonts w:ascii="Times New Roman" w:hAnsi="Times New Roman"/>
          <w:sz w:val="24"/>
          <w:szCs w:val="24"/>
        </w:rPr>
        <w:t xml:space="preserve"> in</w:t>
      </w:r>
      <w:r w:rsidRPr="00731C8B">
        <w:rPr>
          <w:rFonts w:ascii="Times New Roman" w:hAnsi="Times New Roman"/>
          <w:sz w:val="24"/>
          <w:szCs w:val="24"/>
        </w:rPr>
        <w:t xml:space="preserve"> the lef</w:t>
      </w:r>
      <w:r w:rsidR="00E159E0">
        <w:rPr>
          <w:rFonts w:ascii="Times New Roman" w:hAnsi="Times New Roman"/>
          <w:sz w:val="24"/>
          <w:szCs w:val="24"/>
        </w:rPr>
        <w:t xml:space="preserve">t-hand tail of the </w:t>
      </w:r>
      <w:r w:rsidR="008614E3">
        <w:rPr>
          <w:rFonts w:ascii="Times New Roman" w:hAnsi="Times New Roman"/>
          <w:sz w:val="24"/>
          <w:szCs w:val="24"/>
        </w:rPr>
        <w:t xml:space="preserve">forecast </w:t>
      </w:r>
      <w:r w:rsidR="00E159E0">
        <w:rPr>
          <w:rFonts w:ascii="Times New Roman" w:hAnsi="Times New Roman"/>
          <w:sz w:val="24"/>
          <w:szCs w:val="24"/>
        </w:rPr>
        <w:t>distribution</w:t>
      </w:r>
      <w:r w:rsidR="0099091F">
        <w:rPr>
          <w:rFonts w:ascii="Times New Roman" w:hAnsi="Times New Roman"/>
          <w:sz w:val="24"/>
          <w:szCs w:val="24"/>
        </w:rPr>
        <w:t xml:space="preserve"> that are not present </w:t>
      </w:r>
      <w:r w:rsidR="0099091F">
        <w:rPr>
          <w:rFonts w:ascii="Times New Roman" w:hAnsi="Times New Roman"/>
          <w:sz w:val="24"/>
          <w:szCs w:val="24"/>
        </w:rPr>
        <w:lastRenderedPageBreak/>
        <w:t>in</w:t>
      </w:r>
      <w:r w:rsidR="002B7583">
        <w:rPr>
          <w:rFonts w:ascii="Times New Roman" w:hAnsi="Times New Roman"/>
          <w:sz w:val="24"/>
          <w:szCs w:val="24"/>
        </w:rPr>
        <w:t xml:space="preserve"> the</w:t>
      </w:r>
      <w:r w:rsidR="0099091F">
        <w:rPr>
          <w:rFonts w:ascii="Times New Roman" w:hAnsi="Times New Roman"/>
          <w:sz w:val="24"/>
          <w:szCs w:val="24"/>
        </w:rPr>
        <w:t xml:space="preserve"> right-hand tail</w:t>
      </w:r>
      <w:r w:rsidRPr="00731C8B">
        <w:rPr>
          <w:rFonts w:ascii="Times New Roman" w:hAnsi="Times New Roman"/>
          <w:sz w:val="24"/>
          <w:szCs w:val="24"/>
        </w:rPr>
        <w:t xml:space="preserve">. </w:t>
      </w:r>
      <w:r w:rsidR="00E159E0">
        <w:rPr>
          <w:rFonts w:ascii="Times New Roman" w:hAnsi="Times New Roman"/>
          <w:sz w:val="24"/>
          <w:szCs w:val="24"/>
        </w:rPr>
        <w:t xml:space="preserve">For inflation forecasts at the </w:t>
      </w:r>
      <w:r w:rsidR="007073DB">
        <w:rPr>
          <w:rFonts w:ascii="Times New Roman" w:hAnsi="Times New Roman"/>
          <w:sz w:val="24"/>
          <w:szCs w:val="24"/>
        </w:rPr>
        <w:t>25</w:t>
      </w:r>
      <w:r w:rsidR="00E159E0" w:rsidRPr="006009CE">
        <w:rPr>
          <w:rFonts w:ascii="Times New Roman" w:hAnsi="Times New Roman"/>
          <w:sz w:val="24"/>
          <w:szCs w:val="24"/>
        </w:rPr>
        <w:t>th</w:t>
      </w:r>
      <w:r w:rsidR="00E159E0">
        <w:rPr>
          <w:rFonts w:ascii="Times New Roman" w:hAnsi="Times New Roman"/>
          <w:sz w:val="24"/>
          <w:szCs w:val="24"/>
        </w:rPr>
        <w:t xml:space="preserve"> percentile of the distribution</w:t>
      </w:r>
      <w:r w:rsidR="002C7B2B">
        <w:rPr>
          <w:rFonts w:ascii="Times New Roman" w:hAnsi="Times New Roman"/>
          <w:sz w:val="24"/>
          <w:szCs w:val="24"/>
        </w:rPr>
        <w:t xml:space="preserve"> (left</w:t>
      </w:r>
      <w:r w:rsidR="00BD3E6D">
        <w:rPr>
          <w:rFonts w:ascii="Times New Roman" w:hAnsi="Times New Roman"/>
          <w:sz w:val="24"/>
          <w:szCs w:val="24"/>
        </w:rPr>
        <w:t xml:space="preserve"> </w:t>
      </w:r>
      <w:r w:rsidR="002C7B2B">
        <w:rPr>
          <w:rFonts w:ascii="Times New Roman" w:hAnsi="Times New Roman"/>
          <w:sz w:val="24"/>
          <w:szCs w:val="24"/>
        </w:rPr>
        <w:t>tail)</w:t>
      </w:r>
      <w:r w:rsidR="00E159E0">
        <w:rPr>
          <w:rFonts w:ascii="Times New Roman" w:hAnsi="Times New Roman"/>
          <w:sz w:val="24"/>
          <w:szCs w:val="24"/>
        </w:rPr>
        <w:t>, inflation ex</w:t>
      </w:r>
      <w:r w:rsidR="00160617">
        <w:rPr>
          <w:rFonts w:ascii="Times New Roman" w:hAnsi="Times New Roman"/>
          <w:sz w:val="24"/>
          <w:szCs w:val="24"/>
        </w:rPr>
        <w:t xml:space="preserve">pectations </w:t>
      </w:r>
      <w:r w:rsidR="00440784">
        <w:rPr>
          <w:rFonts w:ascii="Times New Roman" w:hAnsi="Times New Roman"/>
          <w:sz w:val="24"/>
          <w:szCs w:val="24"/>
        </w:rPr>
        <w:t>shift downward by an average of 0.</w:t>
      </w:r>
      <w:r w:rsidR="00086E05">
        <w:rPr>
          <w:rFonts w:ascii="Times New Roman" w:hAnsi="Times New Roman"/>
          <w:sz w:val="24"/>
          <w:szCs w:val="24"/>
        </w:rPr>
        <w:t>15</w:t>
      </w:r>
      <w:r w:rsidR="007073DB">
        <w:rPr>
          <w:rFonts w:ascii="Times New Roman" w:hAnsi="Times New Roman"/>
          <w:sz w:val="24"/>
          <w:szCs w:val="24"/>
        </w:rPr>
        <w:t xml:space="preserve"> </w:t>
      </w:r>
      <w:r w:rsidR="00440784">
        <w:rPr>
          <w:rFonts w:ascii="Times New Roman" w:hAnsi="Times New Roman"/>
          <w:sz w:val="24"/>
          <w:szCs w:val="24"/>
        </w:rPr>
        <w:t xml:space="preserve">percentage points during deflations (Column (1) of Table 3). The coefficient estimate is statistically significant at the 1% level. </w:t>
      </w:r>
      <w:r w:rsidR="005331C7">
        <w:rPr>
          <w:rFonts w:ascii="Times New Roman" w:hAnsi="Times New Roman"/>
          <w:sz w:val="24"/>
          <w:szCs w:val="24"/>
        </w:rPr>
        <w:t>D</w:t>
      </w:r>
      <w:r w:rsidR="00440784">
        <w:rPr>
          <w:rFonts w:ascii="Times New Roman" w:hAnsi="Times New Roman"/>
          <w:sz w:val="24"/>
          <w:szCs w:val="24"/>
        </w:rPr>
        <w:t xml:space="preserve">uring persistent deflations, expectations in the left tail fall by </w:t>
      </w:r>
      <w:r w:rsidR="005331C7">
        <w:rPr>
          <w:rFonts w:ascii="Times New Roman" w:hAnsi="Times New Roman"/>
          <w:sz w:val="24"/>
          <w:szCs w:val="24"/>
        </w:rPr>
        <w:t>a similar magnitude</w:t>
      </w:r>
      <w:r w:rsidR="00440784">
        <w:rPr>
          <w:rFonts w:ascii="Times New Roman" w:hAnsi="Times New Roman"/>
          <w:sz w:val="24"/>
          <w:szCs w:val="24"/>
        </w:rPr>
        <w:t xml:space="preserve"> (Column (2)). </w:t>
      </w:r>
    </w:p>
    <w:p w14:paraId="59A58BC6" w14:textId="56A8DF35" w:rsidR="00401CD1" w:rsidRDefault="00E159E0" w:rsidP="008C5B51">
      <w:pPr>
        <w:pStyle w:val="Paragraph"/>
        <w:spacing w:line="480" w:lineRule="auto"/>
        <w:rPr>
          <w:rFonts w:ascii="Times New Roman" w:hAnsi="Times New Roman"/>
          <w:sz w:val="24"/>
          <w:szCs w:val="24"/>
        </w:rPr>
      </w:pPr>
      <w:r>
        <w:rPr>
          <w:rFonts w:ascii="Times New Roman" w:hAnsi="Times New Roman"/>
          <w:sz w:val="24"/>
          <w:szCs w:val="24"/>
        </w:rPr>
        <w:t xml:space="preserve">By contrast, during deflations there </w:t>
      </w:r>
      <w:r w:rsidR="00160617">
        <w:rPr>
          <w:rFonts w:ascii="Times New Roman" w:hAnsi="Times New Roman"/>
          <w:sz w:val="24"/>
          <w:szCs w:val="24"/>
        </w:rPr>
        <w:t xml:space="preserve">is no evidence of </w:t>
      </w:r>
      <w:r w:rsidR="007073DB">
        <w:rPr>
          <w:rFonts w:ascii="Times New Roman" w:hAnsi="Times New Roman"/>
          <w:sz w:val="24"/>
          <w:szCs w:val="24"/>
        </w:rPr>
        <w:t xml:space="preserve">downward </w:t>
      </w:r>
      <w:r w:rsidR="00440784">
        <w:rPr>
          <w:rFonts w:ascii="Times New Roman" w:hAnsi="Times New Roman"/>
          <w:sz w:val="24"/>
          <w:szCs w:val="24"/>
        </w:rPr>
        <w:t>shifts</w:t>
      </w:r>
      <w:r w:rsidR="00160617">
        <w:rPr>
          <w:rFonts w:ascii="Times New Roman" w:hAnsi="Times New Roman"/>
          <w:sz w:val="24"/>
          <w:szCs w:val="24"/>
        </w:rPr>
        <w:t xml:space="preserve"> </w:t>
      </w:r>
      <w:r w:rsidR="00C31597">
        <w:rPr>
          <w:rFonts w:ascii="Times New Roman" w:hAnsi="Times New Roman"/>
          <w:sz w:val="24"/>
          <w:szCs w:val="24"/>
        </w:rPr>
        <w:t xml:space="preserve">for forecasts </w:t>
      </w:r>
      <w:r>
        <w:rPr>
          <w:rFonts w:ascii="Times New Roman" w:hAnsi="Times New Roman"/>
          <w:sz w:val="24"/>
          <w:szCs w:val="24"/>
        </w:rPr>
        <w:t xml:space="preserve">at the </w:t>
      </w:r>
      <w:r w:rsidR="007073DB">
        <w:rPr>
          <w:rFonts w:ascii="Times New Roman" w:hAnsi="Times New Roman"/>
          <w:sz w:val="24"/>
          <w:szCs w:val="24"/>
        </w:rPr>
        <w:t>75</w:t>
      </w:r>
      <w:r w:rsidR="00401CD1" w:rsidRPr="00731C8B">
        <w:rPr>
          <w:rFonts w:ascii="Times New Roman" w:hAnsi="Times New Roman"/>
          <w:sz w:val="24"/>
          <w:szCs w:val="24"/>
        </w:rPr>
        <w:t>th percentile</w:t>
      </w:r>
      <w:r w:rsidR="00BD3E6D">
        <w:rPr>
          <w:rFonts w:ascii="Times New Roman" w:hAnsi="Times New Roman"/>
          <w:sz w:val="24"/>
          <w:szCs w:val="24"/>
        </w:rPr>
        <w:t xml:space="preserve"> (right tail). In particular, </w:t>
      </w:r>
      <w:r w:rsidR="00440784">
        <w:rPr>
          <w:rFonts w:ascii="Times New Roman" w:hAnsi="Times New Roman"/>
          <w:sz w:val="24"/>
          <w:szCs w:val="24"/>
        </w:rPr>
        <w:t xml:space="preserve">the coefficients on the deflation and persistent deflation dummy variables </w:t>
      </w:r>
      <w:r w:rsidR="00BD3E6D">
        <w:rPr>
          <w:rFonts w:ascii="Times New Roman" w:hAnsi="Times New Roman"/>
          <w:sz w:val="24"/>
          <w:szCs w:val="24"/>
        </w:rPr>
        <w:t xml:space="preserve">in Columns (3) and (4) </w:t>
      </w:r>
      <w:r w:rsidR="00440784">
        <w:rPr>
          <w:rFonts w:ascii="Times New Roman" w:hAnsi="Times New Roman"/>
          <w:sz w:val="24"/>
          <w:szCs w:val="24"/>
        </w:rPr>
        <w:t xml:space="preserve">are </w:t>
      </w:r>
      <w:r w:rsidR="007073DB">
        <w:rPr>
          <w:rFonts w:ascii="Times New Roman" w:hAnsi="Times New Roman"/>
          <w:sz w:val="24"/>
          <w:szCs w:val="24"/>
        </w:rPr>
        <w:t xml:space="preserve">positive but only weakly statistically </w:t>
      </w:r>
      <w:r w:rsidR="00440784">
        <w:rPr>
          <w:rFonts w:ascii="Times New Roman" w:hAnsi="Times New Roman"/>
          <w:sz w:val="24"/>
          <w:szCs w:val="24"/>
        </w:rPr>
        <w:t>significant</w:t>
      </w:r>
      <w:r w:rsidR="007073DB">
        <w:rPr>
          <w:rFonts w:ascii="Times New Roman" w:hAnsi="Times New Roman"/>
          <w:sz w:val="24"/>
          <w:szCs w:val="24"/>
        </w:rPr>
        <w:t>.</w:t>
      </w:r>
      <w:r w:rsidR="00401CD1" w:rsidRPr="00731C8B">
        <w:rPr>
          <w:rFonts w:ascii="Times New Roman" w:hAnsi="Times New Roman"/>
          <w:sz w:val="24"/>
          <w:szCs w:val="24"/>
        </w:rPr>
        <w:t xml:space="preserve"> </w:t>
      </w:r>
    </w:p>
    <w:p w14:paraId="3E7FA0DA" w14:textId="0B5B7466" w:rsidR="00996085" w:rsidRDefault="005361AF" w:rsidP="00996085">
      <w:pPr>
        <w:pStyle w:val="Paragraph"/>
        <w:spacing w:line="480" w:lineRule="auto"/>
        <w:rPr>
          <w:rFonts w:ascii="Times New Roman" w:hAnsi="Times New Roman"/>
          <w:sz w:val="24"/>
          <w:szCs w:val="24"/>
        </w:rPr>
      </w:pPr>
      <w:r>
        <w:rPr>
          <w:rFonts w:ascii="Times New Roman" w:hAnsi="Times New Roman"/>
          <w:sz w:val="24"/>
          <w:szCs w:val="24"/>
        </w:rPr>
        <w:t>What is behind heterogeneous expectations formation</w:t>
      </w:r>
      <w:r w:rsidR="004521CF">
        <w:rPr>
          <w:rFonts w:ascii="Times New Roman" w:hAnsi="Times New Roman"/>
          <w:sz w:val="24"/>
          <w:szCs w:val="24"/>
        </w:rPr>
        <w:t xml:space="preserve"> during deflations</w:t>
      </w:r>
      <w:r>
        <w:rPr>
          <w:rFonts w:ascii="Times New Roman" w:hAnsi="Times New Roman"/>
          <w:sz w:val="24"/>
          <w:szCs w:val="24"/>
        </w:rPr>
        <w:t xml:space="preserve">? Both </w:t>
      </w:r>
      <w:r w:rsidR="00996085">
        <w:rPr>
          <w:rFonts w:ascii="Times New Roman" w:hAnsi="Times New Roman"/>
          <w:sz w:val="24"/>
          <w:szCs w:val="24"/>
        </w:rPr>
        <w:t xml:space="preserve">non-fundamental and </w:t>
      </w:r>
      <w:r>
        <w:rPr>
          <w:rFonts w:ascii="Times New Roman" w:hAnsi="Times New Roman"/>
          <w:sz w:val="24"/>
          <w:szCs w:val="24"/>
        </w:rPr>
        <w:t>fundamental factors may be at play.</w:t>
      </w:r>
      <w:r w:rsidR="004521CF">
        <w:rPr>
          <w:rFonts w:ascii="Times New Roman" w:hAnsi="Times New Roman"/>
          <w:sz w:val="24"/>
          <w:szCs w:val="24"/>
        </w:rPr>
        <w:t xml:space="preserve"> Non-fundamental disagreement could arise from multiple equilibria (see </w:t>
      </w:r>
      <w:proofErr w:type="spellStart"/>
      <w:r w:rsidR="004521CF">
        <w:rPr>
          <w:rFonts w:ascii="Times New Roman" w:hAnsi="Times New Roman"/>
          <w:sz w:val="24"/>
          <w:szCs w:val="24"/>
        </w:rPr>
        <w:t>Benhabib</w:t>
      </w:r>
      <w:proofErr w:type="spellEnd"/>
      <w:r w:rsidR="004521CF">
        <w:rPr>
          <w:rFonts w:ascii="Times New Roman" w:hAnsi="Times New Roman"/>
          <w:sz w:val="24"/>
          <w:szCs w:val="24"/>
        </w:rPr>
        <w:t xml:space="preserve"> et al (2002)).</w:t>
      </w:r>
      <w:r>
        <w:rPr>
          <w:rFonts w:ascii="Times New Roman" w:hAnsi="Times New Roman"/>
          <w:sz w:val="24"/>
          <w:szCs w:val="24"/>
        </w:rPr>
        <w:t xml:space="preserve"> </w:t>
      </w:r>
      <w:r w:rsidR="00996085">
        <w:rPr>
          <w:rFonts w:ascii="Times New Roman" w:hAnsi="Times New Roman"/>
          <w:sz w:val="24"/>
          <w:szCs w:val="24"/>
        </w:rPr>
        <w:t>If the downward movement in the left-hand tail is driven by a non-fundamental shock, longer-term forecasts, in addition to short-term ones, should shift downward for forecasters in the left-hand tail of the distribution.</w:t>
      </w:r>
      <w:r w:rsidR="00996085">
        <w:rPr>
          <w:rStyle w:val="FootnoteReference"/>
          <w:sz w:val="24"/>
          <w:szCs w:val="24"/>
        </w:rPr>
        <w:footnoteReference w:id="13"/>
      </w:r>
      <w:r w:rsidR="00996085">
        <w:rPr>
          <w:rFonts w:ascii="Times New Roman" w:hAnsi="Times New Roman"/>
          <w:sz w:val="24"/>
          <w:szCs w:val="24"/>
        </w:rPr>
        <w:t xml:space="preserve"> This differs from e.g. a demand driven disturbance, which could be expected to dissipate relatively quickly and thus have little effect on longer-term forecasts. Unfortunately, Consensus does not publish data on forecast distributions for horizons beyond the next calendar year. However, using the longest available horizons (expectations formed in the first quarter of the current calendar year for the next calendar year</w:t>
      </w:r>
      <w:r w:rsidR="00A50BA6">
        <w:rPr>
          <w:rFonts w:ascii="Times New Roman" w:hAnsi="Times New Roman"/>
          <w:sz w:val="24"/>
          <w:szCs w:val="24"/>
        </w:rPr>
        <w:t xml:space="preserve">, </w:t>
      </w:r>
      <w:proofErr w:type="spellStart"/>
      <w:r w:rsidR="00A50BA6">
        <w:rPr>
          <w:rFonts w:ascii="Times New Roman" w:hAnsi="Times New Roman"/>
          <w:sz w:val="24"/>
          <w:szCs w:val="24"/>
        </w:rPr>
        <w:t>ie</w:t>
      </w:r>
      <w:proofErr w:type="spellEnd"/>
      <w:r w:rsidR="00A50BA6">
        <w:rPr>
          <w:rFonts w:ascii="Times New Roman" w:hAnsi="Times New Roman"/>
          <w:sz w:val="24"/>
          <w:szCs w:val="24"/>
        </w:rPr>
        <w:t xml:space="preserve"> horizons of 22–24 months</w:t>
      </w:r>
      <w:r w:rsidR="00996085">
        <w:rPr>
          <w:rFonts w:ascii="Times New Roman" w:hAnsi="Times New Roman"/>
          <w:sz w:val="24"/>
          <w:szCs w:val="24"/>
        </w:rPr>
        <w:t>), we find that deflations are associated with a downward shift in inflation expectations in the left-hand tail (25</w:t>
      </w:r>
      <w:r w:rsidR="00996085" w:rsidRPr="006B24EA">
        <w:rPr>
          <w:rFonts w:ascii="Times New Roman" w:hAnsi="Times New Roman"/>
          <w:sz w:val="24"/>
          <w:szCs w:val="24"/>
          <w:vertAlign w:val="superscript"/>
        </w:rPr>
        <w:t>th</w:t>
      </w:r>
      <w:r w:rsidR="00996085">
        <w:rPr>
          <w:rFonts w:ascii="Times New Roman" w:hAnsi="Times New Roman"/>
          <w:sz w:val="24"/>
          <w:szCs w:val="24"/>
        </w:rPr>
        <w:t xml:space="preserve"> percentile) also for these somewhat longer-term forecasts. </w:t>
      </w:r>
      <w:r w:rsidR="00AC3B41">
        <w:rPr>
          <w:rFonts w:ascii="Times New Roman" w:hAnsi="Times New Roman"/>
          <w:sz w:val="24"/>
          <w:szCs w:val="24"/>
        </w:rPr>
        <w:t xml:space="preserve">In particular, the coefficient on the deflation dummy variable is –0.062 (with a standard error of 0.027). In the case of persistent </w:t>
      </w:r>
      <w:r w:rsidR="00AC3B41">
        <w:rPr>
          <w:rFonts w:ascii="Times New Roman" w:hAnsi="Times New Roman"/>
          <w:sz w:val="24"/>
          <w:szCs w:val="24"/>
        </w:rPr>
        <w:lastRenderedPageBreak/>
        <w:t xml:space="preserve">deflations, the coefficient is –0.128 (standard error of 0.034). This suggests that the forces driving </w:t>
      </w:r>
      <w:r w:rsidR="00803080">
        <w:rPr>
          <w:rFonts w:ascii="Times New Roman" w:hAnsi="Times New Roman"/>
          <w:sz w:val="24"/>
          <w:szCs w:val="24"/>
        </w:rPr>
        <w:t xml:space="preserve">down </w:t>
      </w:r>
      <w:r w:rsidR="00AC3B41">
        <w:rPr>
          <w:rFonts w:ascii="Times New Roman" w:hAnsi="Times New Roman"/>
          <w:sz w:val="24"/>
          <w:szCs w:val="24"/>
        </w:rPr>
        <w:t>left-tail forecasts</w:t>
      </w:r>
      <w:r w:rsidR="00803080">
        <w:rPr>
          <w:rFonts w:ascii="Times New Roman" w:hAnsi="Times New Roman"/>
          <w:sz w:val="24"/>
          <w:szCs w:val="24"/>
        </w:rPr>
        <w:t xml:space="preserve"> </w:t>
      </w:r>
      <w:r w:rsidR="00AC3B41">
        <w:rPr>
          <w:rFonts w:ascii="Times New Roman" w:hAnsi="Times New Roman"/>
          <w:sz w:val="24"/>
          <w:szCs w:val="24"/>
        </w:rPr>
        <w:t xml:space="preserve">are at least partly non-fundamental in nature. </w:t>
      </w:r>
    </w:p>
    <w:p w14:paraId="1B2231DD" w14:textId="5B9D8BFE" w:rsidR="00AC3B41" w:rsidRDefault="002D109B" w:rsidP="00AC3B41">
      <w:pPr>
        <w:pStyle w:val="Paragraph"/>
        <w:spacing w:line="480" w:lineRule="auto"/>
        <w:rPr>
          <w:rFonts w:ascii="Times New Roman" w:hAnsi="Times New Roman"/>
          <w:sz w:val="24"/>
          <w:szCs w:val="24"/>
        </w:rPr>
      </w:pPr>
      <w:r>
        <w:rPr>
          <w:rFonts w:ascii="Times New Roman" w:hAnsi="Times New Roman"/>
          <w:sz w:val="24"/>
          <w:szCs w:val="24"/>
        </w:rPr>
        <w:t>A</w:t>
      </w:r>
      <w:r w:rsidR="00AC3B41">
        <w:rPr>
          <w:rFonts w:ascii="Times New Roman" w:hAnsi="Times New Roman"/>
          <w:sz w:val="24"/>
          <w:szCs w:val="24"/>
        </w:rPr>
        <w:t xml:space="preserve"> credible inflation targeting regime may help avoid situations where agents hesitate between </w:t>
      </w:r>
      <w:proofErr w:type="gramStart"/>
      <w:r>
        <w:rPr>
          <w:rFonts w:ascii="Times New Roman" w:hAnsi="Times New Roman"/>
          <w:sz w:val="24"/>
          <w:szCs w:val="24"/>
        </w:rPr>
        <w:t>non-fundamental</w:t>
      </w:r>
      <w:proofErr w:type="gramEnd"/>
      <w:r>
        <w:rPr>
          <w:rFonts w:ascii="Times New Roman" w:hAnsi="Times New Roman"/>
          <w:sz w:val="24"/>
          <w:szCs w:val="24"/>
        </w:rPr>
        <w:t xml:space="preserve"> driven </w:t>
      </w:r>
      <w:r w:rsidR="00AC3B41">
        <w:rPr>
          <w:rFonts w:ascii="Times New Roman" w:hAnsi="Times New Roman"/>
          <w:sz w:val="24"/>
          <w:szCs w:val="24"/>
        </w:rPr>
        <w:t>multiple equilibria</w:t>
      </w:r>
      <w:r w:rsidR="00BA20E4">
        <w:rPr>
          <w:rFonts w:ascii="Times New Roman" w:hAnsi="Times New Roman"/>
          <w:sz w:val="24"/>
          <w:szCs w:val="24"/>
        </w:rPr>
        <w:t xml:space="preserve"> because monetary policy may be expected to </w:t>
      </w:r>
      <w:r w:rsidR="002D424D">
        <w:rPr>
          <w:rFonts w:ascii="Times New Roman" w:hAnsi="Times New Roman"/>
          <w:sz w:val="24"/>
          <w:szCs w:val="24"/>
        </w:rPr>
        <w:t>counteract</w:t>
      </w:r>
      <w:r w:rsidR="00BA20E4">
        <w:rPr>
          <w:rFonts w:ascii="Times New Roman" w:hAnsi="Times New Roman"/>
          <w:sz w:val="24"/>
          <w:szCs w:val="24"/>
        </w:rPr>
        <w:t xml:space="preserve"> deflation concerns more aggressively in order to maintain credibility of the announced targets.</w:t>
      </w:r>
      <w:r w:rsidR="00AC3B41">
        <w:rPr>
          <w:rFonts w:ascii="Times New Roman" w:hAnsi="Times New Roman"/>
          <w:sz w:val="24"/>
          <w:szCs w:val="24"/>
        </w:rPr>
        <w:t xml:space="preserve"> Indeed, we show in Columns (</w:t>
      </w:r>
      <w:r w:rsidR="005331C7">
        <w:rPr>
          <w:rFonts w:ascii="Times New Roman" w:hAnsi="Times New Roman"/>
          <w:sz w:val="24"/>
          <w:szCs w:val="24"/>
        </w:rPr>
        <w:t>2</w:t>
      </w:r>
      <w:r w:rsidR="00AC3B41">
        <w:rPr>
          <w:rFonts w:ascii="Times New Roman" w:hAnsi="Times New Roman"/>
          <w:sz w:val="24"/>
          <w:szCs w:val="24"/>
        </w:rPr>
        <w:t>) and (</w:t>
      </w:r>
      <w:r w:rsidR="005331C7">
        <w:rPr>
          <w:rFonts w:ascii="Times New Roman" w:hAnsi="Times New Roman"/>
          <w:sz w:val="24"/>
          <w:szCs w:val="24"/>
        </w:rPr>
        <w:t>4</w:t>
      </w:r>
      <w:r w:rsidR="00AC3B41">
        <w:rPr>
          <w:rFonts w:ascii="Times New Roman" w:hAnsi="Times New Roman"/>
          <w:sz w:val="24"/>
          <w:szCs w:val="24"/>
        </w:rPr>
        <w:t xml:space="preserve">) of Table 4 that </w:t>
      </w:r>
      <w:r w:rsidR="00AC3B41" w:rsidRPr="00E87961">
        <w:rPr>
          <w:rFonts w:ascii="Times New Roman" w:hAnsi="Times New Roman"/>
          <w:sz w:val="24"/>
          <w:szCs w:val="24"/>
        </w:rPr>
        <w:t xml:space="preserve">greater disagreement during deflations obtains only in economies and during periods when the central bank </w:t>
      </w:r>
      <w:r w:rsidR="00AC3B41">
        <w:rPr>
          <w:rFonts w:ascii="Times New Roman" w:hAnsi="Times New Roman"/>
          <w:sz w:val="24"/>
          <w:szCs w:val="24"/>
        </w:rPr>
        <w:t xml:space="preserve">is not an inflation </w:t>
      </w:r>
      <w:proofErr w:type="spellStart"/>
      <w:r w:rsidR="00AC3B41">
        <w:rPr>
          <w:rFonts w:ascii="Times New Roman" w:hAnsi="Times New Roman"/>
          <w:sz w:val="24"/>
          <w:szCs w:val="24"/>
        </w:rPr>
        <w:t>targeter</w:t>
      </w:r>
      <w:proofErr w:type="spellEnd"/>
      <w:r w:rsidR="00AC3B41" w:rsidRPr="00E87961">
        <w:rPr>
          <w:rFonts w:ascii="Times New Roman" w:hAnsi="Times New Roman"/>
          <w:sz w:val="24"/>
          <w:szCs w:val="24"/>
        </w:rPr>
        <w:t>.</w:t>
      </w:r>
      <w:r w:rsidR="00315EAD">
        <w:rPr>
          <w:rStyle w:val="FootnoteReference"/>
          <w:sz w:val="24"/>
          <w:szCs w:val="24"/>
        </w:rPr>
        <w:footnoteReference w:id="14"/>
      </w:r>
      <w:r w:rsidR="00AC3B41">
        <w:rPr>
          <w:rFonts w:ascii="Times New Roman" w:hAnsi="Times New Roman"/>
          <w:sz w:val="24"/>
          <w:szCs w:val="24"/>
        </w:rPr>
        <w:t xml:space="preserve"> In inflation targeting regimes, we do not find evidence of greater inflation forecast disagreement during deflations (Columns (</w:t>
      </w:r>
      <w:r w:rsidR="005331C7">
        <w:rPr>
          <w:rFonts w:ascii="Times New Roman" w:hAnsi="Times New Roman"/>
          <w:sz w:val="24"/>
          <w:szCs w:val="24"/>
        </w:rPr>
        <w:t>1</w:t>
      </w:r>
      <w:r w:rsidR="00AC3B41">
        <w:rPr>
          <w:rFonts w:ascii="Times New Roman" w:hAnsi="Times New Roman"/>
          <w:sz w:val="24"/>
          <w:szCs w:val="24"/>
        </w:rPr>
        <w:t>) and (</w:t>
      </w:r>
      <w:r w:rsidR="005331C7">
        <w:rPr>
          <w:rFonts w:ascii="Times New Roman" w:hAnsi="Times New Roman"/>
          <w:sz w:val="24"/>
          <w:szCs w:val="24"/>
        </w:rPr>
        <w:t>3</w:t>
      </w:r>
      <w:r w:rsidR="00AC3B41">
        <w:rPr>
          <w:rFonts w:ascii="Times New Roman" w:hAnsi="Times New Roman"/>
          <w:sz w:val="24"/>
          <w:szCs w:val="24"/>
        </w:rPr>
        <w:t>)), as the coefficient</w:t>
      </w:r>
      <w:r w:rsidR="00C649F0">
        <w:rPr>
          <w:rFonts w:ascii="Times New Roman" w:hAnsi="Times New Roman"/>
          <w:sz w:val="24"/>
          <w:szCs w:val="24"/>
        </w:rPr>
        <w:t>s</w:t>
      </w:r>
      <w:r w:rsidR="00AC3B41">
        <w:rPr>
          <w:rFonts w:ascii="Times New Roman" w:hAnsi="Times New Roman"/>
          <w:sz w:val="24"/>
          <w:szCs w:val="24"/>
        </w:rPr>
        <w:t xml:space="preserve"> on the deflation dummy variable</w:t>
      </w:r>
      <w:r w:rsidR="00C649F0">
        <w:rPr>
          <w:rFonts w:ascii="Times New Roman" w:hAnsi="Times New Roman"/>
          <w:sz w:val="24"/>
          <w:szCs w:val="24"/>
        </w:rPr>
        <w:t>s are</w:t>
      </w:r>
      <w:r w:rsidR="00AC3B41">
        <w:rPr>
          <w:rFonts w:ascii="Times New Roman" w:hAnsi="Times New Roman"/>
          <w:sz w:val="24"/>
          <w:szCs w:val="24"/>
        </w:rPr>
        <w:t xml:space="preserve"> </w:t>
      </w:r>
      <w:r w:rsidR="005331C7">
        <w:rPr>
          <w:rFonts w:ascii="Times New Roman" w:hAnsi="Times New Roman"/>
          <w:sz w:val="24"/>
          <w:szCs w:val="24"/>
        </w:rPr>
        <w:t xml:space="preserve">not </w:t>
      </w:r>
      <w:r w:rsidR="00AC3B41">
        <w:rPr>
          <w:rFonts w:ascii="Times New Roman" w:hAnsi="Times New Roman"/>
          <w:sz w:val="24"/>
          <w:szCs w:val="24"/>
        </w:rPr>
        <w:t xml:space="preserve">statistically significant, </w:t>
      </w:r>
      <w:r w:rsidR="005331C7">
        <w:rPr>
          <w:rFonts w:ascii="Times New Roman" w:hAnsi="Times New Roman"/>
          <w:sz w:val="24"/>
          <w:szCs w:val="24"/>
        </w:rPr>
        <w:t>even</w:t>
      </w:r>
      <w:r w:rsidR="00AC3B41">
        <w:rPr>
          <w:rFonts w:ascii="Times New Roman" w:hAnsi="Times New Roman"/>
          <w:sz w:val="24"/>
          <w:szCs w:val="24"/>
        </w:rPr>
        <w:t xml:space="preserve"> during persistent deflations. An identical finding obtains when we consider the effects of deflations on the left-hand tail of the forecast distribution</w:t>
      </w:r>
      <w:r w:rsidR="00DD1763">
        <w:rPr>
          <w:rFonts w:ascii="Times New Roman" w:hAnsi="Times New Roman"/>
          <w:sz w:val="24"/>
          <w:szCs w:val="24"/>
        </w:rPr>
        <w:t xml:space="preserve"> in inflation targeting economies and other countries</w:t>
      </w:r>
      <w:r w:rsidR="00797F7E">
        <w:rPr>
          <w:rFonts w:ascii="Times New Roman" w:hAnsi="Times New Roman"/>
          <w:sz w:val="24"/>
          <w:szCs w:val="24"/>
        </w:rPr>
        <w:t>: deflations lead to statistically significant shifts in the left-tail only in non-inflation targeting economies (Columns (1) to (4)</w:t>
      </w:r>
      <w:r w:rsidR="00A04D10">
        <w:rPr>
          <w:rFonts w:ascii="Times New Roman" w:hAnsi="Times New Roman"/>
          <w:sz w:val="24"/>
          <w:szCs w:val="24"/>
        </w:rPr>
        <w:t xml:space="preserve"> in Online Annex</w:t>
      </w:r>
      <w:r w:rsidR="005068A4">
        <w:rPr>
          <w:rFonts w:ascii="Times New Roman" w:hAnsi="Times New Roman"/>
          <w:sz w:val="24"/>
          <w:szCs w:val="24"/>
        </w:rPr>
        <w:t xml:space="preserve"> Table A</w:t>
      </w:r>
      <w:r w:rsidR="000C3F35">
        <w:rPr>
          <w:rFonts w:ascii="Times New Roman" w:hAnsi="Times New Roman"/>
          <w:sz w:val="24"/>
          <w:szCs w:val="24"/>
        </w:rPr>
        <w:t>6</w:t>
      </w:r>
      <w:r w:rsidR="005068A4">
        <w:rPr>
          <w:rFonts w:ascii="Times New Roman" w:hAnsi="Times New Roman"/>
          <w:sz w:val="24"/>
          <w:szCs w:val="24"/>
        </w:rPr>
        <w:t>)</w:t>
      </w:r>
      <w:r w:rsidR="00797F7E">
        <w:rPr>
          <w:rFonts w:ascii="Times New Roman" w:hAnsi="Times New Roman"/>
          <w:sz w:val="24"/>
          <w:szCs w:val="24"/>
        </w:rPr>
        <w:t>.</w:t>
      </w:r>
      <w:r w:rsidR="00AC3B41">
        <w:rPr>
          <w:rFonts w:ascii="Times New Roman" w:hAnsi="Times New Roman"/>
          <w:sz w:val="24"/>
          <w:szCs w:val="24"/>
        </w:rPr>
        <w:t xml:space="preserve"> </w:t>
      </w:r>
    </w:p>
    <w:p w14:paraId="66A6C23C" w14:textId="77777777" w:rsidR="00803080" w:rsidRDefault="00803080" w:rsidP="00803080">
      <w:pPr>
        <w:pStyle w:val="Paragraph"/>
        <w:spacing w:line="480" w:lineRule="auto"/>
        <w:rPr>
          <w:rFonts w:ascii="Times New Roman" w:hAnsi="Times New Roman"/>
          <w:sz w:val="24"/>
          <w:szCs w:val="24"/>
        </w:rPr>
      </w:pPr>
      <w:r>
        <w:rPr>
          <w:rFonts w:ascii="Times New Roman" w:hAnsi="Times New Roman"/>
          <w:sz w:val="24"/>
          <w:szCs w:val="24"/>
        </w:rPr>
        <w:t>[Table 4 around here]</w:t>
      </w:r>
    </w:p>
    <w:p w14:paraId="115F5E91" w14:textId="03297AD6" w:rsidR="005361AF" w:rsidRDefault="00AC3B41" w:rsidP="005361AF">
      <w:pPr>
        <w:pStyle w:val="FirstParagraph"/>
        <w:spacing w:line="480" w:lineRule="auto"/>
        <w:ind w:firstLine="397"/>
        <w:rPr>
          <w:rFonts w:ascii="Times New Roman" w:hAnsi="Times New Roman"/>
          <w:sz w:val="24"/>
          <w:szCs w:val="24"/>
        </w:rPr>
      </w:pPr>
      <w:r>
        <w:rPr>
          <w:rFonts w:ascii="Times New Roman" w:hAnsi="Times New Roman"/>
          <w:sz w:val="24"/>
          <w:szCs w:val="24"/>
        </w:rPr>
        <w:t>Considering fundamental factors instead, o</w:t>
      </w:r>
      <w:r w:rsidR="005361AF">
        <w:rPr>
          <w:rFonts w:ascii="Times New Roman" w:hAnsi="Times New Roman"/>
          <w:sz w:val="24"/>
          <w:szCs w:val="24"/>
        </w:rPr>
        <w:t xml:space="preserve">ne </w:t>
      </w:r>
      <w:r>
        <w:rPr>
          <w:rFonts w:ascii="Times New Roman" w:hAnsi="Times New Roman"/>
          <w:sz w:val="24"/>
          <w:szCs w:val="24"/>
        </w:rPr>
        <w:t xml:space="preserve">source </w:t>
      </w:r>
      <w:r w:rsidR="005361AF">
        <w:rPr>
          <w:rFonts w:ascii="Times New Roman" w:hAnsi="Times New Roman"/>
          <w:sz w:val="24"/>
          <w:szCs w:val="24"/>
        </w:rPr>
        <w:t xml:space="preserve">is forecast disagreement about the path of real variables such as output and employment. For example, </w:t>
      </w:r>
      <w:r w:rsidR="005361AF" w:rsidRPr="00A90D2C">
        <w:rPr>
          <w:rFonts w:ascii="Times New Roman" w:hAnsi="Times New Roman"/>
          <w:sz w:val="24"/>
          <w:szCs w:val="24"/>
        </w:rPr>
        <w:t xml:space="preserve">Andrade et al </w:t>
      </w:r>
      <w:r w:rsidR="005361AF">
        <w:rPr>
          <w:rFonts w:ascii="Times New Roman" w:hAnsi="Times New Roman"/>
          <w:sz w:val="24"/>
          <w:szCs w:val="24"/>
        </w:rPr>
        <w:t>(201</w:t>
      </w:r>
      <w:r w:rsidR="00916E6A">
        <w:rPr>
          <w:rFonts w:ascii="Times New Roman" w:hAnsi="Times New Roman"/>
          <w:sz w:val="24"/>
          <w:szCs w:val="24"/>
        </w:rPr>
        <w:t>9</w:t>
      </w:r>
      <w:r w:rsidR="005361AF">
        <w:rPr>
          <w:rFonts w:ascii="Times New Roman" w:hAnsi="Times New Roman"/>
          <w:sz w:val="24"/>
          <w:szCs w:val="24"/>
        </w:rPr>
        <w:t xml:space="preserve">) </w:t>
      </w:r>
      <w:r w:rsidR="005361AF" w:rsidRPr="00A90D2C">
        <w:rPr>
          <w:rFonts w:ascii="Times New Roman" w:hAnsi="Times New Roman"/>
          <w:sz w:val="24"/>
          <w:szCs w:val="24"/>
        </w:rPr>
        <w:t>show that</w:t>
      </w:r>
      <w:r w:rsidR="005361AF">
        <w:rPr>
          <w:rFonts w:ascii="Times New Roman" w:hAnsi="Times New Roman"/>
          <w:sz w:val="24"/>
          <w:szCs w:val="24"/>
        </w:rPr>
        <w:t xml:space="preserve"> disagreement about the information content of central bank communication</w:t>
      </w:r>
      <w:r w:rsidR="005361AF" w:rsidRPr="00A90D2C">
        <w:rPr>
          <w:rFonts w:ascii="Times New Roman" w:hAnsi="Times New Roman"/>
          <w:sz w:val="24"/>
          <w:szCs w:val="24"/>
        </w:rPr>
        <w:t xml:space="preserve"> at the </w:t>
      </w:r>
      <w:r w:rsidR="005361AF">
        <w:rPr>
          <w:rFonts w:ascii="Times New Roman" w:hAnsi="Times New Roman"/>
          <w:sz w:val="24"/>
          <w:szCs w:val="24"/>
        </w:rPr>
        <w:t>zero lower bound (ZLB) of interest rates</w:t>
      </w:r>
      <w:r w:rsidR="005361AF" w:rsidRPr="00A90D2C">
        <w:rPr>
          <w:rFonts w:ascii="Times New Roman" w:hAnsi="Times New Roman"/>
          <w:sz w:val="24"/>
          <w:szCs w:val="24"/>
        </w:rPr>
        <w:t xml:space="preserve"> </w:t>
      </w:r>
      <w:r w:rsidR="005361AF">
        <w:rPr>
          <w:rFonts w:ascii="Times New Roman" w:hAnsi="Times New Roman"/>
          <w:sz w:val="24"/>
          <w:szCs w:val="24"/>
        </w:rPr>
        <w:t>can create</w:t>
      </w:r>
      <w:r w:rsidR="005361AF" w:rsidRPr="00A90D2C">
        <w:rPr>
          <w:rFonts w:ascii="Times New Roman" w:hAnsi="Times New Roman"/>
          <w:sz w:val="24"/>
          <w:szCs w:val="24"/>
        </w:rPr>
        <w:t xml:space="preserve"> disagreement about </w:t>
      </w:r>
      <w:r w:rsidR="005361AF">
        <w:rPr>
          <w:rFonts w:ascii="Times New Roman" w:hAnsi="Times New Roman"/>
          <w:sz w:val="24"/>
          <w:szCs w:val="24"/>
        </w:rPr>
        <w:t xml:space="preserve">the path of future </w:t>
      </w:r>
      <w:r w:rsidR="005361AF" w:rsidRPr="00A90D2C">
        <w:rPr>
          <w:rFonts w:ascii="Times New Roman" w:hAnsi="Times New Roman"/>
          <w:sz w:val="24"/>
          <w:szCs w:val="24"/>
        </w:rPr>
        <w:t>output</w:t>
      </w:r>
      <w:r w:rsidR="005361AF">
        <w:rPr>
          <w:rFonts w:ascii="Times New Roman" w:hAnsi="Times New Roman"/>
          <w:sz w:val="24"/>
          <w:szCs w:val="24"/>
        </w:rPr>
        <w:t xml:space="preserve"> and hence inflation. This mechanism, however, does not operate outside of the ZLB. By </w:t>
      </w:r>
      <w:r w:rsidR="005361AF">
        <w:rPr>
          <w:rFonts w:ascii="Times New Roman" w:hAnsi="Times New Roman"/>
          <w:sz w:val="24"/>
          <w:szCs w:val="24"/>
        </w:rPr>
        <w:lastRenderedPageBreak/>
        <w:t>contrast, we find that deflations are associated with greater inflation forecast disagreement also when interest rates are away from the ZLB. In particular, we show in Columns (</w:t>
      </w:r>
      <w:r w:rsidR="00954540">
        <w:rPr>
          <w:rFonts w:ascii="Times New Roman" w:hAnsi="Times New Roman"/>
          <w:sz w:val="24"/>
          <w:szCs w:val="24"/>
        </w:rPr>
        <w:t>5</w:t>
      </w:r>
      <w:r w:rsidR="005361AF">
        <w:rPr>
          <w:rFonts w:ascii="Times New Roman" w:hAnsi="Times New Roman"/>
          <w:sz w:val="24"/>
          <w:szCs w:val="24"/>
        </w:rPr>
        <w:t>) and (</w:t>
      </w:r>
      <w:r w:rsidR="00954540">
        <w:rPr>
          <w:rFonts w:ascii="Times New Roman" w:hAnsi="Times New Roman"/>
          <w:sz w:val="24"/>
          <w:szCs w:val="24"/>
        </w:rPr>
        <w:t>6</w:t>
      </w:r>
      <w:r w:rsidR="005361AF">
        <w:rPr>
          <w:rFonts w:ascii="Times New Roman" w:hAnsi="Times New Roman"/>
          <w:sz w:val="24"/>
          <w:szCs w:val="24"/>
        </w:rPr>
        <w:t>) of Table 4 that deflations are associated with greater inflation forecast disagreement also when periods of ZLB a</w:t>
      </w:r>
      <w:r w:rsidR="00F1452C">
        <w:rPr>
          <w:rFonts w:ascii="Times New Roman" w:hAnsi="Times New Roman"/>
          <w:sz w:val="24"/>
          <w:szCs w:val="24"/>
        </w:rPr>
        <w:t>re excluded from the estimation, as the coefficient</w:t>
      </w:r>
      <w:r w:rsidR="00086E05">
        <w:rPr>
          <w:rFonts w:ascii="Times New Roman" w:hAnsi="Times New Roman"/>
          <w:sz w:val="24"/>
          <w:szCs w:val="24"/>
        </w:rPr>
        <w:t>s</w:t>
      </w:r>
      <w:r w:rsidR="00F1452C">
        <w:rPr>
          <w:rFonts w:ascii="Times New Roman" w:hAnsi="Times New Roman"/>
          <w:sz w:val="24"/>
          <w:szCs w:val="24"/>
        </w:rPr>
        <w:t xml:space="preserve"> on the deflation dummy variable</w:t>
      </w:r>
      <w:r w:rsidR="00086E05">
        <w:rPr>
          <w:rFonts w:ascii="Times New Roman" w:hAnsi="Times New Roman"/>
          <w:sz w:val="24"/>
          <w:szCs w:val="24"/>
        </w:rPr>
        <w:t>s</w:t>
      </w:r>
      <w:r w:rsidR="00F1452C">
        <w:rPr>
          <w:rFonts w:ascii="Times New Roman" w:hAnsi="Times New Roman"/>
          <w:sz w:val="24"/>
          <w:szCs w:val="24"/>
        </w:rPr>
        <w:t xml:space="preserve"> remain statistically significant and positive.</w:t>
      </w:r>
      <w:r w:rsidR="005361AF">
        <w:rPr>
          <w:rFonts w:ascii="Times New Roman" w:hAnsi="Times New Roman"/>
          <w:sz w:val="24"/>
          <w:szCs w:val="24"/>
        </w:rPr>
        <w:t xml:space="preserve"> </w:t>
      </w:r>
      <w:r w:rsidR="00954540">
        <w:rPr>
          <w:rFonts w:ascii="Times New Roman" w:hAnsi="Times New Roman"/>
          <w:sz w:val="24"/>
          <w:szCs w:val="24"/>
        </w:rPr>
        <w:t xml:space="preserve">Similarly, left-tail forecasts also shift down during those deflations where the economy is outside the ZLB (Columns (5) and (6) </w:t>
      </w:r>
      <w:r w:rsidR="00C376D8">
        <w:rPr>
          <w:rFonts w:ascii="Times New Roman" w:hAnsi="Times New Roman"/>
          <w:sz w:val="24"/>
          <w:szCs w:val="24"/>
        </w:rPr>
        <w:t>in</w:t>
      </w:r>
      <w:r w:rsidR="00954540">
        <w:rPr>
          <w:rFonts w:ascii="Times New Roman" w:hAnsi="Times New Roman"/>
          <w:sz w:val="24"/>
          <w:szCs w:val="24"/>
        </w:rPr>
        <w:t xml:space="preserve"> </w:t>
      </w:r>
      <w:r w:rsidR="00236ACA">
        <w:rPr>
          <w:rFonts w:ascii="Times New Roman" w:hAnsi="Times New Roman"/>
          <w:sz w:val="24"/>
          <w:szCs w:val="24"/>
        </w:rPr>
        <w:t xml:space="preserve">Online Annex </w:t>
      </w:r>
      <w:r w:rsidR="00954540">
        <w:rPr>
          <w:rFonts w:ascii="Times New Roman" w:hAnsi="Times New Roman"/>
          <w:sz w:val="24"/>
          <w:szCs w:val="24"/>
        </w:rPr>
        <w:t xml:space="preserve">Table </w:t>
      </w:r>
      <w:r w:rsidR="00A50BA6">
        <w:rPr>
          <w:rFonts w:ascii="Times New Roman" w:hAnsi="Times New Roman"/>
          <w:sz w:val="24"/>
          <w:szCs w:val="24"/>
        </w:rPr>
        <w:t>A6</w:t>
      </w:r>
      <w:r w:rsidR="00954540">
        <w:rPr>
          <w:rFonts w:ascii="Times New Roman" w:hAnsi="Times New Roman"/>
          <w:sz w:val="24"/>
          <w:szCs w:val="24"/>
        </w:rPr>
        <w:t>).</w:t>
      </w:r>
    </w:p>
    <w:p w14:paraId="3EF01149" w14:textId="22A6619D" w:rsidR="009C4F16" w:rsidRPr="00731C8B" w:rsidRDefault="009C4F16" w:rsidP="008C5B51">
      <w:pPr>
        <w:pStyle w:val="Heading2"/>
        <w:spacing w:line="480" w:lineRule="auto"/>
        <w:rPr>
          <w:rFonts w:ascii="Times New Roman" w:hAnsi="Times New Roman"/>
          <w:color w:val="auto"/>
          <w:szCs w:val="24"/>
        </w:rPr>
      </w:pPr>
      <w:r w:rsidRPr="00731C8B">
        <w:rPr>
          <w:rFonts w:ascii="Times New Roman" w:hAnsi="Times New Roman"/>
          <w:color w:val="auto"/>
          <w:szCs w:val="24"/>
        </w:rPr>
        <w:t>4.</w:t>
      </w:r>
      <w:r w:rsidR="0050789F">
        <w:rPr>
          <w:rFonts w:ascii="Times New Roman" w:hAnsi="Times New Roman"/>
          <w:color w:val="auto"/>
          <w:szCs w:val="24"/>
        </w:rPr>
        <w:t>3</w:t>
      </w:r>
      <w:r w:rsidRPr="00731C8B">
        <w:rPr>
          <w:rFonts w:ascii="Times New Roman" w:hAnsi="Times New Roman"/>
          <w:color w:val="auto"/>
          <w:szCs w:val="24"/>
        </w:rPr>
        <w:t>.</w:t>
      </w:r>
      <w:r w:rsidRPr="00731C8B">
        <w:rPr>
          <w:rFonts w:ascii="Times New Roman" w:hAnsi="Times New Roman"/>
          <w:color w:val="auto"/>
          <w:szCs w:val="24"/>
        </w:rPr>
        <w:tab/>
      </w:r>
      <w:r>
        <w:rPr>
          <w:rFonts w:ascii="Times New Roman" w:hAnsi="Times New Roman"/>
          <w:color w:val="auto"/>
          <w:szCs w:val="24"/>
        </w:rPr>
        <w:t>Macroeconomic implications</w:t>
      </w:r>
    </w:p>
    <w:p w14:paraId="7F5D36BC" w14:textId="21A4B66B" w:rsidR="0050789F" w:rsidRDefault="0050789F">
      <w:pPr>
        <w:pStyle w:val="Paragraph"/>
        <w:spacing w:line="480" w:lineRule="auto"/>
        <w:rPr>
          <w:rFonts w:ascii="Times New Roman" w:hAnsi="Times New Roman"/>
          <w:sz w:val="24"/>
          <w:szCs w:val="24"/>
        </w:rPr>
      </w:pPr>
      <w:r>
        <w:rPr>
          <w:rFonts w:ascii="Times New Roman" w:hAnsi="Times New Roman"/>
          <w:sz w:val="24"/>
          <w:szCs w:val="24"/>
        </w:rPr>
        <w:t xml:space="preserve">We investigate the macroeconomic impact of </w:t>
      </w:r>
      <w:proofErr w:type="spellStart"/>
      <w:r w:rsidR="00996085">
        <w:rPr>
          <w:rFonts w:ascii="Times New Roman" w:hAnsi="Times New Roman"/>
          <w:sz w:val="24"/>
          <w:szCs w:val="24"/>
        </w:rPr>
        <w:t>heterogenous</w:t>
      </w:r>
      <w:proofErr w:type="spellEnd"/>
      <w:r w:rsidR="00996085">
        <w:rPr>
          <w:rFonts w:ascii="Times New Roman" w:hAnsi="Times New Roman"/>
          <w:sz w:val="24"/>
          <w:szCs w:val="24"/>
        </w:rPr>
        <w:t xml:space="preserve"> expectations</w:t>
      </w:r>
      <w:r>
        <w:rPr>
          <w:rFonts w:ascii="Times New Roman" w:hAnsi="Times New Roman"/>
          <w:sz w:val="24"/>
          <w:szCs w:val="24"/>
        </w:rPr>
        <w:t xml:space="preserve"> in a panel vector autoregressive (VAR) model. </w:t>
      </w:r>
      <w:r w:rsidR="00996085">
        <w:rPr>
          <w:rFonts w:ascii="Times New Roman" w:hAnsi="Times New Roman"/>
          <w:sz w:val="24"/>
          <w:szCs w:val="24"/>
        </w:rPr>
        <w:t>We apply</w:t>
      </w:r>
      <w:r>
        <w:rPr>
          <w:rFonts w:ascii="Times New Roman" w:hAnsi="Times New Roman"/>
          <w:sz w:val="24"/>
          <w:szCs w:val="24"/>
        </w:rPr>
        <w:t xml:space="preserve"> </w:t>
      </w:r>
      <w:r w:rsidR="00951398">
        <w:rPr>
          <w:rFonts w:ascii="Times New Roman" w:hAnsi="Times New Roman"/>
          <w:sz w:val="24"/>
          <w:szCs w:val="24"/>
        </w:rPr>
        <w:t>our previous</w:t>
      </w:r>
      <w:r>
        <w:rPr>
          <w:rFonts w:ascii="Times New Roman" w:hAnsi="Times New Roman"/>
          <w:sz w:val="24"/>
          <w:szCs w:val="24"/>
        </w:rPr>
        <w:t xml:space="preserve"> result that deflations are associated with shifts in the left tail of forecast distribution. </w:t>
      </w:r>
      <w:r w:rsidR="00BD1ACC">
        <w:rPr>
          <w:rFonts w:ascii="Times New Roman" w:hAnsi="Times New Roman"/>
          <w:sz w:val="24"/>
          <w:szCs w:val="24"/>
        </w:rPr>
        <w:t>Then</w:t>
      </w:r>
      <w:r w:rsidR="00951398">
        <w:rPr>
          <w:rFonts w:ascii="Times New Roman" w:hAnsi="Times New Roman"/>
          <w:sz w:val="24"/>
          <w:szCs w:val="24"/>
        </w:rPr>
        <w:t>, w</w:t>
      </w:r>
      <w:r>
        <w:rPr>
          <w:rFonts w:ascii="Times New Roman" w:hAnsi="Times New Roman"/>
          <w:sz w:val="24"/>
          <w:szCs w:val="24"/>
        </w:rPr>
        <w:t xml:space="preserve">e identify exogenous shocks to the left tail of the forecast distribution, and examine the effects of such shocks on macroeconomic variables. </w:t>
      </w:r>
      <w:r w:rsidR="006526F0">
        <w:rPr>
          <w:rFonts w:ascii="Times New Roman" w:hAnsi="Times New Roman"/>
          <w:sz w:val="24"/>
          <w:szCs w:val="24"/>
        </w:rPr>
        <w:t xml:space="preserve">Similar to </w:t>
      </w:r>
      <w:proofErr w:type="spellStart"/>
      <w:r w:rsidR="006526F0">
        <w:rPr>
          <w:rFonts w:ascii="Times New Roman" w:hAnsi="Times New Roman"/>
          <w:sz w:val="24"/>
          <w:szCs w:val="24"/>
        </w:rPr>
        <w:t>Ehling</w:t>
      </w:r>
      <w:proofErr w:type="spellEnd"/>
      <w:r w:rsidR="006526F0">
        <w:rPr>
          <w:rFonts w:ascii="Times New Roman" w:hAnsi="Times New Roman"/>
          <w:sz w:val="24"/>
          <w:szCs w:val="24"/>
        </w:rPr>
        <w:t xml:space="preserve"> et al (2018), we use a model where </w:t>
      </w:r>
      <w:r w:rsidR="006526F0" w:rsidRPr="00C56707">
        <w:rPr>
          <w:rFonts w:ascii="Times New Roman" w:hAnsi="Times New Roman"/>
          <w:sz w:val="24"/>
          <w:szCs w:val="24"/>
        </w:rPr>
        <w:t xml:space="preserve">disagreement </w:t>
      </w:r>
      <w:r w:rsidR="006526F0">
        <w:rPr>
          <w:rFonts w:ascii="Times New Roman" w:hAnsi="Times New Roman"/>
          <w:sz w:val="24"/>
          <w:szCs w:val="24"/>
        </w:rPr>
        <w:t>shocks</w:t>
      </w:r>
      <w:r w:rsidR="006526F0" w:rsidRPr="00C56707">
        <w:rPr>
          <w:rFonts w:ascii="Times New Roman" w:hAnsi="Times New Roman"/>
          <w:sz w:val="24"/>
          <w:szCs w:val="24"/>
        </w:rPr>
        <w:t xml:space="preserve"> </w:t>
      </w:r>
      <w:r w:rsidR="006526F0">
        <w:rPr>
          <w:rFonts w:ascii="Times New Roman" w:hAnsi="Times New Roman"/>
          <w:sz w:val="24"/>
          <w:szCs w:val="24"/>
        </w:rPr>
        <w:t>are contemporaneously exogenous to the real economy variables and, in that sense, non-fundamental in nature.</w:t>
      </w:r>
    </w:p>
    <w:p w14:paraId="3609BE36" w14:textId="77777777" w:rsidR="0050789F" w:rsidRPr="00731C8B" w:rsidRDefault="0050789F" w:rsidP="0050789F">
      <w:pPr>
        <w:pStyle w:val="Paragraph"/>
        <w:spacing w:line="480" w:lineRule="auto"/>
        <w:rPr>
          <w:rFonts w:ascii="Times New Roman" w:hAnsi="Times New Roman"/>
          <w:sz w:val="24"/>
          <w:szCs w:val="24"/>
        </w:rPr>
      </w:pPr>
      <w:r>
        <w:rPr>
          <w:rFonts w:ascii="Times New Roman" w:hAnsi="Times New Roman"/>
          <w:sz w:val="24"/>
          <w:szCs w:val="24"/>
        </w:rPr>
        <w:t>Formally, we write the panel VAR</w:t>
      </w:r>
      <w:r w:rsidRPr="00731C8B">
        <w:rPr>
          <w:rFonts w:ascii="Times New Roman" w:hAnsi="Times New Roman"/>
          <w:sz w:val="24"/>
          <w:szCs w:val="24"/>
        </w:rPr>
        <w:t xml:space="preserve"> as:</w:t>
      </w:r>
    </w:p>
    <w:p w14:paraId="2ED2F775" w14:textId="77777777" w:rsidR="0050789F" w:rsidRPr="00731C8B" w:rsidRDefault="00AA128E" w:rsidP="0050789F">
      <w:pPr>
        <w:pStyle w:val="FirstParagraph"/>
        <w:tabs>
          <w:tab w:val="right" w:pos="7419"/>
        </w:tabs>
        <w:spacing w:line="480" w:lineRule="auto"/>
        <w:rPr>
          <w:rFonts w:ascii="Times New Roman" w:eastAsiaTheme="minorEastAsia" w:hAnsi="Times New Roman"/>
          <w:iCs/>
          <w:sz w:val="24"/>
          <w:szCs w:val="24"/>
        </w:rPr>
      </w:pPr>
      <m:oMath>
        <m:sSub>
          <m:sSubPr>
            <m:ctrlPr>
              <w:rPr>
                <w:rFonts w:ascii="Cambria Math" w:hAnsi="Cambria Math"/>
                <w:iCs/>
                <w:sz w:val="24"/>
                <w:szCs w:val="24"/>
              </w:rPr>
            </m:ctrlPr>
          </m:sSubPr>
          <m:e>
            <m:r>
              <w:rPr>
                <w:rFonts w:ascii="Cambria Math" w:hAnsi="Cambria Math"/>
                <w:sz w:val="24"/>
                <w:szCs w:val="24"/>
                <w:lang w:val="en-US"/>
              </w:rPr>
              <m:t>y</m:t>
            </m:r>
          </m:e>
          <m:sub>
            <m:r>
              <w:rPr>
                <w:rFonts w:ascii="Cambria Math" w:hAnsi="Cambria Math"/>
                <w:sz w:val="24"/>
                <w:szCs w:val="24"/>
                <w:lang w:val="en-US"/>
              </w:rPr>
              <m:t>c</m:t>
            </m:r>
            <m:r>
              <m:rPr>
                <m:sty m:val="p"/>
              </m:rPr>
              <w:rPr>
                <w:rFonts w:ascii="Cambria Math" w:hAnsi="Cambria Math"/>
                <w:sz w:val="24"/>
                <w:szCs w:val="24"/>
                <w:lang w:val="en-US"/>
              </w:rPr>
              <m:t>,</m:t>
            </m:r>
            <m:r>
              <w:rPr>
                <w:rFonts w:ascii="Cambria Math" w:hAnsi="Cambria Math"/>
                <w:sz w:val="24"/>
                <w:szCs w:val="24"/>
                <w:lang w:val="en-US"/>
              </w:rPr>
              <m:t>t</m:t>
            </m:r>
          </m:sub>
        </m:sSub>
        <m:r>
          <m:rPr>
            <m:sty m:val="p"/>
          </m:rPr>
          <w:rPr>
            <w:rFonts w:ascii="Cambria Math" w:hAnsi="Cambria Math"/>
            <w:sz w:val="24"/>
            <w:szCs w:val="24"/>
            <w:lang w:val="en-US"/>
          </w:rPr>
          <m:t>=</m:t>
        </m:r>
        <m:sSub>
          <m:sSubPr>
            <m:ctrlPr>
              <w:rPr>
                <w:rFonts w:ascii="Cambria Math" w:hAnsi="Cambria Math"/>
                <w:iCs/>
                <w:sz w:val="24"/>
                <w:szCs w:val="24"/>
              </w:rPr>
            </m:ctrlPr>
          </m:sSubPr>
          <m:e>
            <m:r>
              <w:rPr>
                <w:rFonts w:ascii="Cambria Math" w:hAnsi="Cambria Math"/>
                <w:sz w:val="24"/>
                <w:szCs w:val="24"/>
                <w:lang w:val="en-US"/>
              </w:rPr>
              <m:t>A</m:t>
            </m:r>
          </m:e>
          <m:sub>
            <m:r>
              <m:rPr>
                <m:sty m:val="p"/>
              </m:rPr>
              <w:rPr>
                <w:rFonts w:ascii="Cambria Math" w:hAnsi="Cambria Math"/>
                <w:sz w:val="24"/>
                <w:szCs w:val="24"/>
                <w:lang w:val="en-US"/>
              </w:rPr>
              <m:t>1</m:t>
            </m:r>
          </m:sub>
        </m:sSub>
        <m:sSub>
          <m:sSubPr>
            <m:ctrlPr>
              <w:rPr>
                <w:rFonts w:ascii="Cambria Math" w:hAnsi="Cambria Math"/>
                <w:sz w:val="24"/>
                <w:szCs w:val="24"/>
                <w:lang w:val="en-US"/>
              </w:rPr>
            </m:ctrlPr>
          </m:sSubPr>
          <m:e>
            <m:r>
              <w:rPr>
                <w:rFonts w:ascii="Cambria Math" w:hAnsi="Cambria Math"/>
                <w:sz w:val="24"/>
                <w:szCs w:val="24"/>
                <w:lang w:val="en-US"/>
              </w:rPr>
              <m:t>y</m:t>
            </m:r>
          </m:e>
          <m:sub>
            <m:r>
              <w:rPr>
                <w:rFonts w:ascii="Cambria Math" w:hAnsi="Cambria Math"/>
                <w:sz w:val="24"/>
                <w:szCs w:val="24"/>
                <w:lang w:val="en-US"/>
              </w:rPr>
              <m:t>c</m:t>
            </m:r>
            <m:r>
              <m:rPr>
                <m:sty m:val="p"/>
              </m:rPr>
              <w:rPr>
                <w:rFonts w:ascii="Cambria Math" w:hAnsi="Cambria Math"/>
                <w:sz w:val="24"/>
                <w:szCs w:val="24"/>
                <w:lang w:val="en-US"/>
              </w:rPr>
              <m:t>,</m:t>
            </m:r>
            <m:r>
              <w:rPr>
                <w:rFonts w:ascii="Cambria Math" w:hAnsi="Cambria Math"/>
                <w:sz w:val="24"/>
                <w:szCs w:val="24"/>
                <w:lang w:val="en-US"/>
              </w:rPr>
              <m:t>t</m:t>
            </m:r>
            <m:r>
              <m:rPr>
                <m:sty m:val="p"/>
              </m:rPr>
              <w:rPr>
                <w:rFonts w:ascii="Cambria Math" w:hAnsi="Cambria Math"/>
                <w:sz w:val="24"/>
                <w:szCs w:val="24"/>
                <w:lang w:val="en-US"/>
              </w:rPr>
              <m:t>-1</m:t>
            </m:r>
          </m:sub>
        </m:sSub>
        <m:r>
          <m:rPr>
            <m:sty m:val="p"/>
          </m:rPr>
          <w:rPr>
            <w:rFonts w:ascii="Cambria Math" w:hAnsi="Cambria Math"/>
            <w:sz w:val="24"/>
            <w:szCs w:val="24"/>
            <w:lang w:val="en-US"/>
          </w:rPr>
          <m:t>+</m:t>
        </m:r>
        <m:sSub>
          <m:sSubPr>
            <m:ctrlPr>
              <w:rPr>
                <w:rFonts w:ascii="Cambria Math" w:hAnsi="Cambria Math"/>
                <w:iCs/>
                <w:sz w:val="24"/>
                <w:szCs w:val="24"/>
              </w:rPr>
            </m:ctrlPr>
          </m:sSubPr>
          <m:e>
            <m:r>
              <w:rPr>
                <w:rFonts w:ascii="Cambria Math" w:hAnsi="Cambria Math"/>
                <w:sz w:val="24"/>
                <w:szCs w:val="24"/>
                <w:lang w:val="en-US"/>
              </w:rPr>
              <m:t>A</m:t>
            </m:r>
          </m:e>
          <m:sub>
            <m:r>
              <m:rPr>
                <m:sty m:val="p"/>
              </m:rPr>
              <w:rPr>
                <w:rFonts w:ascii="Cambria Math" w:hAnsi="Cambria Math"/>
                <w:sz w:val="24"/>
                <w:szCs w:val="24"/>
                <w:lang w:val="en-US"/>
              </w:rPr>
              <m:t>2</m:t>
            </m:r>
          </m:sub>
        </m:sSub>
        <m:sSub>
          <m:sSubPr>
            <m:ctrlPr>
              <w:rPr>
                <w:rFonts w:ascii="Cambria Math" w:hAnsi="Cambria Math"/>
                <w:sz w:val="24"/>
                <w:szCs w:val="24"/>
                <w:lang w:val="en-US"/>
              </w:rPr>
            </m:ctrlPr>
          </m:sSubPr>
          <m:e>
            <m:r>
              <w:rPr>
                <w:rFonts w:ascii="Cambria Math" w:hAnsi="Cambria Math"/>
                <w:sz w:val="24"/>
                <w:szCs w:val="24"/>
                <w:lang w:val="en-US"/>
              </w:rPr>
              <m:t>y</m:t>
            </m:r>
          </m:e>
          <m:sub>
            <m:r>
              <w:rPr>
                <w:rFonts w:ascii="Cambria Math" w:hAnsi="Cambria Math"/>
                <w:sz w:val="24"/>
                <w:szCs w:val="24"/>
                <w:lang w:val="en-US"/>
              </w:rPr>
              <m:t>c</m:t>
            </m:r>
            <m:r>
              <m:rPr>
                <m:sty m:val="p"/>
              </m:rPr>
              <w:rPr>
                <w:rFonts w:ascii="Cambria Math" w:hAnsi="Cambria Math"/>
                <w:sz w:val="24"/>
                <w:szCs w:val="24"/>
                <w:lang w:val="en-US"/>
              </w:rPr>
              <m:t>,</m:t>
            </m:r>
            <m:r>
              <w:rPr>
                <w:rFonts w:ascii="Cambria Math" w:hAnsi="Cambria Math"/>
                <w:sz w:val="24"/>
                <w:szCs w:val="24"/>
                <w:lang w:val="en-US"/>
              </w:rPr>
              <m:t>t</m:t>
            </m:r>
            <m:r>
              <m:rPr>
                <m:sty m:val="p"/>
              </m:rPr>
              <w:rPr>
                <w:rFonts w:ascii="Cambria Math" w:hAnsi="Cambria Math"/>
                <w:sz w:val="24"/>
                <w:szCs w:val="24"/>
                <w:lang w:val="en-US"/>
              </w:rPr>
              <m:t>-2</m:t>
            </m:r>
          </m:sub>
        </m:sSub>
        <m:r>
          <m:rPr>
            <m:sty m:val="p"/>
          </m:rPr>
          <w:rPr>
            <w:rFonts w:ascii="Cambria Math" w:hAnsi="Cambria Math"/>
            <w:sz w:val="24"/>
            <w:szCs w:val="24"/>
            <w:lang w:val="en-US"/>
          </w:rPr>
          <m:t>+…+</m:t>
        </m:r>
        <m:sSub>
          <m:sSubPr>
            <m:ctrlPr>
              <w:rPr>
                <w:rFonts w:ascii="Cambria Math" w:hAnsi="Cambria Math"/>
                <w:iCs/>
                <w:sz w:val="24"/>
                <w:szCs w:val="24"/>
              </w:rPr>
            </m:ctrlPr>
          </m:sSubPr>
          <m:e>
            <m:r>
              <w:rPr>
                <w:rFonts w:ascii="Cambria Math" w:hAnsi="Cambria Math"/>
                <w:sz w:val="24"/>
                <w:szCs w:val="24"/>
                <w:lang w:val="en-US"/>
              </w:rPr>
              <m:t>A</m:t>
            </m:r>
          </m:e>
          <m:sub>
            <m:r>
              <w:rPr>
                <w:rFonts w:ascii="Cambria Math" w:hAnsi="Cambria Math"/>
                <w:sz w:val="24"/>
                <w:szCs w:val="24"/>
                <w:lang w:val="en-US"/>
              </w:rPr>
              <m:t>p</m:t>
            </m:r>
          </m:sub>
        </m:sSub>
        <m:sSub>
          <m:sSubPr>
            <m:ctrlPr>
              <w:rPr>
                <w:rFonts w:ascii="Cambria Math" w:hAnsi="Cambria Math"/>
                <w:sz w:val="24"/>
                <w:szCs w:val="24"/>
                <w:lang w:val="en-US"/>
              </w:rPr>
            </m:ctrlPr>
          </m:sSubPr>
          <m:e>
            <m:r>
              <w:rPr>
                <w:rFonts w:ascii="Cambria Math" w:hAnsi="Cambria Math"/>
                <w:sz w:val="24"/>
                <w:szCs w:val="24"/>
                <w:lang w:val="en-US"/>
              </w:rPr>
              <m:t>y</m:t>
            </m:r>
          </m:e>
          <m:sub>
            <m:r>
              <w:rPr>
                <w:rFonts w:ascii="Cambria Math" w:hAnsi="Cambria Math"/>
                <w:sz w:val="24"/>
                <w:szCs w:val="24"/>
                <w:lang w:val="en-US"/>
              </w:rPr>
              <m:t>c</m:t>
            </m:r>
            <m:r>
              <m:rPr>
                <m:sty m:val="p"/>
              </m:rPr>
              <w:rPr>
                <w:rFonts w:ascii="Cambria Math" w:hAnsi="Cambria Math"/>
                <w:sz w:val="24"/>
                <w:szCs w:val="24"/>
                <w:lang w:val="en-US"/>
              </w:rPr>
              <m:t>,</m:t>
            </m:r>
            <m:r>
              <w:rPr>
                <w:rFonts w:ascii="Cambria Math" w:hAnsi="Cambria Math"/>
                <w:sz w:val="24"/>
                <w:szCs w:val="24"/>
                <w:lang w:val="en-US"/>
              </w:rPr>
              <m:t>t</m:t>
            </m:r>
            <m:r>
              <m:rPr>
                <m:sty m:val="p"/>
              </m:rPr>
              <w:rPr>
                <w:rFonts w:ascii="Cambria Math" w:hAnsi="Cambria Math"/>
                <w:sz w:val="24"/>
                <w:szCs w:val="24"/>
                <w:lang w:val="en-US"/>
              </w:rPr>
              <m:t>-</m:t>
            </m:r>
            <m:r>
              <w:rPr>
                <w:rFonts w:ascii="Cambria Math" w:hAnsi="Cambria Math"/>
                <w:sz w:val="24"/>
                <w:szCs w:val="24"/>
                <w:lang w:val="en-US"/>
              </w:rPr>
              <m:t>p</m:t>
            </m:r>
          </m:sub>
        </m:sSub>
        <m:r>
          <m:rPr>
            <m:sty m:val="p"/>
          </m:rPr>
          <w:rPr>
            <w:rFonts w:ascii="Cambria Math" w:hAnsi="Cambria Math"/>
            <w:sz w:val="24"/>
            <w:szCs w:val="24"/>
            <w:lang w:val="en-US"/>
          </w:rPr>
          <m:t>+</m:t>
        </m:r>
        <m:r>
          <w:rPr>
            <w:rFonts w:ascii="Cambria Math" w:hAnsi="Cambria Math"/>
            <w:sz w:val="24"/>
            <w:szCs w:val="24"/>
          </w:rPr>
          <m:t>B</m:t>
        </m:r>
        <m:sSub>
          <m:sSubPr>
            <m:ctrlPr>
              <w:rPr>
                <w:rFonts w:ascii="Cambria Math" w:hAnsi="Cambria Math"/>
                <w:sz w:val="24"/>
                <w:szCs w:val="24"/>
                <w:lang w:val="en-US"/>
              </w:rPr>
            </m:ctrlPr>
          </m:sSubPr>
          <m:e>
            <m:r>
              <w:rPr>
                <w:rFonts w:ascii="Cambria Math" w:hAnsi="Cambria Math"/>
                <w:sz w:val="24"/>
                <w:szCs w:val="24"/>
                <w:lang w:val="en-US"/>
              </w:rPr>
              <m:t>z</m:t>
            </m:r>
            <m:ctrlPr>
              <w:rPr>
                <w:rFonts w:ascii="Cambria Math" w:hAnsi="Cambria Math"/>
                <w:iCs/>
                <w:sz w:val="24"/>
                <w:szCs w:val="24"/>
              </w:rPr>
            </m:ctrlPr>
          </m:e>
          <m:sub>
            <m:r>
              <w:rPr>
                <w:rFonts w:ascii="Cambria Math" w:hAnsi="Cambria Math"/>
                <w:sz w:val="24"/>
                <w:szCs w:val="24"/>
                <w:lang w:val="en-US"/>
              </w:rPr>
              <m:t>c</m:t>
            </m:r>
            <m:r>
              <m:rPr>
                <m:sty m:val="p"/>
              </m:rPr>
              <w:rPr>
                <w:rFonts w:ascii="Cambria Math" w:hAnsi="Cambria Math"/>
                <w:sz w:val="24"/>
                <w:szCs w:val="24"/>
                <w:lang w:val="en-US"/>
              </w:rPr>
              <m:t>,</m:t>
            </m:r>
            <m:r>
              <w:rPr>
                <w:rFonts w:ascii="Cambria Math" w:hAnsi="Cambria Math"/>
                <w:sz w:val="24"/>
                <w:szCs w:val="24"/>
                <w:lang w:val="en-US"/>
              </w:rPr>
              <m:t>t</m:t>
            </m:r>
            <m:ctrlPr>
              <w:rPr>
                <w:rFonts w:ascii="Cambria Math" w:hAnsi="Cambria Math"/>
                <w:iCs/>
                <w:sz w:val="24"/>
                <w:szCs w:val="24"/>
              </w:rPr>
            </m:ctrlPr>
          </m:sub>
        </m:sSub>
        <m:r>
          <m:rPr>
            <m:sty m:val="p"/>
          </m:rPr>
          <w:rPr>
            <w:rFonts w:ascii="Cambria Math" w:hAnsi="Cambria Math"/>
            <w:sz w:val="24"/>
            <w:szCs w:val="24"/>
            <w:lang w:val="en-US"/>
          </w:rPr>
          <m:t>+</m:t>
        </m:r>
        <m:sSub>
          <m:sSubPr>
            <m:ctrlPr>
              <w:rPr>
                <w:rFonts w:ascii="Cambria Math" w:hAnsi="Cambria Math"/>
                <w:sz w:val="24"/>
                <w:szCs w:val="24"/>
                <w:lang w:val="en-US"/>
              </w:rPr>
            </m:ctrlPr>
          </m:sSubPr>
          <m:e>
            <m:r>
              <w:rPr>
                <w:rFonts w:ascii="Cambria Math" w:hAnsi="Cambria Math"/>
                <w:sz w:val="24"/>
                <w:szCs w:val="24"/>
                <w:lang w:val="en-US"/>
              </w:rPr>
              <m:t>u</m:t>
            </m:r>
          </m:e>
          <m:sub>
            <m:r>
              <w:rPr>
                <w:rFonts w:ascii="Cambria Math" w:hAnsi="Cambria Math"/>
                <w:sz w:val="24"/>
                <w:szCs w:val="24"/>
                <w:lang w:val="en-US"/>
              </w:rPr>
              <m:t>c</m:t>
            </m:r>
          </m:sub>
        </m:sSub>
        <m:r>
          <m:rPr>
            <m:sty m:val="p"/>
          </m:rPr>
          <w:rPr>
            <w:rFonts w:ascii="Cambria Math" w:hAnsi="Cambria Math"/>
            <w:sz w:val="24"/>
            <w:szCs w:val="24"/>
            <w:lang w:val="en-US"/>
          </w:rPr>
          <m:t>+</m:t>
        </m:r>
        <m:sSub>
          <m:sSubPr>
            <m:ctrlPr>
              <w:rPr>
                <w:rFonts w:ascii="Cambria Math" w:hAnsi="Cambria Math"/>
                <w:iCs/>
                <w:sz w:val="24"/>
                <w:szCs w:val="24"/>
              </w:rPr>
            </m:ctrlPr>
          </m:sSubPr>
          <m:e>
            <m:r>
              <w:rPr>
                <w:rFonts w:ascii="Cambria Math" w:hAnsi="Cambria Math"/>
                <w:sz w:val="24"/>
                <w:szCs w:val="24"/>
                <w:lang w:val="en-US"/>
              </w:rPr>
              <m:t>e</m:t>
            </m:r>
          </m:e>
          <m:sub>
            <m:r>
              <w:rPr>
                <w:rFonts w:ascii="Cambria Math" w:hAnsi="Cambria Math"/>
                <w:sz w:val="24"/>
                <w:szCs w:val="24"/>
                <w:lang w:val="en-US"/>
              </w:rPr>
              <m:t>c</m:t>
            </m:r>
            <m:r>
              <m:rPr>
                <m:sty m:val="p"/>
              </m:rPr>
              <w:rPr>
                <w:rFonts w:ascii="Cambria Math" w:hAnsi="Cambria Math"/>
                <w:sz w:val="24"/>
                <w:szCs w:val="24"/>
                <w:lang w:val="en-US"/>
              </w:rPr>
              <m:t>,</m:t>
            </m:r>
            <m:r>
              <w:rPr>
                <w:rFonts w:ascii="Cambria Math" w:hAnsi="Cambria Math"/>
                <w:sz w:val="24"/>
                <w:szCs w:val="24"/>
                <w:lang w:val="en-US"/>
              </w:rPr>
              <m:t>t</m:t>
            </m:r>
          </m:sub>
        </m:sSub>
      </m:oMath>
      <w:r w:rsidR="0050789F" w:rsidRPr="00731C8B">
        <w:rPr>
          <w:rFonts w:ascii="Times New Roman" w:eastAsiaTheme="minorEastAsia" w:hAnsi="Times New Roman"/>
          <w:iCs/>
          <w:sz w:val="24"/>
          <w:szCs w:val="24"/>
        </w:rPr>
        <w:t>,</w:t>
      </w:r>
      <w:r w:rsidR="0050789F" w:rsidRPr="00731C8B">
        <w:rPr>
          <w:rFonts w:ascii="Times New Roman" w:eastAsiaTheme="minorEastAsia" w:hAnsi="Times New Roman"/>
          <w:iCs/>
          <w:sz w:val="24"/>
          <w:szCs w:val="24"/>
        </w:rPr>
        <w:tab/>
        <w:t>(3)</w:t>
      </w:r>
    </w:p>
    <w:p w14:paraId="6E6C152C" w14:textId="77777777" w:rsidR="0050789F" w:rsidRPr="00731C8B" w:rsidRDefault="0050789F" w:rsidP="0050789F">
      <w:pPr>
        <w:pStyle w:val="FirstParagraph"/>
        <w:spacing w:line="480" w:lineRule="auto"/>
        <w:rPr>
          <w:rFonts w:ascii="Times New Roman" w:hAnsi="Times New Roman"/>
          <w:sz w:val="24"/>
          <w:szCs w:val="24"/>
          <w:lang w:val="en-US"/>
        </w:rPr>
      </w:pPr>
      <w:r w:rsidRPr="00731C8B">
        <w:rPr>
          <w:rFonts w:ascii="Times New Roman" w:hAnsi="Times New Roman"/>
          <w:sz w:val="24"/>
          <w:szCs w:val="24"/>
        </w:rPr>
        <w:t xml:space="preserve">where </w:t>
      </w:r>
      <m:oMath>
        <m:sSub>
          <m:sSubPr>
            <m:ctrlPr>
              <w:rPr>
                <w:rFonts w:ascii="Cambria Math" w:hAnsi="Cambria Math"/>
                <w:i/>
                <w:iCs/>
                <w:sz w:val="24"/>
                <w:szCs w:val="24"/>
              </w:rPr>
            </m:ctrlPr>
          </m:sSubPr>
          <m:e>
            <m:r>
              <w:rPr>
                <w:rFonts w:ascii="Cambria Math" w:hAnsi="Cambria Math"/>
                <w:sz w:val="24"/>
                <w:szCs w:val="24"/>
                <w:lang w:val="en-US"/>
              </w:rPr>
              <m:t>y</m:t>
            </m:r>
          </m:e>
          <m:sub>
            <m:r>
              <w:rPr>
                <w:rFonts w:ascii="Cambria Math" w:hAnsi="Cambria Math"/>
                <w:sz w:val="24"/>
                <w:szCs w:val="24"/>
                <w:lang w:val="en-US"/>
              </w:rPr>
              <m:t>c,t</m:t>
            </m:r>
          </m:sub>
        </m:sSub>
      </m:oMath>
      <w:r w:rsidRPr="00731C8B">
        <w:rPr>
          <w:rFonts w:ascii="Times New Roman" w:hAnsi="Times New Roman"/>
          <w:sz w:val="24"/>
          <w:szCs w:val="24"/>
        </w:rPr>
        <w:t xml:space="preserve"> is a vector of </w:t>
      </w:r>
      <m:oMath>
        <m:r>
          <w:rPr>
            <w:rFonts w:ascii="Cambria Math" w:hAnsi="Cambria Math"/>
            <w:sz w:val="24"/>
            <w:szCs w:val="24"/>
          </w:rPr>
          <m:t>k</m:t>
        </m:r>
      </m:oMath>
      <w:r w:rsidRPr="00731C8B">
        <w:rPr>
          <w:rFonts w:ascii="Times New Roman" w:hAnsi="Times New Roman"/>
          <w:sz w:val="24"/>
          <w:szCs w:val="24"/>
        </w:rPr>
        <w:t xml:space="preserve"> endogenous variables, </w:t>
      </w:r>
      <m:oMath>
        <m:sSub>
          <m:sSubPr>
            <m:ctrlPr>
              <w:rPr>
                <w:rFonts w:ascii="Cambria Math" w:hAnsi="Cambria Math"/>
                <w:i/>
                <w:sz w:val="24"/>
                <w:szCs w:val="24"/>
                <w:lang w:val="en-US"/>
              </w:rPr>
            </m:ctrlPr>
          </m:sSubPr>
          <m:e>
            <m:r>
              <w:rPr>
                <w:rFonts w:ascii="Cambria Math" w:hAnsi="Cambria Math"/>
                <w:sz w:val="24"/>
                <w:szCs w:val="24"/>
                <w:lang w:val="en-US"/>
              </w:rPr>
              <m:t>z</m:t>
            </m:r>
            <m:ctrlPr>
              <w:rPr>
                <w:rFonts w:ascii="Cambria Math" w:hAnsi="Cambria Math"/>
                <w:i/>
                <w:iCs/>
                <w:sz w:val="24"/>
                <w:szCs w:val="24"/>
              </w:rPr>
            </m:ctrlPr>
          </m:e>
          <m:sub>
            <m:r>
              <w:rPr>
                <w:rFonts w:ascii="Cambria Math" w:hAnsi="Cambria Math"/>
                <w:sz w:val="24"/>
                <w:szCs w:val="24"/>
                <w:lang w:val="en-US"/>
              </w:rPr>
              <m:t>c,t</m:t>
            </m:r>
            <m:ctrlPr>
              <w:rPr>
                <w:rFonts w:ascii="Cambria Math" w:hAnsi="Cambria Math"/>
                <w:i/>
                <w:iCs/>
                <w:sz w:val="24"/>
                <w:szCs w:val="24"/>
              </w:rPr>
            </m:ctrlPr>
          </m:sub>
        </m:sSub>
      </m:oMath>
      <w:r w:rsidRPr="00731C8B">
        <w:rPr>
          <w:rFonts w:ascii="Times New Roman" w:hAnsi="Times New Roman"/>
          <w:sz w:val="24"/>
          <w:szCs w:val="24"/>
        </w:rPr>
        <w:t xml:space="preserve"> contains the exogenous variables, the </w:t>
      </w:r>
      <m:oMath>
        <m:sSub>
          <m:sSubPr>
            <m:ctrlPr>
              <w:rPr>
                <w:rFonts w:ascii="Cambria Math" w:hAnsi="Cambria Math"/>
                <w:i/>
                <w:iCs/>
                <w:sz w:val="24"/>
                <w:szCs w:val="24"/>
              </w:rPr>
            </m:ctrlPr>
          </m:sSubPr>
          <m:e>
            <m:r>
              <w:rPr>
                <w:rFonts w:ascii="Cambria Math" w:hAnsi="Cambria Math"/>
                <w:sz w:val="24"/>
                <w:szCs w:val="24"/>
                <w:lang w:val="en-US"/>
              </w:rPr>
              <m:t>A</m:t>
            </m:r>
          </m:e>
          <m:sub>
            <m:r>
              <w:rPr>
                <w:rFonts w:ascii="Cambria Math" w:hAnsi="Cambria Math"/>
                <w:sz w:val="24"/>
                <w:szCs w:val="24"/>
                <w:lang w:val="en-US"/>
              </w:rPr>
              <m:t>1</m:t>
            </m:r>
          </m:sub>
        </m:sSub>
      </m:oMath>
      <w:r w:rsidRPr="00731C8B">
        <w:rPr>
          <w:rFonts w:ascii="Times New Roman" w:eastAsiaTheme="minorEastAsia" w:hAnsi="Times New Roman"/>
          <w:iCs/>
          <w:sz w:val="24"/>
          <w:szCs w:val="24"/>
        </w:rPr>
        <w:t xml:space="preserve">, …, </w:t>
      </w:r>
      <m:oMath>
        <m:sSub>
          <m:sSubPr>
            <m:ctrlPr>
              <w:rPr>
                <w:rFonts w:ascii="Cambria Math" w:hAnsi="Cambria Math"/>
                <w:i/>
                <w:iCs/>
                <w:sz w:val="24"/>
                <w:szCs w:val="24"/>
              </w:rPr>
            </m:ctrlPr>
          </m:sSubPr>
          <m:e>
            <m:r>
              <w:rPr>
                <w:rFonts w:ascii="Cambria Math" w:hAnsi="Cambria Math"/>
                <w:sz w:val="24"/>
                <w:szCs w:val="24"/>
                <w:lang w:val="en-US"/>
              </w:rPr>
              <m:t>A</m:t>
            </m:r>
          </m:e>
          <m:sub>
            <m:r>
              <w:rPr>
                <w:rFonts w:ascii="Cambria Math" w:hAnsi="Cambria Math"/>
                <w:sz w:val="24"/>
                <w:szCs w:val="24"/>
                <w:lang w:val="en-US"/>
              </w:rPr>
              <m:t>p</m:t>
            </m:r>
          </m:sub>
        </m:sSub>
      </m:oMath>
      <w:r w:rsidRPr="00731C8B">
        <w:rPr>
          <w:rFonts w:ascii="Times New Roman" w:eastAsiaTheme="minorEastAsia" w:hAnsi="Times New Roman"/>
          <w:iCs/>
          <w:sz w:val="24"/>
          <w:szCs w:val="24"/>
        </w:rPr>
        <w:t xml:space="preserve"> and </w:t>
      </w:r>
      <m:oMath>
        <m:r>
          <w:rPr>
            <w:rFonts w:ascii="Cambria Math" w:hAnsi="Cambria Math"/>
            <w:sz w:val="24"/>
            <w:szCs w:val="24"/>
          </w:rPr>
          <m:t>B</m:t>
        </m:r>
      </m:oMath>
      <w:r w:rsidRPr="00731C8B">
        <w:rPr>
          <w:rFonts w:ascii="Times New Roman" w:eastAsiaTheme="minorEastAsia" w:hAnsi="Times New Roman"/>
          <w:iCs/>
          <w:sz w:val="24"/>
          <w:szCs w:val="24"/>
        </w:rPr>
        <w:t xml:space="preserve"> are coefficient matrices to be estimated; </w:t>
      </w:r>
      <m:oMath>
        <m:sSub>
          <m:sSubPr>
            <m:ctrlPr>
              <w:rPr>
                <w:rFonts w:ascii="Cambria Math" w:hAnsi="Cambria Math"/>
                <w:i/>
                <w:sz w:val="24"/>
                <w:szCs w:val="24"/>
                <w:lang w:val="en-US"/>
              </w:rPr>
            </m:ctrlPr>
          </m:sSubPr>
          <m:e>
            <m:r>
              <w:rPr>
                <w:rFonts w:ascii="Cambria Math" w:hAnsi="Cambria Math"/>
                <w:sz w:val="24"/>
                <w:szCs w:val="24"/>
                <w:lang w:val="en-US"/>
              </w:rPr>
              <m:t>u</m:t>
            </m:r>
          </m:e>
          <m:sub>
            <m:r>
              <w:rPr>
                <w:rFonts w:ascii="Cambria Math" w:hAnsi="Cambria Math"/>
                <w:sz w:val="24"/>
                <w:szCs w:val="24"/>
                <w:lang w:val="en-US"/>
              </w:rPr>
              <m:t>c</m:t>
            </m:r>
          </m:sub>
        </m:sSub>
      </m:oMath>
      <w:r w:rsidRPr="00731C8B">
        <w:rPr>
          <w:rFonts w:ascii="Times New Roman" w:hAnsi="Times New Roman"/>
          <w:sz w:val="24"/>
          <w:szCs w:val="24"/>
          <w:lang w:val="en-US"/>
        </w:rPr>
        <w:t xml:space="preserve"> contains the panel fixed effects; and </w:t>
      </w:r>
      <m:oMath>
        <m:sSub>
          <m:sSubPr>
            <m:ctrlPr>
              <w:rPr>
                <w:rFonts w:ascii="Cambria Math" w:hAnsi="Cambria Math"/>
                <w:i/>
                <w:iCs/>
                <w:sz w:val="24"/>
                <w:szCs w:val="24"/>
              </w:rPr>
            </m:ctrlPr>
          </m:sSubPr>
          <m:e>
            <m:r>
              <w:rPr>
                <w:rFonts w:ascii="Cambria Math" w:hAnsi="Cambria Math"/>
                <w:sz w:val="24"/>
                <w:szCs w:val="24"/>
                <w:lang w:val="en-US"/>
              </w:rPr>
              <m:t>e</m:t>
            </m:r>
          </m:e>
          <m:sub>
            <m:r>
              <w:rPr>
                <w:rFonts w:ascii="Cambria Math" w:hAnsi="Cambria Math"/>
                <w:sz w:val="24"/>
                <w:szCs w:val="24"/>
                <w:lang w:val="en-US"/>
              </w:rPr>
              <m:t>c,t</m:t>
            </m:r>
          </m:sub>
        </m:sSub>
      </m:oMath>
      <w:r w:rsidRPr="00731C8B">
        <w:rPr>
          <w:rFonts w:ascii="Times New Roman" w:hAnsi="Times New Roman"/>
          <w:sz w:val="24"/>
          <w:szCs w:val="24"/>
          <w:lang w:val="en-US"/>
        </w:rPr>
        <w:t xml:space="preserve"> is assumed to be a white noise error term. </w:t>
      </w:r>
    </w:p>
    <w:p w14:paraId="437538BD" w14:textId="2EC691F1" w:rsidR="0050789F" w:rsidRPr="00C50C80" w:rsidRDefault="00B82CBB" w:rsidP="0050789F">
      <w:pPr>
        <w:pStyle w:val="Paragraph"/>
        <w:spacing w:line="480" w:lineRule="auto"/>
        <w:rPr>
          <w:rFonts w:ascii="Times New Roman" w:hAnsi="Times New Roman"/>
          <w:sz w:val="24"/>
          <w:szCs w:val="24"/>
          <w:highlight w:val="yellow"/>
        </w:rPr>
      </w:pPr>
      <w:r>
        <w:rPr>
          <w:rFonts w:ascii="Times New Roman" w:hAnsi="Times New Roman"/>
          <w:sz w:val="24"/>
          <w:szCs w:val="24"/>
        </w:rPr>
        <w:t>O</w:t>
      </w:r>
      <w:r w:rsidR="0050789F">
        <w:rPr>
          <w:rFonts w:ascii="Times New Roman" w:hAnsi="Times New Roman"/>
          <w:sz w:val="24"/>
          <w:szCs w:val="24"/>
        </w:rPr>
        <w:t>ur</w:t>
      </w:r>
      <w:r w:rsidR="0050789F" w:rsidRPr="00731C8B">
        <w:rPr>
          <w:rFonts w:ascii="Times New Roman" w:hAnsi="Times New Roman"/>
          <w:sz w:val="24"/>
          <w:szCs w:val="24"/>
          <w:lang w:val="en-US"/>
        </w:rPr>
        <w:t xml:space="preserve"> model </w:t>
      </w:r>
      <w:r w:rsidR="0050789F" w:rsidRPr="00731C8B">
        <w:rPr>
          <w:rFonts w:ascii="Times New Roman" w:hAnsi="Times New Roman"/>
          <w:sz w:val="24"/>
          <w:szCs w:val="24"/>
        </w:rPr>
        <w:t xml:space="preserve">incorporates monthly data for country </w:t>
      </w:r>
      <w:r w:rsidR="0050789F" w:rsidRPr="00731C8B">
        <w:rPr>
          <w:rFonts w:ascii="Times New Roman" w:hAnsi="Times New Roman"/>
          <w:i/>
          <w:sz w:val="24"/>
          <w:szCs w:val="24"/>
        </w:rPr>
        <w:t>c</w:t>
      </w:r>
      <w:r>
        <w:rPr>
          <w:rFonts w:ascii="Times New Roman" w:hAnsi="Times New Roman"/>
          <w:sz w:val="24"/>
          <w:szCs w:val="24"/>
        </w:rPr>
        <w:t xml:space="preserve"> for the left</w:t>
      </w:r>
      <w:r w:rsidR="0050789F" w:rsidRPr="00731C8B">
        <w:rPr>
          <w:rFonts w:ascii="Times New Roman" w:hAnsi="Times New Roman"/>
          <w:sz w:val="24"/>
          <w:szCs w:val="24"/>
        </w:rPr>
        <w:t xml:space="preserve"> tail of the inflation forecast distribution</w:t>
      </w:r>
      <w:r w:rsidR="0050789F">
        <w:rPr>
          <w:rFonts w:ascii="Times New Roman" w:hAnsi="Times New Roman"/>
          <w:sz w:val="24"/>
          <w:szCs w:val="24"/>
        </w:rPr>
        <w:t xml:space="preserve"> </w:t>
      </w:r>
      <w:r w:rsidR="0050789F" w:rsidRPr="00731C8B">
        <w:rPr>
          <w:rFonts w:ascii="Times New Roman" w:hAnsi="Times New Roman"/>
          <w:sz w:val="24"/>
          <w:szCs w:val="24"/>
        </w:rPr>
        <w:t>(</w:t>
      </w:r>
      <w:r w:rsidR="00AF0132">
        <w:rPr>
          <w:rFonts w:ascii="Times New Roman" w:hAnsi="Times New Roman"/>
          <w:sz w:val="24"/>
          <w:szCs w:val="24"/>
        </w:rPr>
        <w:t>25</w:t>
      </w:r>
      <w:r w:rsidR="0050789F" w:rsidRPr="00731C8B">
        <w:rPr>
          <w:rFonts w:ascii="Times New Roman" w:hAnsi="Times New Roman"/>
          <w:sz w:val="24"/>
          <w:szCs w:val="24"/>
        </w:rPr>
        <w:t>th percentile)</w:t>
      </w:r>
      <w:r w:rsidR="0050789F">
        <w:rPr>
          <w:rFonts w:ascii="Times New Roman" w:hAnsi="Times New Roman"/>
          <w:sz w:val="24"/>
          <w:szCs w:val="24"/>
        </w:rPr>
        <w:t xml:space="preserve">, </w:t>
      </w:r>
      <w:r w:rsidR="0050789F" w:rsidRPr="00731C8B">
        <w:rPr>
          <w:rFonts w:ascii="Times New Roman" w:hAnsi="Times New Roman"/>
          <w:sz w:val="24"/>
          <w:szCs w:val="24"/>
        </w:rPr>
        <w:t>median inflation expectations, GDP growth forecast disagreement (the interquartile range)</w:t>
      </w:r>
      <w:r w:rsidR="0050789F">
        <w:rPr>
          <w:rFonts w:ascii="Times New Roman" w:hAnsi="Times New Roman"/>
          <w:sz w:val="24"/>
          <w:szCs w:val="24"/>
        </w:rPr>
        <w:t>,</w:t>
      </w:r>
      <w:r w:rsidR="0050789F" w:rsidRPr="00731C8B">
        <w:rPr>
          <w:rFonts w:ascii="Times New Roman" w:hAnsi="Times New Roman"/>
          <w:sz w:val="24"/>
          <w:szCs w:val="24"/>
        </w:rPr>
        <w:t xml:space="preserve"> </w:t>
      </w:r>
      <w:r w:rsidR="0050789F">
        <w:rPr>
          <w:rFonts w:ascii="Times New Roman" w:hAnsi="Times New Roman"/>
          <w:sz w:val="24"/>
          <w:szCs w:val="24"/>
        </w:rPr>
        <w:t xml:space="preserve">the output gap, inflation and the </w:t>
      </w:r>
      <w:r w:rsidR="0050789F" w:rsidRPr="00731C8B">
        <w:rPr>
          <w:rFonts w:ascii="Times New Roman" w:hAnsi="Times New Roman"/>
          <w:sz w:val="24"/>
          <w:szCs w:val="24"/>
        </w:rPr>
        <w:t xml:space="preserve">policy interest rate, </w:t>
      </w:r>
      <w:r w:rsidR="0050789F">
        <w:rPr>
          <w:rFonts w:ascii="Times New Roman" w:hAnsi="Times New Roman"/>
          <w:sz w:val="24"/>
          <w:szCs w:val="24"/>
        </w:rPr>
        <w:t xml:space="preserve">in </w:t>
      </w:r>
      <w:r w:rsidR="0050789F">
        <w:rPr>
          <w:rFonts w:ascii="Times New Roman" w:hAnsi="Times New Roman"/>
          <w:sz w:val="24"/>
          <w:szCs w:val="24"/>
        </w:rPr>
        <w:lastRenderedPageBreak/>
        <w:t xml:space="preserve">the same order. </w:t>
      </w:r>
      <w:r w:rsidR="0050789F" w:rsidRPr="00731C8B">
        <w:rPr>
          <w:rFonts w:ascii="Times New Roman" w:hAnsi="Times New Roman"/>
          <w:sz w:val="24"/>
          <w:szCs w:val="24"/>
        </w:rPr>
        <w:t xml:space="preserve">All expectations refer to </w:t>
      </w:r>
      <w:r w:rsidR="0050789F">
        <w:rPr>
          <w:rFonts w:ascii="Times New Roman" w:hAnsi="Times New Roman"/>
          <w:sz w:val="24"/>
          <w:szCs w:val="24"/>
        </w:rPr>
        <w:t>one-year-ahead expectations</w:t>
      </w:r>
      <w:r w:rsidR="0050789F" w:rsidRPr="00731C8B">
        <w:rPr>
          <w:rFonts w:ascii="Times New Roman" w:hAnsi="Times New Roman"/>
          <w:sz w:val="24"/>
          <w:szCs w:val="24"/>
        </w:rPr>
        <w:t>.</w:t>
      </w:r>
      <w:r w:rsidR="0050789F">
        <w:rPr>
          <w:rFonts w:ascii="Times New Roman" w:hAnsi="Times New Roman"/>
          <w:sz w:val="24"/>
          <w:szCs w:val="24"/>
        </w:rPr>
        <w:t xml:space="preserve"> To identify shocks to the left-hand tail, we use</w:t>
      </w:r>
      <w:r w:rsidR="0050789F" w:rsidRPr="00731C8B">
        <w:rPr>
          <w:rFonts w:ascii="Times New Roman" w:hAnsi="Times New Roman"/>
          <w:sz w:val="24"/>
          <w:szCs w:val="24"/>
        </w:rPr>
        <w:t xml:space="preserve"> a recursive identification scheme </w:t>
      </w:r>
      <w:r w:rsidR="0050789F">
        <w:rPr>
          <w:rFonts w:ascii="Times New Roman" w:hAnsi="Times New Roman"/>
          <w:sz w:val="24"/>
          <w:szCs w:val="24"/>
        </w:rPr>
        <w:t xml:space="preserve">with contemporaneous zero restrictions </w:t>
      </w:r>
      <w:r w:rsidR="0050789F" w:rsidRPr="00731C8B">
        <w:rPr>
          <w:rFonts w:ascii="Times New Roman" w:hAnsi="Times New Roman"/>
          <w:sz w:val="24"/>
          <w:szCs w:val="24"/>
        </w:rPr>
        <w:t xml:space="preserve">and a </w:t>
      </w:r>
      <w:proofErr w:type="spellStart"/>
      <w:r w:rsidR="0050789F" w:rsidRPr="00731C8B">
        <w:rPr>
          <w:rFonts w:ascii="Times New Roman" w:hAnsi="Times New Roman"/>
          <w:sz w:val="24"/>
          <w:szCs w:val="24"/>
        </w:rPr>
        <w:t>Cholesky</w:t>
      </w:r>
      <w:proofErr w:type="spellEnd"/>
      <w:r w:rsidR="0050789F" w:rsidRPr="00731C8B">
        <w:rPr>
          <w:rFonts w:ascii="Times New Roman" w:hAnsi="Times New Roman"/>
          <w:sz w:val="24"/>
          <w:szCs w:val="24"/>
        </w:rPr>
        <w:t xml:space="preserve"> decomposition of the variance-covariance </w:t>
      </w:r>
      <w:r w:rsidR="0050789F" w:rsidRPr="00631CA2">
        <w:rPr>
          <w:rFonts w:ascii="Times New Roman" w:hAnsi="Times New Roman"/>
          <w:sz w:val="24"/>
          <w:szCs w:val="24"/>
        </w:rPr>
        <w:t>matrix.</w:t>
      </w:r>
      <w:r>
        <w:rPr>
          <w:rFonts w:ascii="Times New Roman" w:hAnsi="Times New Roman"/>
          <w:sz w:val="24"/>
          <w:szCs w:val="24"/>
        </w:rPr>
        <w:t xml:space="preserve"> G</w:t>
      </w:r>
      <w:r w:rsidR="0050789F" w:rsidRPr="007A1AF4">
        <w:rPr>
          <w:rFonts w:ascii="Times New Roman" w:hAnsi="Times New Roman"/>
          <w:sz w:val="24"/>
          <w:szCs w:val="24"/>
        </w:rPr>
        <w:t xml:space="preserve">iven our </w:t>
      </w:r>
      <w:r w:rsidR="0050789F" w:rsidRPr="002B0C11">
        <w:rPr>
          <w:rFonts w:ascii="Times New Roman" w:hAnsi="Times New Roman"/>
          <w:sz w:val="24"/>
          <w:szCs w:val="24"/>
        </w:rPr>
        <w:t>ordering assumption</w:t>
      </w:r>
      <w:r w:rsidR="0050789F" w:rsidRPr="00763F1D">
        <w:rPr>
          <w:rFonts w:ascii="Times New Roman" w:hAnsi="Times New Roman"/>
          <w:sz w:val="24"/>
          <w:szCs w:val="24"/>
        </w:rPr>
        <w:t>, the shock to the low</w:t>
      </w:r>
      <w:r w:rsidR="0050789F" w:rsidRPr="00712155">
        <w:rPr>
          <w:rFonts w:ascii="Times New Roman" w:hAnsi="Times New Roman"/>
          <w:sz w:val="24"/>
          <w:szCs w:val="24"/>
        </w:rPr>
        <w:t>er tail is pre-determined</w:t>
      </w:r>
      <w:r>
        <w:rPr>
          <w:rFonts w:ascii="Times New Roman" w:hAnsi="Times New Roman"/>
          <w:sz w:val="24"/>
          <w:szCs w:val="24"/>
        </w:rPr>
        <w:t xml:space="preserve">, and </w:t>
      </w:r>
      <w:r w:rsidR="0050789F" w:rsidRPr="00C50C80">
        <w:rPr>
          <w:rFonts w:ascii="Times New Roman" w:hAnsi="Times New Roman"/>
          <w:sz w:val="24"/>
          <w:szCs w:val="24"/>
        </w:rPr>
        <w:t xml:space="preserve">contemporaneously exogenous to </w:t>
      </w:r>
      <w:r w:rsidR="0050789F" w:rsidRPr="00631CA2">
        <w:rPr>
          <w:rFonts w:ascii="Times New Roman" w:hAnsi="Times New Roman"/>
          <w:sz w:val="24"/>
          <w:szCs w:val="24"/>
        </w:rPr>
        <w:t>median expected inflation,</w:t>
      </w:r>
      <w:r w:rsidR="0050789F" w:rsidRPr="00712155">
        <w:rPr>
          <w:rFonts w:ascii="Times New Roman" w:hAnsi="Times New Roman"/>
          <w:sz w:val="24"/>
          <w:szCs w:val="24"/>
        </w:rPr>
        <w:t xml:space="preserve"> </w:t>
      </w:r>
      <w:r w:rsidR="00A50BA6">
        <w:rPr>
          <w:rFonts w:ascii="Times New Roman" w:hAnsi="Times New Roman"/>
          <w:sz w:val="24"/>
          <w:szCs w:val="24"/>
        </w:rPr>
        <w:t xml:space="preserve">GDP growth forecast disagreement, and </w:t>
      </w:r>
      <w:r w:rsidR="0050789F" w:rsidRPr="00712155">
        <w:rPr>
          <w:rFonts w:ascii="Times New Roman" w:hAnsi="Times New Roman"/>
          <w:sz w:val="24"/>
          <w:szCs w:val="24"/>
        </w:rPr>
        <w:t xml:space="preserve">realisations of output, inflation and the policy rate. </w:t>
      </w:r>
      <w:r w:rsidR="00BD1502">
        <w:rPr>
          <w:rFonts w:ascii="Times New Roman" w:hAnsi="Times New Roman"/>
          <w:sz w:val="24"/>
          <w:szCs w:val="24"/>
        </w:rPr>
        <w:t xml:space="preserve">The </w:t>
      </w:r>
      <w:r w:rsidR="009D234B">
        <w:rPr>
          <w:rFonts w:ascii="Times New Roman" w:hAnsi="Times New Roman"/>
          <w:sz w:val="24"/>
          <w:szCs w:val="24"/>
        </w:rPr>
        <w:t>ordering</w:t>
      </w:r>
      <w:r w:rsidR="00BD1502">
        <w:rPr>
          <w:rFonts w:ascii="Times New Roman" w:hAnsi="Times New Roman"/>
          <w:sz w:val="24"/>
          <w:szCs w:val="24"/>
        </w:rPr>
        <w:t xml:space="preserve"> </w:t>
      </w:r>
      <w:r w:rsidR="004547CF">
        <w:rPr>
          <w:rFonts w:ascii="Times New Roman" w:hAnsi="Times New Roman"/>
          <w:sz w:val="24"/>
          <w:szCs w:val="24"/>
        </w:rPr>
        <w:t xml:space="preserve">is </w:t>
      </w:r>
      <w:r w:rsidR="009D234B">
        <w:rPr>
          <w:rFonts w:ascii="Times New Roman" w:hAnsi="Times New Roman"/>
          <w:sz w:val="24"/>
          <w:szCs w:val="24"/>
        </w:rPr>
        <w:t xml:space="preserve">thus </w:t>
      </w:r>
      <w:r w:rsidR="004547CF">
        <w:rPr>
          <w:rFonts w:ascii="Times New Roman" w:hAnsi="Times New Roman"/>
          <w:sz w:val="24"/>
          <w:szCs w:val="24"/>
        </w:rPr>
        <w:t>similar to Leduc et al (2007), which also includes a</w:t>
      </w:r>
      <w:r w:rsidR="00BD1502">
        <w:rPr>
          <w:rFonts w:ascii="Times New Roman" w:hAnsi="Times New Roman"/>
          <w:sz w:val="24"/>
          <w:szCs w:val="24"/>
        </w:rPr>
        <w:t xml:space="preserve"> pre-determined expectations variable and </w:t>
      </w:r>
      <w:r w:rsidR="004547CF">
        <w:rPr>
          <w:rFonts w:ascii="Times New Roman" w:hAnsi="Times New Roman"/>
          <w:sz w:val="24"/>
          <w:szCs w:val="24"/>
        </w:rPr>
        <w:t xml:space="preserve">the authors examine the effects of shocks to expectations </w:t>
      </w:r>
      <w:r w:rsidR="00BD1502">
        <w:rPr>
          <w:rFonts w:ascii="Times New Roman" w:hAnsi="Times New Roman"/>
          <w:sz w:val="24"/>
          <w:szCs w:val="24"/>
        </w:rPr>
        <w:t xml:space="preserve">on real variables. </w:t>
      </w:r>
      <w:r w:rsidR="00933248">
        <w:rPr>
          <w:rFonts w:ascii="Times New Roman" w:hAnsi="Times New Roman"/>
          <w:sz w:val="24"/>
          <w:szCs w:val="24"/>
        </w:rPr>
        <w:t xml:space="preserve">Moreover, at the time of the survey, forecasters do not </w:t>
      </w:r>
      <w:r w:rsidR="00B4624E">
        <w:rPr>
          <w:rFonts w:ascii="Times New Roman" w:hAnsi="Times New Roman"/>
          <w:sz w:val="24"/>
          <w:szCs w:val="24"/>
        </w:rPr>
        <w:t xml:space="preserve">yet </w:t>
      </w:r>
      <w:r w:rsidR="00933248">
        <w:rPr>
          <w:rFonts w:ascii="Times New Roman" w:hAnsi="Times New Roman"/>
          <w:sz w:val="24"/>
          <w:szCs w:val="24"/>
        </w:rPr>
        <w:t xml:space="preserve">know the </w:t>
      </w:r>
      <w:r w:rsidR="00422387">
        <w:rPr>
          <w:rFonts w:ascii="Times New Roman" w:hAnsi="Times New Roman"/>
          <w:sz w:val="24"/>
          <w:szCs w:val="24"/>
        </w:rPr>
        <w:t>current-month outcomes</w:t>
      </w:r>
      <w:r w:rsidR="009B14A4">
        <w:rPr>
          <w:rFonts w:ascii="Times New Roman" w:hAnsi="Times New Roman"/>
          <w:sz w:val="24"/>
          <w:szCs w:val="24"/>
        </w:rPr>
        <w:t xml:space="preserve"> for</w:t>
      </w:r>
      <w:r w:rsidR="00933248">
        <w:rPr>
          <w:rFonts w:ascii="Times New Roman" w:hAnsi="Times New Roman"/>
          <w:sz w:val="24"/>
          <w:szCs w:val="24"/>
        </w:rPr>
        <w:t xml:space="preserve"> the macro variables. </w:t>
      </w:r>
      <w:r w:rsidR="0050789F" w:rsidRPr="00712155">
        <w:rPr>
          <w:rFonts w:ascii="Times New Roman" w:hAnsi="Times New Roman"/>
          <w:sz w:val="24"/>
          <w:szCs w:val="24"/>
        </w:rPr>
        <w:t>The ordering of output, inflation and policy rate follows conventional monetary VARs</w:t>
      </w:r>
      <w:r w:rsidR="00A078CC">
        <w:rPr>
          <w:rFonts w:ascii="Times New Roman" w:hAnsi="Times New Roman"/>
          <w:sz w:val="24"/>
          <w:szCs w:val="24"/>
        </w:rPr>
        <w:t>, and t</w:t>
      </w:r>
      <w:r w:rsidR="0050789F" w:rsidRPr="00712155">
        <w:rPr>
          <w:rFonts w:ascii="Times New Roman" w:hAnsi="Times New Roman"/>
          <w:sz w:val="24"/>
          <w:szCs w:val="24"/>
        </w:rPr>
        <w:t xml:space="preserve">he vector of exogenous variables is comprised of month dummy variables. </w:t>
      </w:r>
    </w:p>
    <w:p w14:paraId="030E78F7" w14:textId="53BDCEC3" w:rsidR="0050789F" w:rsidRPr="00731C8B" w:rsidRDefault="0050789F" w:rsidP="0050789F">
      <w:pPr>
        <w:pStyle w:val="Paragraph"/>
        <w:spacing w:line="480" w:lineRule="auto"/>
        <w:rPr>
          <w:rFonts w:ascii="Times New Roman" w:hAnsi="Times New Roman"/>
          <w:sz w:val="24"/>
          <w:szCs w:val="24"/>
        </w:rPr>
      </w:pPr>
      <w:r>
        <w:rPr>
          <w:rFonts w:ascii="Times New Roman" w:hAnsi="Times New Roman"/>
          <w:sz w:val="24"/>
          <w:szCs w:val="24"/>
        </w:rPr>
        <w:t>We estimate the panel VAR</w:t>
      </w:r>
      <w:r w:rsidRPr="00731C8B">
        <w:rPr>
          <w:rFonts w:ascii="Times New Roman" w:hAnsi="Times New Roman"/>
          <w:sz w:val="24"/>
          <w:szCs w:val="24"/>
        </w:rPr>
        <w:t xml:space="preserve"> </w:t>
      </w:r>
      <w:r w:rsidRPr="00731C8B">
        <w:rPr>
          <w:rFonts w:ascii="Times New Roman" w:hAnsi="Times New Roman"/>
          <w:sz w:val="24"/>
          <w:szCs w:val="24"/>
          <w:lang w:val="en-US"/>
        </w:rPr>
        <w:t xml:space="preserve">by </w:t>
      </w:r>
      <w:proofErr w:type="spellStart"/>
      <w:r w:rsidRPr="00731C8B">
        <w:rPr>
          <w:rFonts w:ascii="Times New Roman" w:hAnsi="Times New Roman"/>
          <w:sz w:val="24"/>
          <w:szCs w:val="24"/>
          <w:lang w:val="en-US"/>
        </w:rPr>
        <w:t>generalised</w:t>
      </w:r>
      <w:proofErr w:type="spellEnd"/>
      <w:r w:rsidRPr="00731C8B">
        <w:rPr>
          <w:rFonts w:ascii="Times New Roman" w:hAnsi="Times New Roman"/>
          <w:sz w:val="24"/>
          <w:szCs w:val="24"/>
          <w:lang w:val="en-US"/>
        </w:rPr>
        <w:t xml:space="preserve"> method of moments </w:t>
      </w:r>
      <w:r>
        <w:rPr>
          <w:rFonts w:ascii="Times New Roman" w:hAnsi="Times New Roman"/>
          <w:sz w:val="24"/>
          <w:szCs w:val="24"/>
          <w:lang w:val="en-US"/>
        </w:rPr>
        <w:t>f</w:t>
      </w:r>
      <w:r w:rsidRPr="00731C8B">
        <w:rPr>
          <w:rFonts w:ascii="Times New Roman" w:hAnsi="Times New Roman"/>
          <w:sz w:val="24"/>
          <w:szCs w:val="24"/>
        </w:rPr>
        <w:t xml:space="preserve">or an identical sample as </w:t>
      </w:r>
      <w:r w:rsidR="003961E8">
        <w:rPr>
          <w:rFonts w:ascii="Times New Roman" w:hAnsi="Times New Roman"/>
          <w:sz w:val="24"/>
          <w:szCs w:val="24"/>
        </w:rPr>
        <w:t>the disagreement regressions</w:t>
      </w:r>
      <w:r>
        <w:rPr>
          <w:rFonts w:ascii="Times New Roman" w:hAnsi="Times New Roman"/>
          <w:sz w:val="24"/>
          <w:szCs w:val="24"/>
        </w:rPr>
        <w:t>.</w:t>
      </w:r>
      <w:r w:rsidRPr="00731C8B">
        <w:rPr>
          <w:rFonts w:ascii="Times New Roman" w:hAnsi="Times New Roman"/>
          <w:sz w:val="24"/>
          <w:szCs w:val="24"/>
        </w:rPr>
        <w:t xml:space="preserve"> </w:t>
      </w:r>
      <w:r>
        <w:rPr>
          <w:rFonts w:ascii="Times New Roman" w:hAnsi="Times New Roman"/>
          <w:sz w:val="24"/>
          <w:szCs w:val="24"/>
        </w:rPr>
        <w:t>The VAR includes three lags.</w:t>
      </w:r>
      <w:r w:rsidRPr="00731C8B">
        <w:rPr>
          <w:rFonts w:ascii="Times New Roman" w:hAnsi="Times New Roman"/>
          <w:sz w:val="24"/>
          <w:szCs w:val="24"/>
        </w:rPr>
        <w:t xml:space="preserve"> The panel-specific fixed effects are removed </w:t>
      </w:r>
      <w:r w:rsidR="003961E8">
        <w:rPr>
          <w:rFonts w:ascii="Times New Roman" w:hAnsi="Times New Roman"/>
          <w:sz w:val="24"/>
          <w:szCs w:val="24"/>
        </w:rPr>
        <w:t>by</w:t>
      </w:r>
      <w:r w:rsidRPr="00731C8B">
        <w:rPr>
          <w:rFonts w:ascii="Times New Roman" w:hAnsi="Times New Roman"/>
          <w:sz w:val="24"/>
          <w:szCs w:val="24"/>
        </w:rPr>
        <w:t xml:space="preserve"> forward orthogonal deviation, with lags of the transformed variables instrumented by lags of the untransformed variables (see </w:t>
      </w:r>
      <w:proofErr w:type="spellStart"/>
      <w:r w:rsidRPr="00731C8B">
        <w:rPr>
          <w:rFonts w:ascii="Times New Roman" w:hAnsi="Times New Roman"/>
          <w:sz w:val="24"/>
          <w:szCs w:val="24"/>
        </w:rPr>
        <w:t>Abrigo</w:t>
      </w:r>
      <w:proofErr w:type="spellEnd"/>
      <w:r w:rsidRPr="00731C8B">
        <w:rPr>
          <w:rFonts w:ascii="Times New Roman" w:hAnsi="Times New Roman"/>
          <w:sz w:val="24"/>
          <w:szCs w:val="24"/>
        </w:rPr>
        <w:t xml:space="preserve"> and Love (2015)). </w:t>
      </w:r>
      <w:r>
        <w:rPr>
          <w:rFonts w:ascii="Times New Roman" w:hAnsi="Times New Roman"/>
          <w:sz w:val="24"/>
          <w:szCs w:val="24"/>
        </w:rPr>
        <w:t xml:space="preserve">We examine the </w:t>
      </w:r>
      <w:r w:rsidRPr="00731C8B">
        <w:rPr>
          <w:rFonts w:ascii="Times New Roman" w:hAnsi="Times New Roman"/>
          <w:sz w:val="24"/>
          <w:szCs w:val="24"/>
        </w:rPr>
        <w:t>response</w:t>
      </w:r>
      <w:r>
        <w:rPr>
          <w:rFonts w:ascii="Times New Roman" w:hAnsi="Times New Roman"/>
          <w:sz w:val="24"/>
          <w:szCs w:val="24"/>
        </w:rPr>
        <w:t>s</w:t>
      </w:r>
      <w:r w:rsidRPr="00731C8B">
        <w:rPr>
          <w:rFonts w:ascii="Times New Roman" w:hAnsi="Times New Roman"/>
          <w:sz w:val="24"/>
          <w:szCs w:val="24"/>
        </w:rPr>
        <w:t xml:space="preserve"> of all endogenous variables to a negative one standard deviation shock in the left tail of the forecast distribution, until 40 months have passed from the shock.</w:t>
      </w:r>
      <w:r>
        <w:rPr>
          <w:rFonts w:ascii="Times New Roman" w:hAnsi="Times New Roman"/>
          <w:sz w:val="24"/>
          <w:szCs w:val="24"/>
        </w:rPr>
        <w:t xml:space="preserve"> </w:t>
      </w:r>
      <w:r w:rsidRPr="00731C8B">
        <w:rPr>
          <w:rFonts w:ascii="Times New Roman" w:hAnsi="Times New Roman"/>
          <w:sz w:val="24"/>
          <w:szCs w:val="24"/>
        </w:rPr>
        <w:t>90% confidence intervals</w:t>
      </w:r>
      <w:r>
        <w:rPr>
          <w:rFonts w:ascii="Times New Roman" w:hAnsi="Times New Roman"/>
          <w:sz w:val="24"/>
          <w:szCs w:val="24"/>
        </w:rPr>
        <w:t xml:space="preserve">, </w:t>
      </w:r>
      <w:r w:rsidRPr="00731C8B">
        <w:rPr>
          <w:rFonts w:ascii="Times New Roman" w:hAnsi="Times New Roman"/>
          <w:sz w:val="24"/>
          <w:szCs w:val="24"/>
        </w:rPr>
        <w:t>obtained with 1,000 Monte Carlo draws</w:t>
      </w:r>
      <w:r>
        <w:rPr>
          <w:rFonts w:ascii="Times New Roman" w:hAnsi="Times New Roman"/>
          <w:sz w:val="24"/>
          <w:szCs w:val="24"/>
        </w:rPr>
        <w:t>,</w:t>
      </w:r>
      <w:r w:rsidRPr="00731C8B">
        <w:rPr>
          <w:rFonts w:ascii="Times New Roman" w:hAnsi="Times New Roman"/>
          <w:sz w:val="24"/>
          <w:szCs w:val="24"/>
        </w:rPr>
        <w:t xml:space="preserve"> illustrate parameter uncertainty.</w:t>
      </w:r>
    </w:p>
    <w:p w14:paraId="2DD9912D" w14:textId="36EB5C7F" w:rsidR="00612453" w:rsidRDefault="0050789F" w:rsidP="00612453">
      <w:pPr>
        <w:pStyle w:val="Paragraph"/>
        <w:spacing w:line="480" w:lineRule="auto"/>
        <w:rPr>
          <w:rFonts w:ascii="Times New Roman" w:hAnsi="Times New Roman"/>
          <w:sz w:val="24"/>
          <w:szCs w:val="24"/>
        </w:rPr>
      </w:pPr>
      <w:r w:rsidRPr="00731C8B">
        <w:rPr>
          <w:rFonts w:ascii="Times New Roman" w:hAnsi="Times New Roman"/>
          <w:sz w:val="24"/>
          <w:szCs w:val="24"/>
        </w:rPr>
        <w:t xml:space="preserve">Graph </w:t>
      </w:r>
      <w:r>
        <w:rPr>
          <w:rFonts w:ascii="Times New Roman" w:hAnsi="Times New Roman"/>
          <w:sz w:val="24"/>
          <w:szCs w:val="24"/>
        </w:rPr>
        <w:t>3</w:t>
      </w:r>
      <w:r w:rsidRPr="00731C8B">
        <w:rPr>
          <w:rFonts w:ascii="Times New Roman" w:hAnsi="Times New Roman"/>
          <w:sz w:val="24"/>
          <w:szCs w:val="24"/>
        </w:rPr>
        <w:t xml:space="preserve"> shows </w:t>
      </w:r>
      <w:r>
        <w:rPr>
          <w:rFonts w:ascii="Times New Roman" w:hAnsi="Times New Roman"/>
          <w:sz w:val="24"/>
          <w:szCs w:val="24"/>
        </w:rPr>
        <w:t>that t</w:t>
      </w:r>
      <w:r w:rsidRPr="00731C8B">
        <w:rPr>
          <w:rFonts w:ascii="Times New Roman" w:hAnsi="Times New Roman"/>
          <w:sz w:val="24"/>
          <w:szCs w:val="24"/>
        </w:rPr>
        <w:t xml:space="preserve">he </w:t>
      </w:r>
      <w:r>
        <w:rPr>
          <w:rFonts w:ascii="Times New Roman" w:hAnsi="Times New Roman"/>
          <w:sz w:val="24"/>
          <w:szCs w:val="24"/>
        </w:rPr>
        <w:t xml:space="preserve">negative </w:t>
      </w:r>
      <w:r w:rsidRPr="00731C8B">
        <w:rPr>
          <w:rFonts w:ascii="Times New Roman" w:hAnsi="Times New Roman"/>
          <w:sz w:val="24"/>
          <w:szCs w:val="24"/>
        </w:rPr>
        <w:t xml:space="preserve">shock to the left-hand tail is temporary and peters out slowly (upper </w:t>
      </w:r>
      <w:r>
        <w:rPr>
          <w:rFonts w:ascii="Times New Roman" w:hAnsi="Times New Roman"/>
          <w:sz w:val="24"/>
          <w:szCs w:val="24"/>
        </w:rPr>
        <w:t>left</w:t>
      </w:r>
      <w:r w:rsidRPr="00731C8B">
        <w:rPr>
          <w:rFonts w:ascii="Times New Roman" w:hAnsi="Times New Roman"/>
          <w:sz w:val="24"/>
          <w:szCs w:val="24"/>
        </w:rPr>
        <w:t xml:space="preserve">-hand panel). </w:t>
      </w:r>
      <w:r>
        <w:rPr>
          <w:rFonts w:ascii="Times New Roman" w:hAnsi="Times New Roman"/>
          <w:sz w:val="24"/>
          <w:szCs w:val="24"/>
        </w:rPr>
        <w:t>As a response to the tail shock, t</w:t>
      </w:r>
      <w:r w:rsidRPr="00731C8B">
        <w:rPr>
          <w:rFonts w:ascii="Times New Roman" w:hAnsi="Times New Roman"/>
          <w:sz w:val="24"/>
          <w:szCs w:val="24"/>
        </w:rPr>
        <w:t xml:space="preserve">he median inflation forecast </w:t>
      </w:r>
      <w:r>
        <w:rPr>
          <w:rFonts w:ascii="Times New Roman" w:hAnsi="Times New Roman"/>
          <w:sz w:val="24"/>
          <w:szCs w:val="24"/>
        </w:rPr>
        <w:t>falls</w:t>
      </w:r>
      <w:r w:rsidRPr="00731C8B">
        <w:rPr>
          <w:rFonts w:ascii="Times New Roman" w:hAnsi="Times New Roman"/>
          <w:sz w:val="24"/>
          <w:szCs w:val="24"/>
        </w:rPr>
        <w:t xml:space="preserve">. Notably, the </w:t>
      </w:r>
      <w:r>
        <w:rPr>
          <w:rFonts w:ascii="Times New Roman" w:hAnsi="Times New Roman"/>
          <w:sz w:val="24"/>
          <w:szCs w:val="24"/>
        </w:rPr>
        <w:t xml:space="preserve">negative </w:t>
      </w:r>
      <w:r w:rsidRPr="00731C8B">
        <w:rPr>
          <w:rFonts w:ascii="Times New Roman" w:hAnsi="Times New Roman"/>
          <w:sz w:val="24"/>
          <w:szCs w:val="24"/>
        </w:rPr>
        <w:t xml:space="preserve">shock to the lower tail leads to a temporary increase in GDP forecast disagreement, with </w:t>
      </w:r>
      <w:r>
        <w:rPr>
          <w:rFonts w:ascii="Times New Roman" w:hAnsi="Times New Roman"/>
          <w:sz w:val="24"/>
          <w:szCs w:val="24"/>
        </w:rPr>
        <w:t>a large</w:t>
      </w:r>
      <w:r w:rsidRPr="00731C8B">
        <w:rPr>
          <w:rFonts w:ascii="Times New Roman" w:hAnsi="Times New Roman"/>
          <w:sz w:val="24"/>
          <w:szCs w:val="24"/>
        </w:rPr>
        <w:t xml:space="preserve"> </w:t>
      </w:r>
      <w:r>
        <w:rPr>
          <w:rFonts w:ascii="Times New Roman" w:hAnsi="Times New Roman"/>
          <w:sz w:val="24"/>
          <w:szCs w:val="24"/>
        </w:rPr>
        <w:t>contemporaneous impact</w:t>
      </w:r>
      <w:r w:rsidRPr="00731C8B">
        <w:rPr>
          <w:rFonts w:ascii="Times New Roman" w:hAnsi="Times New Roman"/>
          <w:sz w:val="24"/>
          <w:szCs w:val="24"/>
        </w:rPr>
        <w:t xml:space="preserve">. </w:t>
      </w:r>
      <w:r>
        <w:rPr>
          <w:rFonts w:ascii="Times New Roman" w:hAnsi="Times New Roman"/>
          <w:sz w:val="24"/>
          <w:szCs w:val="24"/>
        </w:rPr>
        <w:t xml:space="preserve">Macroeconomic outcomes are also affected, </w:t>
      </w:r>
      <w:r w:rsidR="007F75E9">
        <w:rPr>
          <w:rFonts w:ascii="Times New Roman" w:hAnsi="Times New Roman"/>
          <w:sz w:val="24"/>
          <w:szCs w:val="24"/>
        </w:rPr>
        <w:t xml:space="preserve">in a contractionary manner, </w:t>
      </w:r>
      <w:r>
        <w:rPr>
          <w:rFonts w:ascii="Times New Roman" w:hAnsi="Times New Roman"/>
          <w:sz w:val="24"/>
          <w:szCs w:val="24"/>
        </w:rPr>
        <w:t>as b</w:t>
      </w:r>
      <w:r w:rsidRPr="00731C8B">
        <w:rPr>
          <w:rFonts w:ascii="Times New Roman" w:hAnsi="Times New Roman"/>
          <w:sz w:val="24"/>
          <w:szCs w:val="24"/>
        </w:rPr>
        <w:t xml:space="preserve">oth the output gap and inflation </w:t>
      </w:r>
      <w:r>
        <w:rPr>
          <w:rFonts w:ascii="Times New Roman" w:hAnsi="Times New Roman"/>
          <w:sz w:val="24"/>
          <w:szCs w:val="24"/>
        </w:rPr>
        <w:t>decline</w:t>
      </w:r>
      <w:r w:rsidRPr="00731C8B">
        <w:rPr>
          <w:rFonts w:ascii="Times New Roman" w:hAnsi="Times New Roman"/>
          <w:sz w:val="24"/>
          <w:szCs w:val="24"/>
        </w:rPr>
        <w:t xml:space="preserve">. </w:t>
      </w:r>
    </w:p>
    <w:p w14:paraId="79316236" w14:textId="14ED46FC" w:rsidR="0050789F" w:rsidRDefault="0050789F" w:rsidP="0050789F">
      <w:pPr>
        <w:pStyle w:val="Paragraph"/>
        <w:spacing w:line="480" w:lineRule="auto"/>
        <w:rPr>
          <w:rFonts w:ascii="Times New Roman" w:hAnsi="Times New Roman"/>
          <w:sz w:val="24"/>
          <w:szCs w:val="24"/>
        </w:rPr>
      </w:pPr>
      <w:r>
        <w:rPr>
          <w:rFonts w:ascii="Times New Roman" w:hAnsi="Times New Roman"/>
          <w:sz w:val="24"/>
          <w:szCs w:val="24"/>
        </w:rPr>
        <w:t xml:space="preserve">[Graph </w:t>
      </w:r>
      <w:r w:rsidR="00612453">
        <w:rPr>
          <w:rFonts w:ascii="Times New Roman" w:hAnsi="Times New Roman"/>
          <w:sz w:val="24"/>
          <w:szCs w:val="24"/>
        </w:rPr>
        <w:t>3</w:t>
      </w:r>
      <w:r>
        <w:rPr>
          <w:rFonts w:ascii="Times New Roman" w:hAnsi="Times New Roman"/>
          <w:sz w:val="24"/>
          <w:szCs w:val="24"/>
        </w:rPr>
        <w:t xml:space="preserve"> around here]</w:t>
      </w:r>
    </w:p>
    <w:p w14:paraId="3CA9849D" w14:textId="593ED294" w:rsidR="00401CD1" w:rsidRPr="00731C8B" w:rsidRDefault="00612453">
      <w:pPr>
        <w:pStyle w:val="Paragraph"/>
        <w:spacing w:line="480" w:lineRule="auto"/>
        <w:rPr>
          <w:rFonts w:ascii="Times New Roman" w:hAnsi="Times New Roman"/>
          <w:sz w:val="24"/>
          <w:szCs w:val="24"/>
        </w:rPr>
      </w:pPr>
      <w:r>
        <w:rPr>
          <w:rFonts w:ascii="Times New Roman" w:hAnsi="Times New Roman"/>
          <w:sz w:val="24"/>
          <w:szCs w:val="24"/>
        </w:rPr>
        <w:lastRenderedPageBreak/>
        <w:t xml:space="preserve">Even </w:t>
      </w:r>
      <w:r w:rsidR="006526F0">
        <w:rPr>
          <w:rFonts w:ascii="Times New Roman" w:hAnsi="Times New Roman"/>
          <w:sz w:val="24"/>
          <w:szCs w:val="24"/>
        </w:rPr>
        <w:t>though</w:t>
      </w:r>
      <w:r>
        <w:rPr>
          <w:rFonts w:ascii="Times New Roman" w:hAnsi="Times New Roman"/>
          <w:sz w:val="24"/>
          <w:szCs w:val="24"/>
        </w:rPr>
        <w:t xml:space="preserve"> the VAR ordering implies that the shock to the left-tail is pre-determined</w:t>
      </w:r>
      <w:r w:rsidR="00743326">
        <w:rPr>
          <w:rFonts w:ascii="Times New Roman" w:hAnsi="Times New Roman"/>
          <w:sz w:val="24"/>
          <w:szCs w:val="24"/>
        </w:rPr>
        <w:t xml:space="preserve">, </w:t>
      </w:r>
      <w:r>
        <w:rPr>
          <w:rFonts w:ascii="Times New Roman" w:hAnsi="Times New Roman"/>
          <w:sz w:val="24"/>
          <w:szCs w:val="24"/>
        </w:rPr>
        <w:t xml:space="preserve">given that </w:t>
      </w:r>
      <w:r w:rsidR="006526F0">
        <w:rPr>
          <w:rFonts w:ascii="Times New Roman" w:hAnsi="Times New Roman"/>
          <w:sz w:val="24"/>
          <w:szCs w:val="24"/>
        </w:rPr>
        <w:t xml:space="preserve">it </w:t>
      </w:r>
      <w:r>
        <w:rPr>
          <w:rFonts w:ascii="Times New Roman" w:hAnsi="Times New Roman"/>
          <w:sz w:val="24"/>
          <w:szCs w:val="24"/>
        </w:rPr>
        <w:t xml:space="preserve">is an expectations variable, </w:t>
      </w:r>
      <w:r w:rsidR="00B177B9">
        <w:rPr>
          <w:rFonts w:ascii="Times New Roman" w:hAnsi="Times New Roman"/>
          <w:sz w:val="24"/>
          <w:szCs w:val="24"/>
        </w:rPr>
        <w:t xml:space="preserve">we cannot rule </w:t>
      </w:r>
      <w:r w:rsidR="007B6C9B">
        <w:rPr>
          <w:rFonts w:ascii="Times New Roman" w:hAnsi="Times New Roman"/>
          <w:sz w:val="24"/>
          <w:szCs w:val="24"/>
        </w:rPr>
        <w:t xml:space="preserve">out </w:t>
      </w:r>
      <w:r w:rsidR="00B177B9">
        <w:rPr>
          <w:rFonts w:ascii="Times New Roman" w:hAnsi="Times New Roman"/>
          <w:sz w:val="24"/>
          <w:szCs w:val="24"/>
        </w:rPr>
        <w:t xml:space="preserve">the possibility that it incorporates some information about the future course of the real variables. </w:t>
      </w:r>
      <w:r w:rsidR="00743326">
        <w:rPr>
          <w:rFonts w:ascii="Times New Roman" w:hAnsi="Times New Roman"/>
          <w:sz w:val="24"/>
          <w:szCs w:val="24"/>
        </w:rPr>
        <w:t>Moreover</w:t>
      </w:r>
      <w:r w:rsidR="00B177B9">
        <w:rPr>
          <w:rFonts w:ascii="Times New Roman" w:hAnsi="Times New Roman"/>
          <w:sz w:val="24"/>
          <w:szCs w:val="24"/>
        </w:rPr>
        <w:t>, a</w:t>
      </w:r>
      <w:r w:rsidR="00B177B9" w:rsidRPr="00731C8B">
        <w:rPr>
          <w:rFonts w:ascii="Times New Roman" w:hAnsi="Times New Roman"/>
          <w:sz w:val="24"/>
          <w:szCs w:val="24"/>
        </w:rPr>
        <w:t xml:space="preserve">s </w:t>
      </w:r>
      <w:proofErr w:type="spellStart"/>
      <w:r w:rsidR="00B177B9">
        <w:rPr>
          <w:rFonts w:ascii="Times New Roman" w:hAnsi="Times New Roman"/>
          <w:sz w:val="24"/>
          <w:szCs w:val="24"/>
        </w:rPr>
        <w:t>Mehra</w:t>
      </w:r>
      <w:proofErr w:type="spellEnd"/>
      <w:r w:rsidR="00B177B9">
        <w:rPr>
          <w:rFonts w:ascii="Times New Roman" w:hAnsi="Times New Roman"/>
          <w:sz w:val="24"/>
          <w:szCs w:val="24"/>
        </w:rPr>
        <w:t xml:space="preserve"> and Herrington (2008) note, forecasters may have access to within-period information about the real economy variables. </w:t>
      </w:r>
      <w:r w:rsidR="00EA2ED2">
        <w:rPr>
          <w:rFonts w:ascii="Times New Roman" w:hAnsi="Times New Roman"/>
          <w:sz w:val="24"/>
          <w:szCs w:val="24"/>
        </w:rPr>
        <w:t>Thus</w:t>
      </w:r>
      <w:r w:rsidR="00DE4535">
        <w:rPr>
          <w:rFonts w:ascii="Times New Roman" w:hAnsi="Times New Roman"/>
          <w:sz w:val="24"/>
          <w:szCs w:val="24"/>
        </w:rPr>
        <w:t xml:space="preserve">, </w:t>
      </w:r>
      <w:r w:rsidR="005E1937">
        <w:rPr>
          <w:rFonts w:ascii="Times New Roman" w:hAnsi="Times New Roman"/>
          <w:sz w:val="24"/>
          <w:szCs w:val="24"/>
        </w:rPr>
        <w:t xml:space="preserve">in an alternative </w:t>
      </w:r>
      <w:r w:rsidR="005E7210">
        <w:rPr>
          <w:rFonts w:ascii="Times New Roman" w:hAnsi="Times New Roman"/>
          <w:sz w:val="24"/>
          <w:szCs w:val="24"/>
        </w:rPr>
        <w:t xml:space="preserve">specification, </w:t>
      </w:r>
      <w:r w:rsidR="00DE4535">
        <w:rPr>
          <w:rFonts w:ascii="Times New Roman" w:hAnsi="Times New Roman"/>
          <w:sz w:val="24"/>
          <w:szCs w:val="24"/>
        </w:rPr>
        <w:t xml:space="preserve">we allow </w:t>
      </w:r>
      <w:r w:rsidR="00EA2ED2">
        <w:rPr>
          <w:rFonts w:ascii="Times New Roman" w:hAnsi="Times New Roman"/>
          <w:sz w:val="24"/>
          <w:szCs w:val="24"/>
        </w:rPr>
        <w:t xml:space="preserve">the </w:t>
      </w:r>
      <w:r w:rsidR="00DE4535">
        <w:rPr>
          <w:rFonts w:ascii="Times New Roman" w:hAnsi="Times New Roman"/>
          <w:sz w:val="24"/>
          <w:szCs w:val="24"/>
        </w:rPr>
        <w:t xml:space="preserve">expectations shocks </w:t>
      </w:r>
      <w:r w:rsidR="00EA2ED2">
        <w:rPr>
          <w:rFonts w:ascii="Times New Roman" w:hAnsi="Times New Roman"/>
          <w:sz w:val="24"/>
          <w:szCs w:val="24"/>
        </w:rPr>
        <w:t>to reflect the realisations of output, inflation and the interest rate.</w:t>
      </w:r>
      <w:r w:rsidR="00EA2ED2">
        <w:rPr>
          <w:rStyle w:val="FootnoteReference"/>
          <w:sz w:val="24"/>
          <w:szCs w:val="24"/>
        </w:rPr>
        <w:footnoteReference w:id="15"/>
      </w:r>
      <w:r w:rsidR="00EA2ED2">
        <w:rPr>
          <w:rFonts w:ascii="Times New Roman" w:hAnsi="Times New Roman"/>
          <w:sz w:val="24"/>
          <w:szCs w:val="24"/>
        </w:rPr>
        <w:t xml:space="preserve"> </w:t>
      </w:r>
      <w:r w:rsidR="00B177B9">
        <w:rPr>
          <w:rFonts w:ascii="Times New Roman" w:hAnsi="Times New Roman"/>
          <w:sz w:val="24"/>
          <w:szCs w:val="24"/>
        </w:rPr>
        <w:t>In this case, we cannot argue that the shock is orthogonal to the real economy and non-fundamental in nature. Yet, t</w:t>
      </w:r>
      <w:r w:rsidR="00D55E0D" w:rsidRPr="00731C8B">
        <w:rPr>
          <w:rFonts w:ascii="Times New Roman" w:hAnsi="Times New Roman"/>
          <w:sz w:val="24"/>
          <w:szCs w:val="24"/>
        </w:rPr>
        <w:t xml:space="preserve">his </w:t>
      </w:r>
      <w:r w:rsidR="00E32074">
        <w:rPr>
          <w:rFonts w:ascii="Times New Roman" w:hAnsi="Times New Roman"/>
          <w:sz w:val="24"/>
          <w:szCs w:val="24"/>
        </w:rPr>
        <w:t xml:space="preserve">specification </w:t>
      </w:r>
      <w:r w:rsidR="00D55E0D" w:rsidRPr="00731C8B">
        <w:rPr>
          <w:rFonts w:ascii="Times New Roman" w:hAnsi="Times New Roman"/>
          <w:sz w:val="24"/>
          <w:szCs w:val="24"/>
        </w:rPr>
        <w:t xml:space="preserve">results in similar impulse responses as the baseline case: as a response to the negative left-tail </w:t>
      </w:r>
      <w:r w:rsidR="004F149F">
        <w:rPr>
          <w:rFonts w:ascii="Times New Roman" w:hAnsi="Times New Roman"/>
          <w:sz w:val="24"/>
          <w:szCs w:val="24"/>
        </w:rPr>
        <w:t xml:space="preserve">inflation forecast </w:t>
      </w:r>
      <w:r w:rsidR="00D55E0D" w:rsidRPr="00731C8B">
        <w:rPr>
          <w:rFonts w:ascii="Times New Roman" w:hAnsi="Times New Roman"/>
          <w:sz w:val="24"/>
          <w:szCs w:val="24"/>
        </w:rPr>
        <w:t xml:space="preserve">shock, inflation, the output gap and median inflation expectations fall, and GDP growth forecast disagreement rises (see </w:t>
      </w:r>
      <w:r w:rsidR="00664BAA">
        <w:rPr>
          <w:rFonts w:ascii="Times New Roman" w:hAnsi="Times New Roman"/>
          <w:sz w:val="24"/>
          <w:szCs w:val="24"/>
        </w:rPr>
        <w:t>Online Annex</w:t>
      </w:r>
      <w:r w:rsidR="00D55E0D" w:rsidRPr="00731C8B">
        <w:rPr>
          <w:rFonts w:ascii="Times New Roman" w:hAnsi="Times New Roman"/>
          <w:sz w:val="24"/>
          <w:szCs w:val="24"/>
        </w:rPr>
        <w:t xml:space="preserve"> Graph A1). </w:t>
      </w:r>
    </w:p>
    <w:p w14:paraId="4E515BB1" w14:textId="7444ADA1" w:rsidR="00047C81" w:rsidRDefault="00047C81" w:rsidP="008C5B51">
      <w:pPr>
        <w:pStyle w:val="Paragraph"/>
        <w:spacing w:line="480" w:lineRule="auto"/>
        <w:rPr>
          <w:rFonts w:ascii="Times New Roman" w:hAnsi="Times New Roman"/>
          <w:sz w:val="24"/>
          <w:szCs w:val="24"/>
        </w:rPr>
      </w:pPr>
      <w:r w:rsidRPr="00731C8B">
        <w:rPr>
          <w:rFonts w:ascii="Times New Roman" w:hAnsi="Times New Roman"/>
          <w:sz w:val="24"/>
          <w:szCs w:val="24"/>
        </w:rPr>
        <w:t>The rise in GDP forecast dispersion</w:t>
      </w:r>
      <w:r w:rsidR="00224CB8">
        <w:rPr>
          <w:rFonts w:ascii="Times New Roman" w:hAnsi="Times New Roman"/>
          <w:sz w:val="24"/>
          <w:szCs w:val="24"/>
        </w:rPr>
        <w:t xml:space="preserve">, </w:t>
      </w:r>
      <w:r w:rsidR="00664971">
        <w:rPr>
          <w:rFonts w:ascii="Times New Roman" w:hAnsi="Times New Roman"/>
          <w:sz w:val="24"/>
          <w:szCs w:val="24"/>
        </w:rPr>
        <w:t xml:space="preserve">as well as declines in the output gap and inflation, suggest that </w:t>
      </w:r>
      <w:r w:rsidR="00224CB8">
        <w:rPr>
          <w:rFonts w:ascii="Times New Roman" w:hAnsi="Times New Roman"/>
          <w:sz w:val="24"/>
          <w:szCs w:val="24"/>
        </w:rPr>
        <w:t>left-tail inflation forecast shocks</w:t>
      </w:r>
      <w:r w:rsidR="00DB12C1">
        <w:rPr>
          <w:rFonts w:ascii="Times New Roman" w:hAnsi="Times New Roman"/>
          <w:sz w:val="24"/>
          <w:szCs w:val="24"/>
        </w:rPr>
        <w:t>, even if non-fundamental in nature,</w:t>
      </w:r>
      <w:r w:rsidR="00224CB8">
        <w:rPr>
          <w:rFonts w:ascii="Times New Roman" w:hAnsi="Times New Roman"/>
          <w:sz w:val="24"/>
          <w:szCs w:val="24"/>
        </w:rPr>
        <w:t xml:space="preserve"> have real effects. </w:t>
      </w:r>
      <w:r w:rsidR="005331C7">
        <w:rPr>
          <w:rFonts w:ascii="Times New Roman" w:hAnsi="Times New Roman"/>
          <w:sz w:val="24"/>
          <w:szCs w:val="24"/>
        </w:rPr>
        <w:t xml:space="preserve">These results complement those of </w:t>
      </w:r>
      <w:proofErr w:type="spellStart"/>
      <w:r w:rsidR="005331C7">
        <w:rPr>
          <w:rFonts w:ascii="Times New Roman" w:hAnsi="Times New Roman"/>
          <w:sz w:val="24"/>
          <w:szCs w:val="24"/>
        </w:rPr>
        <w:t>Ehling</w:t>
      </w:r>
      <w:proofErr w:type="spellEnd"/>
      <w:r w:rsidR="005331C7">
        <w:rPr>
          <w:rFonts w:ascii="Times New Roman" w:hAnsi="Times New Roman"/>
          <w:sz w:val="24"/>
          <w:szCs w:val="24"/>
        </w:rPr>
        <w:t xml:space="preserve"> et al (2018) who examine the impact of inflation disagreement on real and nominal bond yields and find that disagreement has effects on the real economy. However, and in contrast to </w:t>
      </w:r>
      <w:proofErr w:type="spellStart"/>
      <w:r w:rsidR="005331C7">
        <w:rPr>
          <w:rFonts w:ascii="Times New Roman" w:hAnsi="Times New Roman"/>
          <w:sz w:val="24"/>
          <w:szCs w:val="24"/>
        </w:rPr>
        <w:t>Ehling</w:t>
      </w:r>
      <w:proofErr w:type="spellEnd"/>
      <w:r w:rsidR="005331C7">
        <w:rPr>
          <w:rFonts w:ascii="Times New Roman" w:hAnsi="Times New Roman"/>
          <w:sz w:val="24"/>
          <w:szCs w:val="24"/>
        </w:rPr>
        <w:t xml:space="preserve"> et al (2018) where inflation disagreement is associated with investors’ expectations of higher future consumption, we find that the net effect of a rise in inflation disagreement during deflations is contractionary. </w:t>
      </w:r>
      <w:r w:rsidR="00A40421">
        <w:rPr>
          <w:rFonts w:ascii="Times New Roman" w:hAnsi="Times New Roman"/>
          <w:sz w:val="24"/>
          <w:szCs w:val="24"/>
        </w:rPr>
        <w:t>This could be driven by inefficiency costs: i</w:t>
      </w:r>
      <w:r w:rsidR="00951398">
        <w:rPr>
          <w:rFonts w:ascii="Times New Roman" w:hAnsi="Times New Roman"/>
          <w:sz w:val="24"/>
          <w:szCs w:val="24"/>
        </w:rPr>
        <w:t>n a New Keynesian framework, greater price dispersion is costly for economic output due to its negative effect on resource</w:t>
      </w:r>
      <w:r w:rsidR="00951398" w:rsidRPr="00731C8B">
        <w:rPr>
          <w:rFonts w:ascii="Times New Roman" w:hAnsi="Times New Roman"/>
          <w:sz w:val="24"/>
          <w:szCs w:val="24"/>
        </w:rPr>
        <w:t xml:space="preserve"> allocation.</w:t>
      </w:r>
      <w:r w:rsidR="00951398">
        <w:rPr>
          <w:rFonts w:ascii="Times New Roman" w:hAnsi="Times New Roman"/>
          <w:sz w:val="24"/>
          <w:szCs w:val="24"/>
        </w:rPr>
        <w:t xml:space="preserve"> Moreover, i</w:t>
      </w:r>
      <w:r w:rsidR="00951398" w:rsidRPr="00731C8B">
        <w:rPr>
          <w:rFonts w:ascii="Times New Roman" w:hAnsi="Times New Roman"/>
          <w:sz w:val="24"/>
          <w:szCs w:val="24"/>
        </w:rPr>
        <w:t xml:space="preserve">f </w:t>
      </w:r>
      <w:r w:rsidR="00951398">
        <w:rPr>
          <w:rFonts w:ascii="Times New Roman" w:hAnsi="Times New Roman"/>
          <w:sz w:val="24"/>
          <w:szCs w:val="24"/>
        </w:rPr>
        <w:t xml:space="preserve">a rise in </w:t>
      </w:r>
      <w:r w:rsidR="00951398" w:rsidRPr="00731C8B">
        <w:rPr>
          <w:rFonts w:ascii="Times New Roman" w:hAnsi="Times New Roman"/>
          <w:sz w:val="24"/>
          <w:szCs w:val="24"/>
        </w:rPr>
        <w:t xml:space="preserve">forecast disagreement reflects </w:t>
      </w:r>
      <w:r w:rsidR="00951398">
        <w:rPr>
          <w:rFonts w:ascii="Times New Roman" w:hAnsi="Times New Roman"/>
          <w:sz w:val="24"/>
          <w:szCs w:val="24"/>
        </w:rPr>
        <w:t xml:space="preserve">higher </w:t>
      </w:r>
      <w:r w:rsidR="00951398" w:rsidRPr="00731C8B">
        <w:rPr>
          <w:rFonts w:ascii="Times New Roman" w:hAnsi="Times New Roman"/>
          <w:sz w:val="24"/>
          <w:szCs w:val="24"/>
        </w:rPr>
        <w:t xml:space="preserve">inflation uncertainty, </w:t>
      </w:r>
      <w:r w:rsidR="00951398">
        <w:rPr>
          <w:rFonts w:ascii="Times New Roman" w:hAnsi="Times New Roman"/>
          <w:sz w:val="24"/>
          <w:szCs w:val="24"/>
        </w:rPr>
        <w:t xml:space="preserve">price signals in the economy </w:t>
      </w:r>
      <w:r w:rsidR="00951398" w:rsidRPr="00731C8B">
        <w:rPr>
          <w:rFonts w:ascii="Times New Roman" w:hAnsi="Times New Roman"/>
          <w:sz w:val="24"/>
          <w:szCs w:val="24"/>
        </w:rPr>
        <w:t xml:space="preserve">could become blurred and hurt </w:t>
      </w:r>
      <w:r w:rsidR="00951398">
        <w:rPr>
          <w:rFonts w:ascii="Times New Roman" w:hAnsi="Times New Roman"/>
          <w:sz w:val="24"/>
          <w:szCs w:val="24"/>
        </w:rPr>
        <w:t xml:space="preserve">economic </w:t>
      </w:r>
      <w:r w:rsidR="00951398" w:rsidRPr="00731C8B">
        <w:rPr>
          <w:rFonts w:ascii="Times New Roman" w:hAnsi="Times New Roman"/>
          <w:sz w:val="24"/>
          <w:szCs w:val="24"/>
        </w:rPr>
        <w:t xml:space="preserve">activity. </w:t>
      </w:r>
      <w:r w:rsidR="00951398">
        <w:rPr>
          <w:rFonts w:ascii="Times New Roman" w:hAnsi="Times New Roman"/>
          <w:sz w:val="24"/>
          <w:szCs w:val="24"/>
        </w:rPr>
        <w:t xml:space="preserve">For example, Huizinga (2016) shows that </w:t>
      </w:r>
      <w:r w:rsidR="00951398">
        <w:rPr>
          <w:rFonts w:ascii="Times New Roman" w:hAnsi="Times New Roman"/>
          <w:sz w:val="24"/>
          <w:szCs w:val="24"/>
        </w:rPr>
        <w:lastRenderedPageBreak/>
        <w:t>inflation uncertainty dampens investment due to greater uncertainty about the real net present value of capital expenditures.</w:t>
      </w:r>
      <w:r w:rsidR="00C376D8">
        <w:rPr>
          <w:rFonts w:ascii="Times New Roman" w:hAnsi="Times New Roman"/>
          <w:sz w:val="24"/>
          <w:szCs w:val="24"/>
        </w:rPr>
        <w:t xml:space="preserve"> </w:t>
      </w:r>
      <w:r w:rsidR="00021AB6">
        <w:rPr>
          <w:rFonts w:ascii="Times New Roman" w:hAnsi="Times New Roman"/>
          <w:sz w:val="24"/>
          <w:szCs w:val="24"/>
        </w:rPr>
        <w:t>These</w:t>
      </w:r>
      <w:r w:rsidR="006009CE">
        <w:rPr>
          <w:rFonts w:ascii="Times New Roman" w:hAnsi="Times New Roman"/>
          <w:sz w:val="24"/>
          <w:szCs w:val="24"/>
        </w:rPr>
        <w:t xml:space="preserve"> results are </w:t>
      </w:r>
      <w:r w:rsidR="00951398">
        <w:rPr>
          <w:rFonts w:ascii="Times New Roman" w:hAnsi="Times New Roman"/>
          <w:sz w:val="24"/>
          <w:szCs w:val="24"/>
        </w:rPr>
        <w:t xml:space="preserve">also </w:t>
      </w:r>
      <w:r w:rsidR="006009CE">
        <w:rPr>
          <w:rFonts w:ascii="Times New Roman" w:hAnsi="Times New Roman"/>
          <w:sz w:val="24"/>
          <w:szCs w:val="24"/>
        </w:rPr>
        <w:t xml:space="preserve">consistent with </w:t>
      </w:r>
      <w:r w:rsidR="00951398">
        <w:rPr>
          <w:rFonts w:ascii="Times New Roman" w:hAnsi="Times New Roman"/>
          <w:sz w:val="24"/>
          <w:szCs w:val="24"/>
        </w:rPr>
        <w:t xml:space="preserve">other </w:t>
      </w:r>
      <w:r w:rsidR="00021AB6">
        <w:rPr>
          <w:rFonts w:ascii="Times New Roman" w:hAnsi="Times New Roman"/>
          <w:sz w:val="24"/>
          <w:szCs w:val="24"/>
        </w:rPr>
        <w:t xml:space="preserve">findings </w:t>
      </w:r>
      <w:r w:rsidR="00C376D8">
        <w:rPr>
          <w:rFonts w:ascii="Times New Roman" w:hAnsi="Times New Roman"/>
          <w:sz w:val="24"/>
          <w:szCs w:val="24"/>
        </w:rPr>
        <w:t xml:space="preserve">in previous literature, including the adverse </w:t>
      </w:r>
      <w:r w:rsidR="00B830DE">
        <w:rPr>
          <w:rFonts w:ascii="Times New Roman" w:hAnsi="Times New Roman"/>
          <w:sz w:val="24"/>
          <w:szCs w:val="24"/>
        </w:rPr>
        <w:t xml:space="preserve">implications of </w:t>
      </w:r>
      <w:r w:rsidR="00C376D8">
        <w:rPr>
          <w:rFonts w:ascii="Times New Roman" w:hAnsi="Times New Roman"/>
          <w:sz w:val="24"/>
          <w:szCs w:val="24"/>
        </w:rPr>
        <w:t xml:space="preserve">forecast </w:t>
      </w:r>
      <w:r w:rsidR="00B830DE">
        <w:rPr>
          <w:rFonts w:ascii="Times New Roman" w:hAnsi="Times New Roman"/>
          <w:sz w:val="24"/>
          <w:szCs w:val="24"/>
        </w:rPr>
        <w:t xml:space="preserve">disagreement </w:t>
      </w:r>
      <w:r w:rsidR="00C376D8">
        <w:rPr>
          <w:rFonts w:ascii="Times New Roman" w:hAnsi="Times New Roman"/>
          <w:sz w:val="24"/>
          <w:szCs w:val="24"/>
        </w:rPr>
        <w:t>on</w:t>
      </w:r>
      <w:r w:rsidR="00B830DE">
        <w:rPr>
          <w:rFonts w:ascii="Times New Roman" w:hAnsi="Times New Roman"/>
          <w:sz w:val="24"/>
          <w:szCs w:val="24"/>
        </w:rPr>
        <w:t xml:space="preserve"> </w:t>
      </w:r>
      <w:r w:rsidR="00C376D8">
        <w:rPr>
          <w:rFonts w:ascii="Times New Roman" w:hAnsi="Times New Roman"/>
          <w:sz w:val="24"/>
          <w:szCs w:val="24"/>
        </w:rPr>
        <w:t xml:space="preserve">economic </w:t>
      </w:r>
      <w:r w:rsidR="00B830DE">
        <w:rPr>
          <w:rFonts w:ascii="Times New Roman" w:hAnsi="Times New Roman"/>
          <w:sz w:val="24"/>
          <w:szCs w:val="24"/>
        </w:rPr>
        <w:t>activity</w:t>
      </w:r>
      <w:r w:rsidR="00C376D8">
        <w:rPr>
          <w:rFonts w:ascii="Times New Roman" w:hAnsi="Times New Roman"/>
          <w:sz w:val="24"/>
          <w:szCs w:val="24"/>
        </w:rPr>
        <w:t xml:space="preserve"> (</w:t>
      </w:r>
      <w:r w:rsidR="00664971">
        <w:rPr>
          <w:rFonts w:ascii="Times New Roman" w:hAnsi="Times New Roman"/>
          <w:sz w:val="24"/>
          <w:szCs w:val="24"/>
        </w:rPr>
        <w:t>Bachmann et al (2013)</w:t>
      </w:r>
      <w:r w:rsidR="00C376D8">
        <w:rPr>
          <w:rFonts w:ascii="Times New Roman" w:hAnsi="Times New Roman"/>
          <w:sz w:val="24"/>
          <w:szCs w:val="24"/>
        </w:rPr>
        <w:t xml:space="preserve">), as well as the information content of survey-based inflation risks (Andrade et al (2015)) and that of deflation probabilities computed from financial market prices (Fleckenstein et al (2017)). </w:t>
      </w:r>
    </w:p>
    <w:p w14:paraId="7C9185B9" w14:textId="297E55C2" w:rsidR="000800FA" w:rsidRPr="007652F1" w:rsidRDefault="003C3FC3" w:rsidP="00833C8A">
      <w:pPr>
        <w:pStyle w:val="Heading1"/>
        <w:spacing w:line="480" w:lineRule="auto"/>
        <w:rPr>
          <w:rFonts w:ascii="Times New Roman" w:hAnsi="Times New Roman"/>
          <w:color w:val="auto"/>
          <w:sz w:val="24"/>
          <w:szCs w:val="24"/>
        </w:rPr>
      </w:pPr>
      <w:r w:rsidRPr="006B24EA">
        <w:rPr>
          <w:rFonts w:ascii="Times New Roman" w:hAnsi="Times New Roman"/>
          <w:color w:val="auto"/>
          <w:sz w:val="24"/>
          <w:szCs w:val="24"/>
        </w:rPr>
        <w:t>5</w:t>
      </w:r>
      <w:r w:rsidR="000800FA" w:rsidRPr="008E3F37">
        <w:rPr>
          <w:rFonts w:ascii="Times New Roman" w:hAnsi="Times New Roman"/>
          <w:color w:val="auto"/>
          <w:sz w:val="24"/>
          <w:szCs w:val="24"/>
        </w:rPr>
        <w:t>.</w:t>
      </w:r>
      <w:r w:rsidR="00407EE6" w:rsidRPr="00792B36">
        <w:rPr>
          <w:rFonts w:ascii="Times New Roman" w:hAnsi="Times New Roman"/>
          <w:color w:val="auto"/>
          <w:sz w:val="24"/>
          <w:szCs w:val="24"/>
        </w:rPr>
        <w:tab/>
      </w:r>
      <w:r w:rsidR="000800FA" w:rsidRPr="007652F1">
        <w:rPr>
          <w:rFonts w:ascii="Times New Roman" w:hAnsi="Times New Roman"/>
          <w:color w:val="auto"/>
          <w:sz w:val="24"/>
          <w:szCs w:val="24"/>
        </w:rPr>
        <w:t>Conclusion</w:t>
      </w:r>
    </w:p>
    <w:p w14:paraId="75C410C6" w14:textId="5A214FF5" w:rsidR="000800FA" w:rsidRDefault="000800FA" w:rsidP="0096517A">
      <w:pPr>
        <w:pStyle w:val="FirstParagraph"/>
        <w:spacing w:line="480" w:lineRule="auto"/>
        <w:rPr>
          <w:rFonts w:ascii="Times New Roman" w:hAnsi="Times New Roman"/>
          <w:sz w:val="24"/>
          <w:szCs w:val="24"/>
        </w:rPr>
      </w:pPr>
      <w:r w:rsidRPr="00731C8B">
        <w:rPr>
          <w:rFonts w:ascii="Times New Roman" w:hAnsi="Times New Roman"/>
          <w:sz w:val="24"/>
          <w:szCs w:val="24"/>
        </w:rPr>
        <w:t>In this paper, we analyse</w:t>
      </w:r>
      <w:r w:rsidR="00147C23" w:rsidRPr="00731C8B">
        <w:rPr>
          <w:rFonts w:ascii="Times New Roman" w:hAnsi="Times New Roman"/>
          <w:sz w:val="24"/>
          <w:szCs w:val="24"/>
        </w:rPr>
        <w:t>d</w:t>
      </w:r>
      <w:r w:rsidR="00A86E62">
        <w:rPr>
          <w:rFonts w:ascii="Times New Roman" w:hAnsi="Times New Roman"/>
          <w:sz w:val="24"/>
          <w:szCs w:val="24"/>
        </w:rPr>
        <w:t xml:space="preserve"> </w:t>
      </w:r>
      <w:r w:rsidRPr="00731C8B">
        <w:rPr>
          <w:rFonts w:ascii="Times New Roman" w:hAnsi="Times New Roman"/>
          <w:sz w:val="24"/>
          <w:szCs w:val="24"/>
        </w:rPr>
        <w:t xml:space="preserve">inflation </w:t>
      </w:r>
      <w:r w:rsidR="00A86E62">
        <w:rPr>
          <w:rFonts w:ascii="Times New Roman" w:hAnsi="Times New Roman"/>
          <w:sz w:val="24"/>
          <w:szCs w:val="24"/>
        </w:rPr>
        <w:t>forecast disagreement</w:t>
      </w:r>
      <w:r w:rsidRPr="00731C8B">
        <w:rPr>
          <w:rFonts w:ascii="Times New Roman" w:hAnsi="Times New Roman"/>
          <w:sz w:val="24"/>
          <w:szCs w:val="24"/>
        </w:rPr>
        <w:t xml:space="preserve"> during periods of deflation, using a large cross-country data set of Consensus forecasts. Whereas previous research has documented that forecast disagreement is increasing in the level of </w:t>
      </w:r>
      <w:r w:rsidR="0065504F">
        <w:rPr>
          <w:rFonts w:ascii="Times New Roman" w:hAnsi="Times New Roman"/>
          <w:sz w:val="24"/>
          <w:szCs w:val="24"/>
        </w:rPr>
        <w:t>positive</w:t>
      </w:r>
      <w:r w:rsidRPr="00731C8B">
        <w:rPr>
          <w:rFonts w:ascii="Times New Roman" w:hAnsi="Times New Roman"/>
          <w:sz w:val="24"/>
          <w:szCs w:val="24"/>
        </w:rPr>
        <w:t xml:space="preserve"> inflation outcomes, we uncover a U-shaped relationship when deflations are included, such that forecast disagreement rises with the absolute levels of both inflation and deflation. </w:t>
      </w:r>
      <w:r w:rsidR="003C3FC3">
        <w:rPr>
          <w:rFonts w:ascii="Times New Roman" w:hAnsi="Times New Roman"/>
          <w:sz w:val="24"/>
          <w:szCs w:val="24"/>
        </w:rPr>
        <w:t>We show that neither information frictions, nor macroeconomic factors that correlate with forecast disagreement, explain its increase during deflations. Instead, our results are consistent with forecasters having heterogeneous views about the inflation process</w:t>
      </w:r>
      <w:r w:rsidR="006526F0">
        <w:rPr>
          <w:rFonts w:ascii="Times New Roman" w:hAnsi="Times New Roman"/>
          <w:sz w:val="24"/>
          <w:szCs w:val="24"/>
        </w:rPr>
        <w:t xml:space="preserve"> during deflations</w:t>
      </w:r>
      <w:r w:rsidR="003C3FC3">
        <w:rPr>
          <w:rFonts w:ascii="Times New Roman" w:hAnsi="Times New Roman"/>
          <w:sz w:val="24"/>
          <w:szCs w:val="24"/>
        </w:rPr>
        <w:t xml:space="preserve">, as expectations in the left-tail of the forecast distribution shift down. </w:t>
      </w:r>
      <w:r w:rsidR="003C3FC3" w:rsidRPr="00731C8B">
        <w:rPr>
          <w:rFonts w:ascii="Times New Roman" w:hAnsi="Times New Roman"/>
          <w:sz w:val="24"/>
          <w:szCs w:val="24"/>
        </w:rPr>
        <w:t xml:space="preserve">Econometric evidence indicates that such shifts have </w:t>
      </w:r>
      <w:r w:rsidR="003C3FC3">
        <w:rPr>
          <w:rFonts w:ascii="Times New Roman" w:hAnsi="Times New Roman"/>
          <w:sz w:val="24"/>
          <w:szCs w:val="24"/>
        </w:rPr>
        <w:t xml:space="preserve">adverse </w:t>
      </w:r>
      <w:r w:rsidR="003C3FC3" w:rsidRPr="00731C8B">
        <w:rPr>
          <w:rFonts w:ascii="Times New Roman" w:hAnsi="Times New Roman"/>
          <w:sz w:val="24"/>
          <w:szCs w:val="24"/>
        </w:rPr>
        <w:t>consequences for real activity.</w:t>
      </w:r>
    </w:p>
    <w:p w14:paraId="5DA2A5BC" w14:textId="098C55F5" w:rsidR="00DA22F2" w:rsidRPr="0096517A" w:rsidRDefault="00DA22F2" w:rsidP="006B24EA">
      <w:pPr>
        <w:pStyle w:val="Paragraph"/>
        <w:spacing w:line="480" w:lineRule="auto"/>
        <w:rPr>
          <w:rFonts w:ascii="Times New Roman" w:hAnsi="Times New Roman"/>
          <w:sz w:val="24"/>
          <w:szCs w:val="24"/>
        </w:rPr>
      </w:pPr>
      <w:r w:rsidRPr="006B24EA">
        <w:rPr>
          <w:rFonts w:ascii="Times New Roman" w:hAnsi="Times New Roman"/>
          <w:sz w:val="24"/>
          <w:szCs w:val="24"/>
        </w:rPr>
        <w:t xml:space="preserve">Our results suggest that </w:t>
      </w:r>
      <w:r>
        <w:rPr>
          <w:rFonts w:ascii="Times New Roman" w:hAnsi="Times New Roman"/>
          <w:sz w:val="24"/>
          <w:szCs w:val="24"/>
        </w:rPr>
        <w:t xml:space="preserve">the monetary policy framework, in particular the ability of an inflation targeting regime to provide a strong nominal anchor, can help reduce </w:t>
      </w:r>
      <w:r w:rsidR="0080676C">
        <w:rPr>
          <w:rFonts w:ascii="Times New Roman" w:hAnsi="Times New Roman"/>
          <w:sz w:val="24"/>
          <w:szCs w:val="24"/>
        </w:rPr>
        <w:t xml:space="preserve">heterogeneous expectations </w:t>
      </w:r>
      <w:r w:rsidR="00E139D2">
        <w:rPr>
          <w:rFonts w:ascii="Times New Roman" w:hAnsi="Times New Roman"/>
          <w:sz w:val="24"/>
          <w:szCs w:val="24"/>
        </w:rPr>
        <w:t xml:space="preserve">and thus </w:t>
      </w:r>
      <w:r>
        <w:rPr>
          <w:rFonts w:ascii="Times New Roman" w:hAnsi="Times New Roman"/>
          <w:sz w:val="24"/>
          <w:szCs w:val="24"/>
        </w:rPr>
        <w:t xml:space="preserve">forecast disagreement during deflations. </w:t>
      </w:r>
      <w:r w:rsidR="00052C9F">
        <w:rPr>
          <w:rFonts w:ascii="Times New Roman" w:hAnsi="Times New Roman"/>
          <w:sz w:val="24"/>
          <w:szCs w:val="24"/>
        </w:rPr>
        <w:t>Central bank communication is a</w:t>
      </w:r>
      <w:r w:rsidR="005331C7">
        <w:rPr>
          <w:rFonts w:ascii="Times New Roman" w:hAnsi="Times New Roman"/>
          <w:sz w:val="24"/>
          <w:szCs w:val="24"/>
        </w:rPr>
        <w:t xml:space="preserve"> related</w:t>
      </w:r>
      <w:r>
        <w:rPr>
          <w:rFonts w:ascii="Times New Roman" w:hAnsi="Times New Roman"/>
          <w:sz w:val="24"/>
          <w:szCs w:val="24"/>
        </w:rPr>
        <w:t xml:space="preserve"> factor that could potentially affect the degree of disagreement </w:t>
      </w:r>
      <w:r w:rsidR="00121547">
        <w:rPr>
          <w:rFonts w:ascii="Times New Roman" w:hAnsi="Times New Roman"/>
          <w:sz w:val="24"/>
          <w:szCs w:val="24"/>
        </w:rPr>
        <w:t>during deflations</w:t>
      </w:r>
      <w:r w:rsidR="006526F0">
        <w:rPr>
          <w:rFonts w:ascii="Times New Roman" w:hAnsi="Times New Roman"/>
          <w:sz w:val="24"/>
          <w:szCs w:val="24"/>
        </w:rPr>
        <w:t xml:space="preserve">. Given the </w:t>
      </w:r>
      <w:r w:rsidR="0070089B">
        <w:rPr>
          <w:rFonts w:ascii="Times New Roman" w:hAnsi="Times New Roman"/>
          <w:sz w:val="24"/>
          <w:szCs w:val="24"/>
        </w:rPr>
        <w:t>mushrooming of techniques available to process communication, w</w:t>
      </w:r>
      <w:r>
        <w:rPr>
          <w:rFonts w:ascii="Times New Roman" w:hAnsi="Times New Roman"/>
          <w:sz w:val="24"/>
          <w:szCs w:val="24"/>
        </w:rPr>
        <w:t>e consider this a potentially fruitful area for future research.</w:t>
      </w:r>
    </w:p>
    <w:p w14:paraId="6407F8D4" w14:textId="77777777" w:rsidR="000800FA" w:rsidRPr="00731C8B" w:rsidRDefault="000800FA" w:rsidP="00833C8A">
      <w:pPr>
        <w:pStyle w:val="Heading1"/>
        <w:spacing w:line="480" w:lineRule="auto"/>
        <w:rPr>
          <w:rFonts w:ascii="Times New Roman" w:hAnsi="Times New Roman"/>
          <w:color w:val="auto"/>
          <w:sz w:val="24"/>
          <w:szCs w:val="24"/>
        </w:rPr>
      </w:pPr>
      <w:r w:rsidRPr="00731C8B">
        <w:rPr>
          <w:rFonts w:ascii="Times New Roman" w:hAnsi="Times New Roman"/>
          <w:color w:val="auto"/>
          <w:sz w:val="24"/>
          <w:szCs w:val="24"/>
        </w:rPr>
        <w:lastRenderedPageBreak/>
        <w:t>References</w:t>
      </w:r>
    </w:p>
    <w:p w14:paraId="20E1D9A0"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Abrigo</w:t>
      </w:r>
      <w:proofErr w:type="spellEnd"/>
      <w:r w:rsidRPr="00731C8B">
        <w:rPr>
          <w:rFonts w:ascii="Times New Roman" w:hAnsi="Times New Roman"/>
          <w:sz w:val="24"/>
          <w:szCs w:val="24"/>
        </w:rPr>
        <w:t xml:space="preserve">, M and I Love (2015): “Estimation of panel vector </w:t>
      </w:r>
      <w:proofErr w:type="spellStart"/>
      <w:r w:rsidRPr="00731C8B">
        <w:rPr>
          <w:rFonts w:ascii="Times New Roman" w:hAnsi="Times New Roman"/>
          <w:sz w:val="24"/>
          <w:szCs w:val="24"/>
        </w:rPr>
        <w:t>autoregression</w:t>
      </w:r>
      <w:proofErr w:type="spellEnd"/>
      <w:r w:rsidRPr="00731C8B">
        <w:rPr>
          <w:rFonts w:ascii="Times New Roman" w:hAnsi="Times New Roman"/>
          <w:sz w:val="24"/>
          <w:szCs w:val="24"/>
        </w:rPr>
        <w:t xml:space="preserve"> in Stata: a package of programs”, </w:t>
      </w:r>
      <w:r w:rsidRPr="00731C8B">
        <w:rPr>
          <w:rFonts w:ascii="Times New Roman" w:hAnsi="Times New Roman"/>
          <w:i/>
          <w:sz w:val="24"/>
          <w:szCs w:val="24"/>
        </w:rPr>
        <w:t>University of Hawaii Working Paper</w:t>
      </w:r>
      <w:r w:rsidRPr="00731C8B">
        <w:rPr>
          <w:rFonts w:ascii="Times New Roman" w:hAnsi="Times New Roman"/>
          <w:sz w:val="24"/>
          <w:szCs w:val="24"/>
        </w:rPr>
        <w:t>.</w:t>
      </w:r>
    </w:p>
    <w:p w14:paraId="5F11BB17" w14:textId="77777777"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t xml:space="preserve">Andrade, P, E </w:t>
      </w:r>
      <w:proofErr w:type="spellStart"/>
      <w:r w:rsidRPr="00731C8B">
        <w:rPr>
          <w:rFonts w:ascii="Times New Roman" w:hAnsi="Times New Roman"/>
          <w:sz w:val="24"/>
          <w:szCs w:val="24"/>
        </w:rPr>
        <w:t>Ghysels</w:t>
      </w:r>
      <w:proofErr w:type="spellEnd"/>
      <w:r w:rsidRPr="00731C8B">
        <w:rPr>
          <w:rFonts w:ascii="Times New Roman" w:hAnsi="Times New Roman"/>
          <w:sz w:val="24"/>
          <w:szCs w:val="24"/>
        </w:rPr>
        <w:t xml:space="preserve"> and J </w:t>
      </w:r>
      <w:proofErr w:type="spellStart"/>
      <w:r w:rsidRPr="00731C8B">
        <w:rPr>
          <w:rFonts w:ascii="Times New Roman" w:hAnsi="Times New Roman"/>
          <w:sz w:val="24"/>
          <w:szCs w:val="24"/>
        </w:rPr>
        <w:t>Idier</w:t>
      </w:r>
      <w:proofErr w:type="spellEnd"/>
      <w:r w:rsidRPr="00731C8B">
        <w:rPr>
          <w:rFonts w:ascii="Times New Roman" w:hAnsi="Times New Roman"/>
          <w:sz w:val="24"/>
          <w:szCs w:val="24"/>
        </w:rPr>
        <w:t xml:space="preserve"> (2015): “Tails of inflation forecasts and tales of monetary policy”, mimeo.</w:t>
      </w:r>
    </w:p>
    <w:p w14:paraId="464343F6" w14:textId="154C76DD" w:rsidR="00855B90" w:rsidRPr="00855B90" w:rsidRDefault="00855B90" w:rsidP="00833C8A">
      <w:pPr>
        <w:pStyle w:val="References"/>
        <w:spacing w:line="480" w:lineRule="auto"/>
        <w:rPr>
          <w:rFonts w:ascii="Times New Roman" w:hAnsi="Times New Roman"/>
          <w:sz w:val="24"/>
          <w:szCs w:val="24"/>
        </w:rPr>
      </w:pPr>
      <w:r w:rsidRPr="00855B90">
        <w:rPr>
          <w:rFonts w:ascii="Times New Roman" w:hAnsi="Times New Roman"/>
          <w:sz w:val="24"/>
          <w:szCs w:val="24"/>
        </w:rPr>
        <w:t xml:space="preserve">Andrade, P, G </w:t>
      </w:r>
      <w:proofErr w:type="spellStart"/>
      <w:r w:rsidRPr="00855B90">
        <w:rPr>
          <w:rFonts w:ascii="Times New Roman" w:hAnsi="Times New Roman"/>
          <w:sz w:val="24"/>
          <w:szCs w:val="24"/>
        </w:rPr>
        <w:t>Gaballo</w:t>
      </w:r>
      <w:proofErr w:type="spellEnd"/>
      <w:r w:rsidRPr="00855B90">
        <w:rPr>
          <w:rFonts w:ascii="Times New Roman" w:hAnsi="Times New Roman"/>
          <w:sz w:val="24"/>
          <w:szCs w:val="24"/>
        </w:rPr>
        <w:t xml:space="preserve">, E </w:t>
      </w:r>
      <w:proofErr w:type="spellStart"/>
      <w:r w:rsidRPr="00855B90">
        <w:rPr>
          <w:rFonts w:ascii="Times New Roman" w:hAnsi="Times New Roman"/>
          <w:sz w:val="24"/>
          <w:szCs w:val="24"/>
        </w:rPr>
        <w:t>Mengus</w:t>
      </w:r>
      <w:proofErr w:type="spellEnd"/>
      <w:r w:rsidRPr="00855B90">
        <w:rPr>
          <w:rFonts w:ascii="Times New Roman" w:hAnsi="Times New Roman"/>
          <w:sz w:val="24"/>
          <w:szCs w:val="24"/>
        </w:rPr>
        <w:t xml:space="preserve"> and B Mojon (</w:t>
      </w:r>
      <w:r w:rsidR="00916E6A" w:rsidRPr="00855B90">
        <w:rPr>
          <w:rFonts w:ascii="Times New Roman" w:hAnsi="Times New Roman"/>
          <w:sz w:val="24"/>
          <w:szCs w:val="24"/>
        </w:rPr>
        <w:t>201</w:t>
      </w:r>
      <w:r w:rsidR="00916E6A">
        <w:rPr>
          <w:rFonts w:ascii="Times New Roman" w:hAnsi="Times New Roman"/>
          <w:sz w:val="24"/>
          <w:szCs w:val="24"/>
        </w:rPr>
        <w:t>9</w:t>
      </w:r>
      <w:r w:rsidRPr="00855B90">
        <w:rPr>
          <w:rFonts w:ascii="Times New Roman" w:hAnsi="Times New Roman"/>
          <w:sz w:val="24"/>
          <w:szCs w:val="24"/>
        </w:rPr>
        <w:t xml:space="preserve">): “Forward guidance and heterogeneous </w:t>
      </w:r>
      <w:r>
        <w:rPr>
          <w:rFonts w:ascii="Times New Roman" w:hAnsi="Times New Roman"/>
          <w:sz w:val="24"/>
          <w:szCs w:val="24"/>
        </w:rPr>
        <w:t xml:space="preserve">beliefs”, </w:t>
      </w:r>
      <w:r w:rsidRPr="00855B90">
        <w:rPr>
          <w:rFonts w:ascii="Times New Roman" w:hAnsi="Times New Roman"/>
          <w:i/>
          <w:sz w:val="24"/>
          <w:szCs w:val="24"/>
        </w:rPr>
        <w:t>American Economic Journal: Macroeconomics</w:t>
      </w:r>
      <w:r w:rsidR="00916E6A">
        <w:rPr>
          <w:rFonts w:ascii="Times New Roman" w:hAnsi="Times New Roman"/>
          <w:sz w:val="24"/>
          <w:szCs w:val="24"/>
        </w:rPr>
        <w:t xml:space="preserve"> 11(3)</w:t>
      </w:r>
      <w:r>
        <w:rPr>
          <w:rFonts w:ascii="Times New Roman" w:hAnsi="Times New Roman"/>
          <w:sz w:val="24"/>
          <w:szCs w:val="24"/>
        </w:rPr>
        <w:t>,</w:t>
      </w:r>
      <w:r w:rsidR="00916E6A">
        <w:rPr>
          <w:rFonts w:ascii="Times New Roman" w:hAnsi="Times New Roman"/>
          <w:sz w:val="24"/>
          <w:szCs w:val="24"/>
        </w:rPr>
        <w:t xml:space="preserve"> pp. 1</w:t>
      </w:r>
      <w:r w:rsidR="00916E6A" w:rsidRPr="00731C8B">
        <w:rPr>
          <w:rFonts w:ascii="Times New Roman" w:hAnsi="Times New Roman"/>
          <w:sz w:val="24"/>
          <w:szCs w:val="24"/>
        </w:rPr>
        <w:t>–</w:t>
      </w:r>
      <w:r w:rsidR="00916E6A">
        <w:rPr>
          <w:rFonts w:ascii="Times New Roman" w:hAnsi="Times New Roman"/>
          <w:sz w:val="24"/>
          <w:szCs w:val="24"/>
        </w:rPr>
        <w:t>29</w:t>
      </w:r>
      <w:r>
        <w:rPr>
          <w:rFonts w:ascii="Times New Roman" w:hAnsi="Times New Roman"/>
          <w:sz w:val="24"/>
          <w:szCs w:val="24"/>
        </w:rPr>
        <w:t>.</w:t>
      </w:r>
    </w:p>
    <w:p w14:paraId="1D930FB5" w14:textId="77777777" w:rsidR="002539F0" w:rsidRDefault="002539F0" w:rsidP="00833C8A">
      <w:pPr>
        <w:pStyle w:val="References"/>
        <w:spacing w:line="480" w:lineRule="auto"/>
        <w:rPr>
          <w:rFonts w:ascii="Times New Roman" w:hAnsi="Times New Roman"/>
          <w:sz w:val="24"/>
          <w:szCs w:val="24"/>
        </w:rPr>
      </w:pPr>
      <w:r>
        <w:rPr>
          <w:rFonts w:ascii="Times New Roman" w:hAnsi="Times New Roman"/>
          <w:sz w:val="24"/>
          <w:szCs w:val="24"/>
        </w:rPr>
        <w:t xml:space="preserve">Bachmann, R, S </w:t>
      </w:r>
      <w:proofErr w:type="spellStart"/>
      <w:r>
        <w:rPr>
          <w:rFonts w:ascii="Times New Roman" w:hAnsi="Times New Roman"/>
          <w:sz w:val="24"/>
          <w:szCs w:val="24"/>
        </w:rPr>
        <w:t>Elstner</w:t>
      </w:r>
      <w:proofErr w:type="spellEnd"/>
      <w:r>
        <w:rPr>
          <w:rFonts w:ascii="Times New Roman" w:hAnsi="Times New Roman"/>
          <w:sz w:val="24"/>
          <w:szCs w:val="24"/>
        </w:rPr>
        <w:t xml:space="preserve"> and E Sims (2013): “Uncertainty and economic activity: evidence from business survey data”, </w:t>
      </w:r>
      <w:r w:rsidRPr="00A103F8">
        <w:rPr>
          <w:rFonts w:ascii="Times New Roman" w:hAnsi="Times New Roman"/>
          <w:i/>
          <w:sz w:val="24"/>
          <w:szCs w:val="24"/>
        </w:rPr>
        <w:t>American Economic Journal: Macroeconomics</w:t>
      </w:r>
      <w:r>
        <w:rPr>
          <w:rFonts w:ascii="Times New Roman" w:hAnsi="Times New Roman"/>
          <w:sz w:val="24"/>
          <w:szCs w:val="24"/>
        </w:rPr>
        <w:t xml:space="preserve"> 5(2), pp. 217</w:t>
      </w:r>
      <w:r w:rsidRPr="00731C8B">
        <w:rPr>
          <w:rFonts w:ascii="Times New Roman" w:hAnsi="Times New Roman"/>
          <w:sz w:val="24"/>
          <w:szCs w:val="24"/>
        </w:rPr>
        <w:t>–</w:t>
      </w:r>
      <w:r>
        <w:rPr>
          <w:rFonts w:ascii="Times New Roman" w:hAnsi="Times New Roman"/>
          <w:sz w:val="24"/>
          <w:szCs w:val="24"/>
        </w:rPr>
        <w:t>49.</w:t>
      </w:r>
    </w:p>
    <w:p w14:paraId="5FD31B4C" w14:textId="77777777"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t>Bank of Japan (2017): “Development in inflation expectations over the three years since the introduction of quantitative and qualitative monetary easing (QQE)”, October.</w:t>
      </w:r>
    </w:p>
    <w:p w14:paraId="40CB2EB1"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Benhabib</w:t>
      </w:r>
      <w:proofErr w:type="spellEnd"/>
      <w:r w:rsidRPr="00731C8B">
        <w:rPr>
          <w:rFonts w:ascii="Times New Roman" w:hAnsi="Times New Roman"/>
          <w:sz w:val="24"/>
          <w:szCs w:val="24"/>
        </w:rPr>
        <w:t xml:space="preserve">, J, S Schmitt-Grohe and M Uribe (2002): “Avoiding liquidity traps”, </w:t>
      </w:r>
      <w:r w:rsidRPr="00731C8B">
        <w:rPr>
          <w:rFonts w:ascii="Times New Roman" w:hAnsi="Times New Roman"/>
          <w:i/>
          <w:sz w:val="24"/>
          <w:szCs w:val="24"/>
        </w:rPr>
        <w:t>Journal of Political Economy</w:t>
      </w:r>
      <w:r w:rsidRPr="00731C8B">
        <w:rPr>
          <w:rFonts w:ascii="Times New Roman" w:hAnsi="Times New Roman"/>
          <w:sz w:val="24"/>
          <w:szCs w:val="24"/>
        </w:rPr>
        <w:t xml:space="preserve"> 110(3), pp. 535–63.</w:t>
      </w:r>
    </w:p>
    <w:p w14:paraId="355C5E22"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Busetti</w:t>
      </w:r>
      <w:proofErr w:type="spellEnd"/>
      <w:r w:rsidRPr="00731C8B">
        <w:rPr>
          <w:rFonts w:ascii="Times New Roman" w:hAnsi="Times New Roman"/>
          <w:sz w:val="24"/>
          <w:szCs w:val="24"/>
        </w:rPr>
        <w:t xml:space="preserve">, F, G Ferrero, A </w:t>
      </w:r>
      <w:proofErr w:type="spellStart"/>
      <w:r w:rsidRPr="00731C8B">
        <w:rPr>
          <w:rFonts w:ascii="Times New Roman" w:hAnsi="Times New Roman"/>
          <w:sz w:val="24"/>
          <w:szCs w:val="24"/>
        </w:rPr>
        <w:t>Gerali</w:t>
      </w:r>
      <w:proofErr w:type="spellEnd"/>
      <w:r w:rsidRPr="00731C8B">
        <w:rPr>
          <w:rFonts w:ascii="Times New Roman" w:hAnsi="Times New Roman"/>
          <w:sz w:val="24"/>
          <w:szCs w:val="24"/>
        </w:rPr>
        <w:t xml:space="preserve"> and A Locarno (2014): “Deflationary shocks and de-anchoring of inflation expectations”, </w:t>
      </w:r>
      <w:r w:rsidRPr="00731C8B">
        <w:rPr>
          <w:rFonts w:ascii="Times New Roman" w:hAnsi="Times New Roman"/>
          <w:i/>
          <w:sz w:val="24"/>
          <w:szCs w:val="24"/>
        </w:rPr>
        <w:t>Occasional Paper</w:t>
      </w:r>
      <w:r w:rsidRPr="00731C8B">
        <w:rPr>
          <w:rFonts w:ascii="Times New Roman" w:hAnsi="Times New Roman"/>
          <w:sz w:val="24"/>
          <w:szCs w:val="24"/>
        </w:rPr>
        <w:t xml:space="preserve"> no. 252, Banca </w:t>
      </w:r>
      <w:proofErr w:type="spellStart"/>
      <w:r w:rsidRPr="00731C8B">
        <w:rPr>
          <w:rFonts w:ascii="Times New Roman" w:hAnsi="Times New Roman"/>
          <w:sz w:val="24"/>
          <w:szCs w:val="24"/>
        </w:rPr>
        <w:t>d’Italia</w:t>
      </w:r>
      <w:proofErr w:type="spellEnd"/>
      <w:r w:rsidRPr="00731C8B">
        <w:rPr>
          <w:rFonts w:ascii="Times New Roman" w:hAnsi="Times New Roman"/>
          <w:sz w:val="24"/>
          <w:szCs w:val="24"/>
        </w:rPr>
        <w:t>.</w:t>
      </w:r>
    </w:p>
    <w:p w14:paraId="3394089B"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Capistr</w:t>
      </w:r>
      <w:r w:rsidR="00AA377E">
        <w:rPr>
          <w:rFonts w:ascii="Times New Roman" w:hAnsi="Times New Roman"/>
          <w:sz w:val="24"/>
          <w:szCs w:val="24"/>
        </w:rPr>
        <w:t>á</w:t>
      </w:r>
      <w:r w:rsidRPr="00731C8B">
        <w:rPr>
          <w:rFonts w:ascii="Times New Roman" w:hAnsi="Times New Roman"/>
          <w:sz w:val="24"/>
          <w:szCs w:val="24"/>
        </w:rPr>
        <w:t>n</w:t>
      </w:r>
      <w:proofErr w:type="spellEnd"/>
      <w:r w:rsidRPr="00731C8B">
        <w:rPr>
          <w:rFonts w:ascii="Times New Roman" w:hAnsi="Times New Roman"/>
          <w:sz w:val="24"/>
          <w:szCs w:val="24"/>
        </w:rPr>
        <w:t xml:space="preserve">, C and A </w:t>
      </w:r>
      <w:proofErr w:type="spellStart"/>
      <w:r w:rsidRPr="00731C8B">
        <w:rPr>
          <w:rFonts w:ascii="Times New Roman" w:hAnsi="Times New Roman"/>
          <w:sz w:val="24"/>
          <w:szCs w:val="24"/>
        </w:rPr>
        <w:t>Timmermann</w:t>
      </w:r>
      <w:proofErr w:type="spellEnd"/>
      <w:r w:rsidRPr="00731C8B">
        <w:rPr>
          <w:rFonts w:ascii="Times New Roman" w:hAnsi="Times New Roman"/>
          <w:sz w:val="24"/>
          <w:szCs w:val="24"/>
        </w:rPr>
        <w:t xml:space="preserve"> (2009): “Disagreement and biases in inflation expectations”, </w:t>
      </w:r>
      <w:r w:rsidRPr="00731C8B">
        <w:rPr>
          <w:rFonts w:ascii="Times New Roman" w:hAnsi="Times New Roman"/>
          <w:i/>
          <w:sz w:val="24"/>
          <w:szCs w:val="24"/>
        </w:rPr>
        <w:t>Journal of Money, Credit and Banking</w:t>
      </w:r>
      <w:r w:rsidRPr="00731C8B">
        <w:rPr>
          <w:rFonts w:ascii="Times New Roman" w:hAnsi="Times New Roman"/>
          <w:sz w:val="24"/>
          <w:szCs w:val="24"/>
        </w:rPr>
        <w:t xml:space="preserve"> 41(2–3), pp. 365–96.</w:t>
      </w:r>
    </w:p>
    <w:p w14:paraId="1959D262" w14:textId="77777777" w:rsidR="00B37550" w:rsidRPr="00731C8B" w:rsidRDefault="00B37550" w:rsidP="00833C8A">
      <w:pPr>
        <w:pStyle w:val="References"/>
        <w:spacing w:line="480" w:lineRule="auto"/>
        <w:rPr>
          <w:rFonts w:ascii="Times New Roman" w:hAnsi="Times New Roman"/>
          <w:sz w:val="24"/>
          <w:szCs w:val="24"/>
        </w:rPr>
      </w:pPr>
      <w:proofErr w:type="spellStart"/>
      <w:r>
        <w:rPr>
          <w:rFonts w:ascii="Times New Roman" w:hAnsi="Times New Roman"/>
          <w:sz w:val="24"/>
          <w:szCs w:val="24"/>
        </w:rPr>
        <w:t>Coibion</w:t>
      </w:r>
      <w:proofErr w:type="spellEnd"/>
      <w:r>
        <w:rPr>
          <w:rFonts w:ascii="Times New Roman" w:hAnsi="Times New Roman"/>
          <w:sz w:val="24"/>
          <w:szCs w:val="24"/>
        </w:rPr>
        <w:t xml:space="preserve">, O and Y </w:t>
      </w:r>
      <w:proofErr w:type="spellStart"/>
      <w:r>
        <w:rPr>
          <w:rFonts w:ascii="Times New Roman" w:hAnsi="Times New Roman"/>
          <w:sz w:val="24"/>
          <w:szCs w:val="24"/>
        </w:rPr>
        <w:t>Gorodnichenko</w:t>
      </w:r>
      <w:proofErr w:type="spellEnd"/>
      <w:r>
        <w:rPr>
          <w:rFonts w:ascii="Times New Roman" w:hAnsi="Times New Roman"/>
          <w:sz w:val="24"/>
          <w:szCs w:val="24"/>
        </w:rPr>
        <w:t xml:space="preserve"> (2015): “Information rigidity and the expectations formation process: A simple framework and new facts”, </w:t>
      </w:r>
      <w:r w:rsidRPr="00B37550">
        <w:rPr>
          <w:rFonts w:ascii="Times New Roman" w:hAnsi="Times New Roman"/>
          <w:i/>
          <w:sz w:val="24"/>
          <w:szCs w:val="24"/>
        </w:rPr>
        <w:t>American Economic Review</w:t>
      </w:r>
      <w:r>
        <w:rPr>
          <w:rFonts w:ascii="Times New Roman" w:hAnsi="Times New Roman"/>
          <w:sz w:val="24"/>
          <w:szCs w:val="24"/>
        </w:rPr>
        <w:t xml:space="preserve"> 105(8), pp. 2644</w:t>
      </w:r>
      <w:r w:rsidRPr="00731C8B">
        <w:rPr>
          <w:rFonts w:ascii="Times New Roman" w:hAnsi="Times New Roman"/>
          <w:sz w:val="24"/>
          <w:szCs w:val="24"/>
        </w:rPr>
        <w:t>–</w:t>
      </w:r>
      <w:r>
        <w:rPr>
          <w:rFonts w:ascii="Times New Roman" w:hAnsi="Times New Roman"/>
          <w:sz w:val="24"/>
          <w:szCs w:val="24"/>
        </w:rPr>
        <w:t>78.</w:t>
      </w:r>
    </w:p>
    <w:p w14:paraId="25E8C8F4" w14:textId="77777777" w:rsidR="00F56E48" w:rsidRPr="00731C8B" w:rsidRDefault="00F56E48" w:rsidP="00833C8A">
      <w:pPr>
        <w:pStyle w:val="References"/>
        <w:spacing w:line="480" w:lineRule="auto"/>
        <w:rPr>
          <w:rFonts w:ascii="Times New Roman" w:hAnsi="Times New Roman"/>
          <w:sz w:val="24"/>
          <w:szCs w:val="24"/>
        </w:rPr>
      </w:pPr>
      <w:proofErr w:type="spellStart"/>
      <w:r>
        <w:rPr>
          <w:rFonts w:ascii="Times New Roman" w:hAnsi="Times New Roman"/>
          <w:sz w:val="24"/>
          <w:szCs w:val="24"/>
        </w:rPr>
        <w:t>Cukierman</w:t>
      </w:r>
      <w:proofErr w:type="spellEnd"/>
      <w:r>
        <w:rPr>
          <w:rFonts w:ascii="Times New Roman" w:hAnsi="Times New Roman"/>
          <w:sz w:val="24"/>
          <w:szCs w:val="24"/>
        </w:rPr>
        <w:t xml:space="preserve">, A and P </w:t>
      </w:r>
      <w:proofErr w:type="spellStart"/>
      <w:r>
        <w:rPr>
          <w:rFonts w:ascii="Times New Roman" w:hAnsi="Times New Roman"/>
          <w:sz w:val="24"/>
          <w:szCs w:val="24"/>
        </w:rPr>
        <w:t>Wachtel</w:t>
      </w:r>
      <w:proofErr w:type="spellEnd"/>
      <w:r>
        <w:rPr>
          <w:rFonts w:ascii="Times New Roman" w:hAnsi="Times New Roman"/>
          <w:sz w:val="24"/>
          <w:szCs w:val="24"/>
        </w:rPr>
        <w:t xml:space="preserve"> (1979): “Differential inflationary expectations and the variability of the rate of inflation: Theory and evidence”, </w:t>
      </w:r>
      <w:r w:rsidRPr="00F56E48">
        <w:rPr>
          <w:rFonts w:ascii="Times New Roman" w:hAnsi="Times New Roman"/>
          <w:i/>
          <w:sz w:val="24"/>
          <w:szCs w:val="24"/>
        </w:rPr>
        <w:t>American Economic Review</w:t>
      </w:r>
      <w:r>
        <w:rPr>
          <w:rFonts w:ascii="Times New Roman" w:hAnsi="Times New Roman"/>
          <w:sz w:val="24"/>
          <w:szCs w:val="24"/>
        </w:rPr>
        <w:t xml:space="preserve"> 69(4), pp. 595–609.</w:t>
      </w:r>
    </w:p>
    <w:p w14:paraId="6E71F9D3"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lastRenderedPageBreak/>
        <w:t>Dovern</w:t>
      </w:r>
      <w:proofErr w:type="spellEnd"/>
      <w:r w:rsidRPr="00731C8B">
        <w:rPr>
          <w:rFonts w:ascii="Times New Roman" w:hAnsi="Times New Roman"/>
          <w:sz w:val="24"/>
          <w:szCs w:val="24"/>
        </w:rPr>
        <w:t xml:space="preserve">, J, U </w:t>
      </w:r>
      <w:proofErr w:type="spellStart"/>
      <w:r w:rsidRPr="00731C8B">
        <w:rPr>
          <w:rFonts w:ascii="Times New Roman" w:hAnsi="Times New Roman"/>
          <w:sz w:val="24"/>
          <w:szCs w:val="24"/>
        </w:rPr>
        <w:t>Fritsche</w:t>
      </w:r>
      <w:proofErr w:type="spellEnd"/>
      <w:r w:rsidRPr="00731C8B">
        <w:rPr>
          <w:rFonts w:ascii="Times New Roman" w:hAnsi="Times New Roman"/>
          <w:sz w:val="24"/>
          <w:szCs w:val="24"/>
        </w:rPr>
        <w:t xml:space="preserve"> and J </w:t>
      </w:r>
      <w:proofErr w:type="spellStart"/>
      <w:r w:rsidRPr="00731C8B">
        <w:rPr>
          <w:rFonts w:ascii="Times New Roman" w:hAnsi="Times New Roman"/>
          <w:sz w:val="24"/>
          <w:szCs w:val="24"/>
        </w:rPr>
        <w:t>Slacalek</w:t>
      </w:r>
      <w:proofErr w:type="spellEnd"/>
      <w:r w:rsidRPr="00731C8B">
        <w:rPr>
          <w:rFonts w:ascii="Times New Roman" w:hAnsi="Times New Roman"/>
          <w:sz w:val="24"/>
          <w:szCs w:val="24"/>
        </w:rPr>
        <w:t xml:space="preserve"> (2012): “Disagreement among forecasters in G7 countries”, </w:t>
      </w:r>
      <w:r w:rsidRPr="00731C8B">
        <w:rPr>
          <w:rFonts w:ascii="Times New Roman" w:hAnsi="Times New Roman"/>
          <w:i/>
          <w:sz w:val="24"/>
          <w:szCs w:val="24"/>
        </w:rPr>
        <w:t>The Review of Economics and Statistics</w:t>
      </w:r>
      <w:r w:rsidRPr="00731C8B">
        <w:rPr>
          <w:rFonts w:ascii="Times New Roman" w:hAnsi="Times New Roman"/>
          <w:sz w:val="24"/>
          <w:szCs w:val="24"/>
        </w:rPr>
        <w:t xml:space="preserve"> 94(4), pp. 1081–1096.</w:t>
      </w:r>
    </w:p>
    <w:p w14:paraId="258A14E8" w14:textId="77777777" w:rsidR="00395CAA" w:rsidRDefault="00395CAA" w:rsidP="00833C8A">
      <w:pPr>
        <w:pStyle w:val="References"/>
        <w:spacing w:line="480" w:lineRule="auto"/>
        <w:rPr>
          <w:rFonts w:ascii="Times New Roman" w:hAnsi="Times New Roman"/>
          <w:sz w:val="24"/>
          <w:szCs w:val="24"/>
        </w:rPr>
      </w:pPr>
      <w:proofErr w:type="spellStart"/>
      <w:r>
        <w:rPr>
          <w:rFonts w:ascii="Times New Roman" w:hAnsi="Times New Roman"/>
          <w:sz w:val="24"/>
          <w:szCs w:val="24"/>
        </w:rPr>
        <w:t>Döpke</w:t>
      </w:r>
      <w:proofErr w:type="spellEnd"/>
      <w:r>
        <w:rPr>
          <w:rFonts w:ascii="Times New Roman" w:hAnsi="Times New Roman"/>
          <w:sz w:val="24"/>
          <w:szCs w:val="24"/>
        </w:rPr>
        <w:t xml:space="preserve">, J and </w:t>
      </w:r>
      <w:r w:rsidRPr="00731C8B">
        <w:rPr>
          <w:rFonts w:ascii="Times New Roman" w:hAnsi="Times New Roman"/>
          <w:sz w:val="24"/>
          <w:szCs w:val="24"/>
        </w:rPr>
        <w:t xml:space="preserve">U </w:t>
      </w:r>
      <w:proofErr w:type="spellStart"/>
      <w:r w:rsidRPr="00731C8B">
        <w:rPr>
          <w:rFonts w:ascii="Times New Roman" w:hAnsi="Times New Roman"/>
          <w:sz w:val="24"/>
          <w:szCs w:val="24"/>
        </w:rPr>
        <w:t>Fritsche</w:t>
      </w:r>
      <w:proofErr w:type="spellEnd"/>
      <w:r>
        <w:rPr>
          <w:rFonts w:ascii="Times New Roman" w:hAnsi="Times New Roman"/>
          <w:sz w:val="24"/>
          <w:szCs w:val="24"/>
        </w:rPr>
        <w:t xml:space="preserve"> (2006): “When do forecasters disagree? An assessment of German growth and inflation forecast dispersion”, </w:t>
      </w:r>
      <w:r w:rsidRPr="00395CAA">
        <w:rPr>
          <w:rFonts w:ascii="Times New Roman" w:hAnsi="Times New Roman"/>
          <w:i/>
          <w:sz w:val="24"/>
          <w:szCs w:val="24"/>
        </w:rPr>
        <w:t>International Journal of Forecasting</w:t>
      </w:r>
      <w:r>
        <w:rPr>
          <w:rFonts w:ascii="Times New Roman" w:hAnsi="Times New Roman"/>
          <w:sz w:val="24"/>
          <w:szCs w:val="24"/>
        </w:rPr>
        <w:t xml:space="preserve"> 22(1), pp. 125–35.</w:t>
      </w:r>
    </w:p>
    <w:p w14:paraId="59F82E48" w14:textId="585620BF" w:rsidR="00AD6399" w:rsidRDefault="00AD6399" w:rsidP="00833C8A">
      <w:pPr>
        <w:pStyle w:val="References"/>
        <w:spacing w:line="480" w:lineRule="auto"/>
        <w:rPr>
          <w:rFonts w:ascii="Times New Roman" w:hAnsi="Times New Roman"/>
          <w:sz w:val="24"/>
          <w:szCs w:val="24"/>
        </w:rPr>
      </w:pPr>
      <w:proofErr w:type="spellStart"/>
      <w:r>
        <w:rPr>
          <w:rFonts w:ascii="Times New Roman" w:hAnsi="Times New Roman"/>
          <w:sz w:val="24"/>
          <w:szCs w:val="24"/>
        </w:rPr>
        <w:t>Ehling</w:t>
      </w:r>
      <w:proofErr w:type="spellEnd"/>
      <w:r>
        <w:rPr>
          <w:rFonts w:ascii="Times New Roman" w:hAnsi="Times New Roman"/>
          <w:sz w:val="24"/>
          <w:szCs w:val="24"/>
        </w:rPr>
        <w:t xml:space="preserve">, P, M </w:t>
      </w:r>
      <w:proofErr w:type="spellStart"/>
      <w:r>
        <w:rPr>
          <w:rFonts w:ascii="Times New Roman" w:hAnsi="Times New Roman"/>
          <w:sz w:val="24"/>
          <w:szCs w:val="24"/>
        </w:rPr>
        <w:t>Gallmayer</w:t>
      </w:r>
      <w:proofErr w:type="spellEnd"/>
      <w:r>
        <w:rPr>
          <w:rFonts w:ascii="Times New Roman" w:hAnsi="Times New Roman"/>
          <w:sz w:val="24"/>
          <w:szCs w:val="24"/>
        </w:rPr>
        <w:t xml:space="preserve">, C Heyerdahl-Larsen and P </w:t>
      </w:r>
      <w:proofErr w:type="spellStart"/>
      <w:r>
        <w:rPr>
          <w:rFonts w:ascii="Times New Roman" w:hAnsi="Times New Roman"/>
          <w:sz w:val="24"/>
          <w:szCs w:val="24"/>
        </w:rPr>
        <w:t>Illeditsch</w:t>
      </w:r>
      <w:proofErr w:type="spellEnd"/>
      <w:r>
        <w:rPr>
          <w:rFonts w:ascii="Times New Roman" w:hAnsi="Times New Roman"/>
          <w:sz w:val="24"/>
          <w:szCs w:val="24"/>
        </w:rPr>
        <w:t xml:space="preserve"> (2018): “Disagreement about inflation and the yield curve”, </w:t>
      </w:r>
      <w:r w:rsidRPr="006B24EA">
        <w:rPr>
          <w:rFonts w:ascii="Times New Roman" w:hAnsi="Times New Roman"/>
          <w:i/>
          <w:sz w:val="24"/>
          <w:szCs w:val="24"/>
        </w:rPr>
        <w:t>Journal of Financial Economics</w:t>
      </w:r>
      <w:r>
        <w:rPr>
          <w:rFonts w:ascii="Times New Roman" w:hAnsi="Times New Roman"/>
          <w:sz w:val="24"/>
          <w:szCs w:val="24"/>
        </w:rPr>
        <w:t xml:space="preserve"> 127(3), pp. 459</w:t>
      </w:r>
      <w:r w:rsidRPr="00731C8B">
        <w:rPr>
          <w:rFonts w:ascii="Times New Roman" w:hAnsi="Times New Roman"/>
          <w:sz w:val="24"/>
          <w:szCs w:val="24"/>
        </w:rPr>
        <w:t>–</w:t>
      </w:r>
      <w:r>
        <w:rPr>
          <w:rFonts w:ascii="Times New Roman" w:hAnsi="Times New Roman"/>
          <w:sz w:val="24"/>
          <w:szCs w:val="24"/>
        </w:rPr>
        <w:t>84.</w:t>
      </w:r>
    </w:p>
    <w:p w14:paraId="3D50C87F"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Ehrmann</w:t>
      </w:r>
      <w:proofErr w:type="spellEnd"/>
      <w:r w:rsidRPr="00731C8B">
        <w:rPr>
          <w:rFonts w:ascii="Times New Roman" w:hAnsi="Times New Roman"/>
          <w:sz w:val="24"/>
          <w:szCs w:val="24"/>
        </w:rPr>
        <w:t>, M (2015): “Targeting inflation from below: how do inflation expectations behave?</w:t>
      </w:r>
      <w:proofErr w:type="gramStart"/>
      <w:r w:rsidRPr="00731C8B">
        <w:rPr>
          <w:rFonts w:ascii="Times New Roman" w:hAnsi="Times New Roman"/>
          <w:sz w:val="24"/>
          <w:szCs w:val="24"/>
        </w:rPr>
        <w:t>”,</w:t>
      </w:r>
      <w:proofErr w:type="gramEnd"/>
      <w:r w:rsidRPr="00731C8B">
        <w:rPr>
          <w:rFonts w:ascii="Times New Roman" w:hAnsi="Times New Roman"/>
          <w:sz w:val="24"/>
          <w:szCs w:val="24"/>
        </w:rPr>
        <w:t xml:space="preserve"> </w:t>
      </w:r>
      <w:r w:rsidRPr="00731C8B">
        <w:rPr>
          <w:rFonts w:ascii="Times New Roman" w:hAnsi="Times New Roman"/>
          <w:i/>
          <w:sz w:val="24"/>
          <w:szCs w:val="24"/>
        </w:rPr>
        <w:t>International Journal of Central Banking</w:t>
      </w:r>
      <w:r w:rsidRPr="00731C8B">
        <w:rPr>
          <w:rFonts w:ascii="Times New Roman" w:hAnsi="Times New Roman"/>
          <w:sz w:val="24"/>
          <w:szCs w:val="24"/>
        </w:rPr>
        <w:t xml:space="preserve"> 11(S1), pp. 213–249.</w:t>
      </w:r>
    </w:p>
    <w:p w14:paraId="2F56839C" w14:textId="77777777"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t xml:space="preserve">Faust, J and J Wright (2013): “Forecasting inflation”, </w:t>
      </w:r>
      <w:r w:rsidRPr="00731C8B">
        <w:rPr>
          <w:rFonts w:ascii="Times New Roman" w:hAnsi="Times New Roman"/>
          <w:i/>
          <w:sz w:val="24"/>
          <w:szCs w:val="24"/>
        </w:rPr>
        <w:t>Handbook of Economic Forecasting 2A</w:t>
      </w:r>
      <w:r w:rsidRPr="00731C8B">
        <w:rPr>
          <w:rFonts w:ascii="Times New Roman" w:hAnsi="Times New Roman"/>
          <w:sz w:val="24"/>
          <w:szCs w:val="24"/>
        </w:rPr>
        <w:t xml:space="preserve">, 2-56, G Elliott and A </w:t>
      </w:r>
      <w:proofErr w:type="spellStart"/>
      <w:r w:rsidRPr="00731C8B">
        <w:rPr>
          <w:rFonts w:ascii="Times New Roman" w:hAnsi="Times New Roman"/>
          <w:sz w:val="24"/>
          <w:szCs w:val="24"/>
        </w:rPr>
        <w:t>Timmermann</w:t>
      </w:r>
      <w:proofErr w:type="spellEnd"/>
      <w:r w:rsidRPr="00731C8B">
        <w:rPr>
          <w:rFonts w:ascii="Times New Roman" w:hAnsi="Times New Roman"/>
          <w:sz w:val="24"/>
          <w:szCs w:val="24"/>
        </w:rPr>
        <w:t xml:space="preserve"> (</w:t>
      </w:r>
      <w:proofErr w:type="spellStart"/>
      <w:r w:rsidRPr="00731C8B">
        <w:rPr>
          <w:rFonts w:ascii="Times New Roman" w:hAnsi="Times New Roman"/>
          <w:sz w:val="24"/>
          <w:szCs w:val="24"/>
        </w:rPr>
        <w:t>eds</w:t>
      </w:r>
      <w:proofErr w:type="spellEnd"/>
      <w:r w:rsidRPr="00731C8B">
        <w:rPr>
          <w:rFonts w:ascii="Times New Roman" w:hAnsi="Times New Roman"/>
          <w:sz w:val="24"/>
          <w:szCs w:val="24"/>
        </w:rPr>
        <w:t>), Elsevier, Amsterdam</w:t>
      </w:r>
    </w:p>
    <w:p w14:paraId="1AD7AAD0" w14:textId="77777777" w:rsidR="007E2A62" w:rsidRPr="00731C8B" w:rsidRDefault="007E2A62" w:rsidP="00833C8A">
      <w:pPr>
        <w:pStyle w:val="References"/>
        <w:spacing w:line="480" w:lineRule="auto"/>
        <w:rPr>
          <w:rFonts w:ascii="Times New Roman" w:hAnsi="Times New Roman"/>
          <w:sz w:val="24"/>
          <w:szCs w:val="24"/>
        </w:rPr>
      </w:pPr>
      <w:r w:rsidRPr="00731C8B">
        <w:rPr>
          <w:rFonts w:ascii="Times New Roman" w:hAnsi="Times New Roman"/>
          <w:sz w:val="24"/>
          <w:szCs w:val="24"/>
        </w:rPr>
        <w:t xml:space="preserve">Fleckenstein, M, F </w:t>
      </w:r>
      <w:proofErr w:type="spellStart"/>
      <w:r w:rsidRPr="00731C8B">
        <w:rPr>
          <w:rFonts w:ascii="Times New Roman" w:hAnsi="Times New Roman"/>
          <w:sz w:val="24"/>
          <w:szCs w:val="24"/>
        </w:rPr>
        <w:t>Longstaff</w:t>
      </w:r>
      <w:proofErr w:type="spellEnd"/>
      <w:r w:rsidRPr="00731C8B">
        <w:rPr>
          <w:rFonts w:ascii="Times New Roman" w:hAnsi="Times New Roman"/>
          <w:sz w:val="24"/>
          <w:szCs w:val="24"/>
        </w:rPr>
        <w:t xml:space="preserve"> and H </w:t>
      </w:r>
      <w:proofErr w:type="spellStart"/>
      <w:r w:rsidRPr="00731C8B">
        <w:rPr>
          <w:rFonts w:ascii="Times New Roman" w:hAnsi="Times New Roman"/>
          <w:sz w:val="24"/>
          <w:szCs w:val="24"/>
        </w:rPr>
        <w:t>Lustig</w:t>
      </w:r>
      <w:proofErr w:type="spellEnd"/>
      <w:r w:rsidRPr="00731C8B">
        <w:rPr>
          <w:rFonts w:ascii="Times New Roman" w:hAnsi="Times New Roman"/>
          <w:sz w:val="24"/>
          <w:szCs w:val="24"/>
        </w:rPr>
        <w:t xml:space="preserve"> (2017): “Deflation risk”, </w:t>
      </w:r>
      <w:r w:rsidRPr="00731C8B">
        <w:rPr>
          <w:rFonts w:ascii="Times New Roman" w:hAnsi="Times New Roman"/>
          <w:i/>
          <w:sz w:val="24"/>
          <w:szCs w:val="24"/>
        </w:rPr>
        <w:t>Review of Financial Studies</w:t>
      </w:r>
      <w:r w:rsidRPr="00731C8B">
        <w:rPr>
          <w:rFonts w:ascii="Times New Roman" w:hAnsi="Times New Roman"/>
          <w:sz w:val="24"/>
          <w:szCs w:val="24"/>
        </w:rPr>
        <w:t xml:space="preserve"> 30(8), pp. 2719–60.</w:t>
      </w:r>
    </w:p>
    <w:p w14:paraId="20D49873"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Gerlach</w:t>
      </w:r>
      <w:proofErr w:type="spellEnd"/>
      <w:r w:rsidRPr="00731C8B">
        <w:rPr>
          <w:rFonts w:ascii="Times New Roman" w:hAnsi="Times New Roman"/>
          <w:sz w:val="24"/>
          <w:szCs w:val="24"/>
        </w:rPr>
        <w:t xml:space="preserve">, S (2007): “Interest rate setting by the ECB, 1999-2006: Words and deeds”, </w:t>
      </w:r>
      <w:r w:rsidRPr="00731C8B">
        <w:rPr>
          <w:rFonts w:ascii="Times New Roman" w:hAnsi="Times New Roman"/>
          <w:i/>
          <w:sz w:val="24"/>
          <w:szCs w:val="24"/>
        </w:rPr>
        <w:t>International Journal of Central Banking</w:t>
      </w:r>
      <w:r w:rsidRPr="00731C8B">
        <w:rPr>
          <w:rFonts w:ascii="Times New Roman" w:hAnsi="Times New Roman"/>
          <w:sz w:val="24"/>
          <w:szCs w:val="24"/>
        </w:rPr>
        <w:t xml:space="preserve"> 3(3), </w:t>
      </w:r>
      <w:r w:rsidR="00B67CDE">
        <w:rPr>
          <w:rFonts w:ascii="Times New Roman" w:hAnsi="Times New Roman"/>
          <w:sz w:val="24"/>
          <w:szCs w:val="24"/>
        </w:rPr>
        <w:t xml:space="preserve">pp. </w:t>
      </w:r>
      <w:r w:rsidRPr="00731C8B">
        <w:rPr>
          <w:rFonts w:ascii="Times New Roman" w:hAnsi="Times New Roman"/>
          <w:sz w:val="24"/>
          <w:szCs w:val="24"/>
        </w:rPr>
        <w:t>1–45.</w:t>
      </w:r>
    </w:p>
    <w:p w14:paraId="16E94740" w14:textId="77777777" w:rsidR="00B67CDE" w:rsidRDefault="00B67CDE" w:rsidP="00833C8A">
      <w:pPr>
        <w:pStyle w:val="References"/>
        <w:spacing w:line="480" w:lineRule="auto"/>
        <w:rPr>
          <w:rFonts w:ascii="Times New Roman" w:hAnsi="Times New Roman"/>
          <w:sz w:val="24"/>
          <w:szCs w:val="24"/>
        </w:rPr>
      </w:pPr>
      <w:proofErr w:type="spellStart"/>
      <w:r>
        <w:rPr>
          <w:rFonts w:ascii="Times New Roman" w:hAnsi="Times New Roman"/>
          <w:sz w:val="24"/>
          <w:szCs w:val="24"/>
        </w:rPr>
        <w:t>Glas</w:t>
      </w:r>
      <w:proofErr w:type="spellEnd"/>
      <w:r>
        <w:rPr>
          <w:rFonts w:ascii="Times New Roman" w:hAnsi="Times New Roman"/>
          <w:sz w:val="24"/>
          <w:szCs w:val="24"/>
        </w:rPr>
        <w:t xml:space="preserve">, A and M Hartmann (2016): “Inflation uncertainty, disagreement and monetary policy: Evidence from the ECB Survey of Professional Forecasters”, </w:t>
      </w:r>
      <w:r w:rsidRPr="00395CAA">
        <w:rPr>
          <w:rFonts w:ascii="Times New Roman" w:hAnsi="Times New Roman"/>
          <w:i/>
          <w:sz w:val="24"/>
          <w:szCs w:val="24"/>
        </w:rPr>
        <w:t>Journal of Empirical Finance</w:t>
      </w:r>
      <w:r>
        <w:rPr>
          <w:rFonts w:ascii="Times New Roman" w:hAnsi="Times New Roman"/>
          <w:sz w:val="24"/>
          <w:szCs w:val="24"/>
        </w:rPr>
        <w:t xml:space="preserve"> 39(B), pp. 215</w:t>
      </w:r>
      <w:r w:rsidRPr="00731C8B">
        <w:rPr>
          <w:rFonts w:ascii="Times New Roman" w:hAnsi="Times New Roman"/>
          <w:sz w:val="24"/>
          <w:szCs w:val="24"/>
        </w:rPr>
        <w:t>–</w:t>
      </w:r>
      <w:r>
        <w:rPr>
          <w:rFonts w:ascii="Times New Roman" w:hAnsi="Times New Roman"/>
          <w:sz w:val="24"/>
          <w:szCs w:val="24"/>
        </w:rPr>
        <w:t>228.</w:t>
      </w:r>
    </w:p>
    <w:p w14:paraId="0E5F2311" w14:textId="77777777"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t xml:space="preserve">Hastie, T and R </w:t>
      </w:r>
      <w:proofErr w:type="spellStart"/>
      <w:r w:rsidRPr="00731C8B">
        <w:rPr>
          <w:rFonts w:ascii="Times New Roman" w:hAnsi="Times New Roman"/>
          <w:sz w:val="24"/>
          <w:szCs w:val="24"/>
        </w:rPr>
        <w:t>Tibshirani</w:t>
      </w:r>
      <w:proofErr w:type="spellEnd"/>
      <w:r w:rsidRPr="00731C8B">
        <w:rPr>
          <w:rFonts w:ascii="Times New Roman" w:hAnsi="Times New Roman"/>
          <w:sz w:val="24"/>
          <w:szCs w:val="24"/>
        </w:rPr>
        <w:t xml:space="preserve"> (1990): “Generalized Additive Models”, </w:t>
      </w:r>
      <w:r w:rsidRPr="00731C8B">
        <w:rPr>
          <w:rFonts w:ascii="Times New Roman" w:hAnsi="Times New Roman"/>
          <w:i/>
          <w:sz w:val="24"/>
          <w:szCs w:val="24"/>
        </w:rPr>
        <w:t>Monographs on Statistics and Applied Probability</w:t>
      </w:r>
      <w:r w:rsidRPr="00731C8B">
        <w:rPr>
          <w:rFonts w:ascii="Times New Roman" w:hAnsi="Times New Roman"/>
          <w:sz w:val="24"/>
          <w:szCs w:val="24"/>
        </w:rPr>
        <w:t xml:space="preserve"> 43, Chapman &amp; Hall.</w:t>
      </w:r>
    </w:p>
    <w:p w14:paraId="72D0FB38" w14:textId="77777777" w:rsidR="007018AA" w:rsidRDefault="007018AA" w:rsidP="00833C8A">
      <w:pPr>
        <w:pStyle w:val="References"/>
        <w:spacing w:line="480" w:lineRule="auto"/>
        <w:rPr>
          <w:rFonts w:ascii="Times New Roman" w:hAnsi="Times New Roman"/>
          <w:sz w:val="24"/>
          <w:szCs w:val="24"/>
        </w:rPr>
      </w:pPr>
      <w:r>
        <w:rPr>
          <w:rFonts w:ascii="Times New Roman" w:hAnsi="Times New Roman"/>
          <w:sz w:val="24"/>
          <w:szCs w:val="24"/>
        </w:rPr>
        <w:t>Hofmann, B and B Bogdanova (2012): “</w:t>
      </w:r>
      <w:r w:rsidRPr="007018AA">
        <w:rPr>
          <w:rFonts w:ascii="Times New Roman" w:hAnsi="Times New Roman"/>
          <w:sz w:val="24"/>
          <w:szCs w:val="24"/>
        </w:rPr>
        <w:t xml:space="preserve">Taylor rules and monetary policy: </w:t>
      </w:r>
      <w:r>
        <w:rPr>
          <w:rFonts w:ascii="Times New Roman" w:hAnsi="Times New Roman"/>
          <w:sz w:val="24"/>
          <w:szCs w:val="24"/>
        </w:rPr>
        <w:t>A</w:t>
      </w:r>
      <w:r w:rsidRPr="007018AA">
        <w:rPr>
          <w:rFonts w:ascii="Times New Roman" w:hAnsi="Times New Roman"/>
          <w:sz w:val="24"/>
          <w:szCs w:val="24"/>
        </w:rPr>
        <w:t xml:space="preserve"> global "Great Deviation"?</w:t>
      </w:r>
      <w:r>
        <w:rPr>
          <w:rFonts w:ascii="Times New Roman" w:hAnsi="Times New Roman"/>
          <w:sz w:val="24"/>
          <w:szCs w:val="24"/>
        </w:rPr>
        <w:t xml:space="preserve">”, </w:t>
      </w:r>
      <w:r w:rsidRPr="007018AA">
        <w:rPr>
          <w:rFonts w:ascii="Times New Roman" w:hAnsi="Times New Roman"/>
          <w:i/>
          <w:sz w:val="24"/>
          <w:szCs w:val="24"/>
        </w:rPr>
        <w:t>BIS Quarterly Review</w:t>
      </w:r>
      <w:r>
        <w:rPr>
          <w:rFonts w:ascii="Times New Roman" w:hAnsi="Times New Roman"/>
          <w:sz w:val="24"/>
          <w:szCs w:val="24"/>
        </w:rPr>
        <w:t>, September, pp. 37–49.</w:t>
      </w:r>
    </w:p>
    <w:p w14:paraId="56428E73" w14:textId="77777777"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lastRenderedPageBreak/>
        <w:t xml:space="preserve">Huizinga, J (1993): “Inflation uncertainty, relative price uncertainty, and investment in U.S. manufacturing”, </w:t>
      </w:r>
      <w:r w:rsidRPr="00731C8B">
        <w:rPr>
          <w:rFonts w:ascii="Times New Roman" w:hAnsi="Times New Roman"/>
          <w:i/>
          <w:sz w:val="24"/>
          <w:szCs w:val="24"/>
        </w:rPr>
        <w:t>Journal of Money, Credit and Banking</w:t>
      </w:r>
      <w:r w:rsidRPr="00731C8B">
        <w:rPr>
          <w:rFonts w:ascii="Times New Roman" w:hAnsi="Times New Roman"/>
          <w:sz w:val="24"/>
          <w:szCs w:val="24"/>
        </w:rPr>
        <w:t xml:space="preserve"> 25(3), pp. 521–549.</w:t>
      </w:r>
    </w:p>
    <w:p w14:paraId="525FBC66" w14:textId="77777777"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t xml:space="preserve">International Monetary Fund (2016): “Global disinflation in an era of constrained monetary policy”, </w:t>
      </w:r>
      <w:r w:rsidRPr="00731C8B">
        <w:rPr>
          <w:rFonts w:ascii="Times New Roman" w:hAnsi="Times New Roman"/>
          <w:i/>
          <w:sz w:val="24"/>
          <w:szCs w:val="24"/>
        </w:rPr>
        <w:t>World Economic Outlook</w:t>
      </w:r>
      <w:r w:rsidRPr="00731C8B">
        <w:rPr>
          <w:rFonts w:ascii="Times New Roman" w:hAnsi="Times New Roman"/>
          <w:sz w:val="24"/>
          <w:szCs w:val="24"/>
        </w:rPr>
        <w:t>, Chapter 3, October, pp. 121–70.</w:t>
      </w:r>
    </w:p>
    <w:p w14:paraId="3DCB811A" w14:textId="77777777"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t xml:space="preserve">Kenny, G and J </w:t>
      </w:r>
      <w:proofErr w:type="spellStart"/>
      <w:r w:rsidRPr="00731C8B">
        <w:rPr>
          <w:rFonts w:ascii="Times New Roman" w:hAnsi="Times New Roman"/>
          <w:sz w:val="24"/>
          <w:szCs w:val="24"/>
        </w:rPr>
        <w:t>Dovern</w:t>
      </w:r>
      <w:proofErr w:type="spellEnd"/>
      <w:r w:rsidRPr="00731C8B">
        <w:rPr>
          <w:rFonts w:ascii="Times New Roman" w:hAnsi="Times New Roman"/>
          <w:sz w:val="24"/>
          <w:szCs w:val="24"/>
        </w:rPr>
        <w:t xml:space="preserve"> (2017): “The long-term distribution of expected inflation in the euro area: what has changed since the great recession?</w:t>
      </w:r>
      <w:proofErr w:type="gramStart"/>
      <w:r w:rsidRPr="00731C8B">
        <w:rPr>
          <w:rFonts w:ascii="Times New Roman" w:hAnsi="Times New Roman"/>
          <w:sz w:val="24"/>
          <w:szCs w:val="24"/>
        </w:rPr>
        <w:t>”,</w:t>
      </w:r>
      <w:proofErr w:type="gramEnd"/>
      <w:r w:rsidRPr="00731C8B">
        <w:rPr>
          <w:rFonts w:ascii="Times New Roman" w:hAnsi="Times New Roman"/>
          <w:sz w:val="24"/>
          <w:szCs w:val="24"/>
        </w:rPr>
        <w:t xml:space="preserve"> </w:t>
      </w:r>
      <w:r w:rsidRPr="00731C8B">
        <w:rPr>
          <w:rFonts w:ascii="Times New Roman" w:hAnsi="Times New Roman"/>
          <w:i/>
          <w:sz w:val="24"/>
          <w:szCs w:val="24"/>
        </w:rPr>
        <w:t>ECB Working Paper</w:t>
      </w:r>
      <w:r w:rsidRPr="00731C8B">
        <w:rPr>
          <w:rFonts w:ascii="Times New Roman" w:hAnsi="Times New Roman"/>
          <w:sz w:val="24"/>
          <w:szCs w:val="24"/>
        </w:rPr>
        <w:t xml:space="preserve"> no. 1999.</w:t>
      </w:r>
    </w:p>
    <w:p w14:paraId="43249970" w14:textId="06E20C39"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Krippner</w:t>
      </w:r>
      <w:proofErr w:type="spellEnd"/>
      <w:r w:rsidRPr="00731C8B">
        <w:rPr>
          <w:rFonts w:ascii="Times New Roman" w:hAnsi="Times New Roman"/>
          <w:sz w:val="24"/>
          <w:szCs w:val="24"/>
        </w:rPr>
        <w:t xml:space="preserve">, L (2016): “Documentation for measures of monetary policy”, available at </w:t>
      </w:r>
      <w:hyperlink r:id="rId11" w:history="1">
        <w:r w:rsidR="0097396C" w:rsidRPr="0097396C">
          <w:rPr>
            <w:color w:val="0000FF"/>
            <w:u w:val="single"/>
          </w:rPr>
          <w:t>https://www.rbnz.govt.nz/-/media/ReserveBank/Files/Publications/Research/additional-research/leo-krippner/5892888.pdf</w:t>
        </w:r>
      </w:hyperlink>
    </w:p>
    <w:p w14:paraId="6E1F331A" w14:textId="77777777" w:rsidR="007E2A62" w:rsidRPr="00731C8B" w:rsidRDefault="007E2A62" w:rsidP="00833C8A">
      <w:pPr>
        <w:pStyle w:val="References"/>
        <w:spacing w:line="480" w:lineRule="auto"/>
        <w:rPr>
          <w:rFonts w:ascii="Times New Roman" w:hAnsi="Times New Roman"/>
          <w:sz w:val="24"/>
          <w:szCs w:val="24"/>
        </w:rPr>
      </w:pPr>
      <w:r w:rsidRPr="00731C8B">
        <w:rPr>
          <w:rFonts w:ascii="Times New Roman" w:hAnsi="Times New Roman"/>
          <w:sz w:val="24"/>
          <w:szCs w:val="24"/>
        </w:rPr>
        <w:t xml:space="preserve">Leduc, S, K Sill and T Stark (2007): “Self-fulfilling expectations and the inflation of the 1970s: evidence from the Livingston Survey”, </w:t>
      </w:r>
      <w:r w:rsidRPr="00731C8B">
        <w:rPr>
          <w:rFonts w:ascii="Times New Roman" w:hAnsi="Times New Roman"/>
          <w:i/>
          <w:sz w:val="24"/>
          <w:szCs w:val="24"/>
        </w:rPr>
        <w:t>Journal of Monetary Economics</w:t>
      </w:r>
      <w:r w:rsidRPr="00731C8B">
        <w:rPr>
          <w:rFonts w:ascii="Times New Roman" w:hAnsi="Times New Roman"/>
          <w:sz w:val="24"/>
          <w:szCs w:val="24"/>
        </w:rPr>
        <w:t xml:space="preserve"> 54, pp. 433–59.</w:t>
      </w:r>
    </w:p>
    <w:p w14:paraId="2FD08FB7" w14:textId="18E32EAE" w:rsidR="00AD6399" w:rsidRDefault="00AD6399" w:rsidP="00833C8A">
      <w:pPr>
        <w:pStyle w:val="References"/>
        <w:spacing w:line="480" w:lineRule="auto"/>
        <w:rPr>
          <w:rFonts w:ascii="Times New Roman" w:hAnsi="Times New Roman"/>
          <w:sz w:val="24"/>
          <w:szCs w:val="24"/>
        </w:rPr>
      </w:pPr>
      <w:proofErr w:type="spellStart"/>
      <w:r w:rsidRPr="006B24EA">
        <w:rPr>
          <w:rFonts w:ascii="Times New Roman" w:hAnsi="Times New Roman"/>
          <w:sz w:val="24"/>
          <w:szCs w:val="24"/>
        </w:rPr>
        <w:t>Ma</w:t>
      </w:r>
      <w:r w:rsidRPr="00AD6399">
        <w:rPr>
          <w:rFonts w:ascii="Times New Roman" w:hAnsi="Times New Roman"/>
          <w:sz w:val="24"/>
          <w:szCs w:val="24"/>
        </w:rPr>
        <w:t>ckowiak</w:t>
      </w:r>
      <w:proofErr w:type="spellEnd"/>
      <w:r w:rsidRPr="00AD6399">
        <w:rPr>
          <w:rFonts w:ascii="Times New Roman" w:hAnsi="Times New Roman"/>
          <w:sz w:val="24"/>
          <w:szCs w:val="24"/>
        </w:rPr>
        <w:t>, B and M</w:t>
      </w:r>
      <w:r w:rsidRPr="006B24EA">
        <w:rPr>
          <w:rFonts w:ascii="Times New Roman" w:hAnsi="Times New Roman"/>
          <w:sz w:val="24"/>
          <w:szCs w:val="24"/>
        </w:rPr>
        <w:t xml:space="preserve"> </w:t>
      </w:r>
      <w:proofErr w:type="spellStart"/>
      <w:r w:rsidRPr="006B24EA">
        <w:rPr>
          <w:rFonts w:ascii="Times New Roman" w:hAnsi="Times New Roman"/>
          <w:sz w:val="24"/>
          <w:szCs w:val="24"/>
        </w:rPr>
        <w:t>Wiederholt</w:t>
      </w:r>
      <w:proofErr w:type="spellEnd"/>
      <w:r w:rsidRPr="00AD6399">
        <w:rPr>
          <w:rFonts w:ascii="Times New Roman" w:hAnsi="Times New Roman"/>
          <w:sz w:val="24"/>
          <w:szCs w:val="24"/>
        </w:rPr>
        <w:t xml:space="preserve"> </w:t>
      </w:r>
      <w:r w:rsidRPr="006B24EA">
        <w:rPr>
          <w:rFonts w:ascii="Times New Roman" w:hAnsi="Times New Roman"/>
          <w:sz w:val="24"/>
          <w:szCs w:val="24"/>
        </w:rPr>
        <w:t>(</w:t>
      </w:r>
      <w:r>
        <w:rPr>
          <w:rFonts w:ascii="Times New Roman" w:hAnsi="Times New Roman"/>
          <w:sz w:val="24"/>
          <w:szCs w:val="24"/>
        </w:rPr>
        <w:t>2009): “Optimal sticky prices under rational inattention</w:t>
      </w:r>
      <w:r w:rsidRPr="00AD6399">
        <w:rPr>
          <w:rFonts w:ascii="Times New Roman" w:hAnsi="Times New Roman"/>
          <w:sz w:val="24"/>
          <w:szCs w:val="24"/>
        </w:rPr>
        <w:t>”</w:t>
      </w:r>
      <w:r>
        <w:rPr>
          <w:rFonts w:ascii="Times New Roman" w:hAnsi="Times New Roman"/>
          <w:sz w:val="24"/>
          <w:szCs w:val="24"/>
        </w:rPr>
        <w:t>,</w:t>
      </w:r>
      <w:r w:rsidRPr="00AD6399">
        <w:rPr>
          <w:rFonts w:ascii="Times New Roman" w:hAnsi="Times New Roman"/>
          <w:sz w:val="24"/>
          <w:szCs w:val="24"/>
        </w:rPr>
        <w:t xml:space="preserve"> </w:t>
      </w:r>
      <w:r w:rsidRPr="006B24EA">
        <w:rPr>
          <w:rFonts w:ascii="Times New Roman" w:hAnsi="Times New Roman"/>
          <w:i/>
          <w:sz w:val="24"/>
          <w:szCs w:val="24"/>
        </w:rPr>
        <w:t>American Economic Review</w:t>
      </w:r>
      <w:r>
        <w:rPr>
          <w:rFonts w:ascii="Times New Roman" w:hAnsi="Times New Roman"/>
          <w:sz w:val="24"/>
          <w:szCs w:val="24"/>
        </w:rPr>
        <w:t xml:space="preserve"> 99 (3), pp.</w:t>
      </w:r>
      <w:r w:rsidRPr="00AD6399">
        <w:rPr>
          <w:rFonts w:ascii="Times New Roman" w:hAnsi="Times New Roman"/>
          <w:sz w:val="24"/>
          <w:szCs w:val="24"/>
        </w:rPr>
        <w:t xml:space="preserve"> 769–803.</w:t>
      </w:r>
    </w:p>
    <w:p w14:paraId="7ED46964"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Mankiw</w:t>
      </w:r>
      <w:proofErr w:type="spellEnd"/>
      <w:r w:rsidRPr="00731C8B">
        <w:rPr>
          <w:rFonts w:ascii="Times New Roman" w:hAnsi="Times New Roman"/>
          <w:sz w:val="24"/>
          <w:szCs w:val="24"/>
        </w:rPr>
        <w:t xml:space="preserve">, N G and R Reis (2002): “Sticky information versus sticky prices: A proposal to replace the New Keynesian Phillips curve”, </w:t>
      </w:r>
      <w:r w:rsidRPr="00731C8B">
        <w:rPr>
          <w:rFonts w:ascii="Times New Roman" w:hAnsi="Times New Roman"/>
          <w:i/>
          <w:sz w:val="24"/>
          <w:szCs w:val="24"/>
        </w:rPr>
        <w:t>The Quarterly Journal of Economics</w:t>
      </w:r>
      <w:r w:rsidRPr="00731C8B">
        <w:rPr>
          <w:rFonts w:ascii="Times New Roman" w:hAnsi="Times New Roman"/>
          <w:sz w:val="24"/>
          <w:szCs w:val="24"/>
        </w:rPr>
        <w:t xml:space="preserve"> 117(4), pp. 1295–1328. </w:t>
      </w:r>
    </w:p>
    <w:p w14:paraId="35DC2D25"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Mankiw</w:t>
      </w:r>
      <w:proofErr w:type="spellEnd"/>
      <w:r w:rsidRPr="00731C8B">
        <w:rPr>
          <w:rFonts w:ascii="Times New Roman" w:hAnsi="Times New Roman"/>
          <w:sz w:val="24"/>
          <w:szCs w:val="24"/>
        </w:rPr>
        <w:t xml:space="preserve">, N G, R Reis and J </w:t>
      </w:r>
      <w:proofErr w:type="spellStart"/>
      <w:r w:rsidRPr="00731C8B">
        <w:rPr>
          <w:rFonts w:ascii="Times New Roman" w:hAnsi="Times New Roman"/>
          <w:sz w:val="24"/>
          <w:szCs w:val="24"/>
        </w:rPr>
        <w:t>Wolfers</w:t>
      </w:r>
      <w:proofErr w:type="spellEnd"/>
      <w:r w:rsidRPr="00731C8B">
        <w:rPr>
          <w:rFonts w:ascii="Times New Roman" w:hAnsi="Times New Roman"/>
          <w:sz w:val="24"/>
          <w:szCs w:val="24"/>
        </w:rPr>
        <w:t xml:space="preserve"> (2004): “Disagreement about inflation expectations”, in: M </w:t>
      </w:r>
      <w:proofErr w:type="spellStart"/>
      <w:r w:rsidRPr="00731C8B">
        <w:rPr>
          <w:rFonts w:ascii="Times New Roman" w:hAnsi="Times New Roman"/>
          <w:sz w:val="24"/>
          <w:szCs w:val="24"/>
        </w:rPr>
        <w:t>Gertler</w:t>
      </w:r>
      <w:proofErr w:type="spellEnd"/>
      <w:r w:rsidRPr="00731C8B">
        <w:rPr>
          <w:rFonts w:ascii="Times New Roman" w:hAnsi="Times New Roman"/>
          <w:sz w:val="24"/>
          <w:szCs w:val="24"/>
        </w:rPr>
        <w:t xml:space="preserve"> and K </w:t>
      </w:r>
      <w:proofErr w:type="spellStart"/>
      <w:r w:rsidRPr="00731C8B">
        <w:rPr>
          <w:rFonts w:ascii="Times New Roman" w:hAnsi="Times New Roman"/>
          <w:sz w:val="24"/>
          <w:szCs w:val="24"/>
        </w:rPr>
        <w:t>Rogoff</w:t>
      </w:r>
      <w:proofErr w:type="spellEnd"/>
      <w:r w:rsidRPr="00731C8B">
        <w:rPr>
          <w:rFonts w:ascii="Times New Roman" w:hAnsi="Times New Roman"/>
          <w:sz w:val="24"/>
          <w:szCs w:val="24"/>
        </w:rPr>
        <w:t xml:space="preserve"> (</w:t>
      </w:r>
      <w:proofErr w:type="spellStart"/>
      <w:proofErr w:type="gramStart"/>
      <w:r w:rsidRPr="00731C8B">
        <w:rPr>
          <w:rFonts w:ascii="Times New Roman" w:hAnsi="Times New Roman"/>
          <w:sz w:val="24"/>
          <w:szCs w:val="24"/>
        </w:rPr>
        <w:t>eds</w:t>
      </w:r>
      <w:proofErr w:type="spellEnd"/>
      <w:proofErr w:type="gramEnd"/>
      <w:r w:rsidRPr="00731C8B">
        <w:rPr>
          <w:rFonts w:ascii="Times New Roman" w:hAnsi="Times New Roman"/>
          <w:sz w:val="24"/>
          <w:szCs w:val="24"/>
        </w:rPr>
        <w:t xml:space="preserve">), </w:t>
      </w:r>
      <w:r w:rsidRPr="00731C8B">
        <w:rPr>
          <w:rFonts w:ascii="Times New Roman" w:hAnsi="Times New Roman"/>
          <w:i/>
          <w:sz w:val="24"/>
          <w:szCs w:val="24"/>
        </w:rPr>
        <w:t>NBER Macroeconomics Annual 2003</w:t>
      </w:r>
      <w:r w:rsidRPr="00731C8B">
        <w:rPr>
          <w:rFonts w:ascii="Times New Roman" w:hAnsi="Times New Roman"/>
          <w:sz w:val="24"/>
          <w:szCs w:val="24"/>
        </w:rPr>
        <w:t>, pp. 209–48.</w:t>
      </w:r>
    </w:p>
    <w:p w14:paraId="5ABCBC2E" w14:textId="77777777" w:rsidR="00347963" w:rsidRPr="00731C8B" w:rsidRDefault="00347963"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Mehra</w:t>
      </w:r>
      <w:proofErr w:type="spellEnd"/>
      <w:r w:rsidRPr="00731C8B">
        <w:rPr>
          <w:rFonts w:ascii="Times New Roman" w:hAnsi="Times New Roman"/>
          <w:sz w:val="24"/>
          <w:szCs w:val="24"/>
        </w:rPr>
        <w:t xml:space="preserve">, Y and C Herrington (2008): “On the sources of movements in inflation expectations: A few insights from a VAR model”, </w:t>
      </w:r>
      <w:r w:rsidRPr="00731C8B">
        <w:rPr>
          <w:rFonts w:ascii="Times New Roman" w:hAnsi="Times New Roman"/>
          <w:i/>
          <w:sz w:val="24"/>
          <w:szCs w:val="24"/>
        </w:rPr>
        <w:t>Federal Reserve Bank of Richmond Economic Quarterly</w:t>
      </w:r>
      <w:r w:rsidRPr="00731C8B">
        <w:rPr>
          <w:rFonts w:ascii="Times New Roman" w:hAnsi="Times New Roman"/>
          <w:sz w:val="24"/>
          <w:szCs w:val="24"/>
        </w:rPr>
        <w:t xml:space="preserve"> 94(2), pp. 121–46.</w:t>
      </w:r>
    </w:p>
    <w:p w14:paraId="3C858678" w14:textId="00D0B6A1" w:rsidR="000800FA" w:rsidRPr="00731C8B" w:rsidRDefault="000800FA" w:rsidP="00833C8A">
      <w:pPr>
        <w:pStyle w:val="References"/>
        <w:spacing w:line="480" w:lineRule="auto"/>
        <w:rPr>
          <w:rFonts w:ascii="Times New Roman" w:hAnsi="Times New Roman"/>
          <w:sz w:val="24"/>
          <w:szCs w:val="24"/>
        </w:rPr>
      </w:pPr>
      <w:r w:rsidRPr="00731C8B">
        <w:rPr>
          <w:rFonts w:ascii="Times New Roman" w:hAnsi="Times New Roman"/>
          <w:sz w:val="24"/>
          <w:szCs w:val="24"/>
        </w:rPr>
        <w:lastRenderedPageBreak/>
        <w:t xml:space="preserve">Mehrotra, A and J </w:t>
      </w:r>
      <w:proofErr w:type="spellStart"/>
      <w:r w:rsidRPr="00731C8B">
        <w:rPr>
          <w:rFonts w:ascii="Times New Roman" w:hAnsi="Times New Roman"/>
          <w:sz w:val="24"/>
          <w:szCs w:val="24"/>
        </w:rPr>
        <w:t>Yetman</w:t>
      </w:r>
      <w:proofErr w:type="spellEnd"/>
      <w:r w:rsidRPr="00731C8B">
        <w:rPr>
          <w:rFonts w:ascii="Times New Roman" w:hAnsi="Times New Roman"/>
          <w:sz w:val="24"/>
          <w:szCs w:val="24"/>
        </w:rPr>
        <w:t xml:space="preserve"> (</w:t>
      </w:r>
      <w:r w:rsidR="00347963" w:rsidRPr="00731C8B">
        <w:rPr>
          <w:rFonts w:ascii="Times New Roman" w:hAnsi="Times New Roman"/>
          <w:sz w:val="24"/>
          <w:szCs w:val="24"/>
        </w:rPr>
        <w:t>2018</w:t>
      </w:r>
      <w:r w:rsidRPr="00731C8B">
        <w:rPr>
          <w:rFonts w:ascii="Times New Roman" w:hAnsi="Times New Roman"/>
          <w:sz w:val="24"/>
          <w:szCs w:val="24"/>
        </w:rPr>
        <w:t xml:space="preserve">): “Decaying expectations: what inflation forecasts tell us about the anchoring of inflation expectations”, </w:t>
      </w:r>
      <w:r w:rsidRPr="00731C8B">
        <w:rPr>
          <w:rFonts w:ascii="Times New Roman" w:hAnsi="Times New Roman"/>
          <w:i/>
          <w:sz w:val="24"/>
          <w:szCs w:val="24"/>
        </w:rPr>
        <w:t>International Journal of Central Banking</w:t>
      </w:r>
      <w:r w:rsidR="00916E6A">
        <w:rPr>
          <w:rFonts w:ascii="Times New Roman" w:hAnsi="Times New Roman"/>
          <w:sz w:val="24"/>
          <w:szCs w:val="24"/>
        </w:rPr>
        <w:t xml:space="preserve"> 14(5)</w:t>
      </w:r>
      <w:r w:rsidRPr="00731C8B">
        <w:rPr>
          <w:rFonts w:ascii="Times New Roman" w:hAnsi="Times New Roman"/>
          <w:sz w:val="24"/>
          <w:szCs w:val="24"/>
        </w:rPr>
        <w:t>,</w:t>
      </w:r>
      <w:r w:rsidR="00916E6A">
        <w:rPr>
          <w:rFonts w:ascii="Times New Roman" w:hAnsi="Times New Roman"/>
          <w:sz w:val="24"/>
          <w:szCs w:val="24"/>
        </w:rPr>
        <w:t xml:space="preserve"> pp. 55</w:t>
      </w:r>
      <w:r w:rsidR="00916E6A" w:rsidRPr="00731C8B">
        <w:rPr>
          <w:rFonts w:ascii="Times New Roman" w:hAnsi="Times New Roman"/>
          <w:sz w:val="24"/>
          <w:szCs w:val="24"/>
        </w:rPr>
        <w:t>–</w:t>
      </w:r>
      <w:r w:rsidR="00916E6A">
        <w:rPr>
          <w:rFonts w:ascii="Times New Roman" w:hAnsi="Times New Roman"/>
          <w:sz w:val="24"/>
          <w:szCs w:val="24"/>
        </w:rPr>
        <w:t>101</w:t>
      </w:r>
      <w:r w:rsidRPr="00731C8B">
        <w:rPr>
          <w:rFonts w:ascii="Times New Roman" w:hAnsi="Times New Roman"/>
          <w:sz w:val="24"/>
          <w:szCs w:val="24"/>
        </w:rPr>
        <w:t>.</w:t>
      </w:r>
    </w:p>
    <w:p w14:paraId="2B95AC48" w14:textId="6B2BBBFB"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Natoli</w:t>
      </w:r>
      <w:proofErr w:type="spellEnd"/>
      <w:r w:rsidRPr="00731C8B">
        <w:rPr>
          <w:rFonts w:ascii="Times New Roman" w:hAnsi="Times New Roman"/>
          <w:sz w:val="24"/>
          <w:szCs w:val="24"/>
        </w:rPr>
        <w:t xml:space="preserve">, F and L </w:t>
      </w:r>
      <w:proofErr w:type="spellStart"/>
      <w:r w:rsidRPr="00731C8B">
        <w:rPr>
          <w:rFonts w:ascii="Times New Roman" w:hAnsi="Times New Roman"/>
          <w:sz w:val="24"/>
          <w:szCs w:val="24"/>
        </w:rPr>
        <w:t>Sigalotti</w:t>
      </w:r>
      <w:proofErr w:type="spellEnd"/>
      <w:r w:rsidRPr="00731C8B">
        <w:rPr>
          <w:rFonts w:ascii="Times New Roman" w:hAnsi="Times New Roman"/>
          <w:sz w:val="24"/>
          <w:szCs w:val="24"/>
        </w:rPr>
        <w:t xml:space="preserve"> (</w:t>
      </w:r>
      <w:r w:rsidR="00916E6A" w:rsidRPr="00731C8B">
        <w:rPr>
          <w:rFonts w:ascii="Times New Roman" w:hAnsi="Times New Roman"/>
          <w:sz w:val="24"/>
          <w:szCs w:val="24"/>
        </w:rPr>
        <w:t>201</w:t>
      </w:r>
      <w:r w:rsidR="00916E6A">
        <w:rPr>
          <w:rFonts w:ascii="Times New Roman" w:hAnsi="Times New Roman"/>
          <w:sz w:val="24"/>
          <w:szCs w:val="24"/>
        </w:rPr>
        <w:t>8</w:t>
      </w:r>
      <w:r w:rsidRPr="00731C8B">
        <w:rPr>
          <w:rFonts w:ascii="Times New Roman" w:hAnsi="Times New Roman"/>
          <w:sz w:val="24"/>
          <w:szCs w:val="24"/>
        </w:rPr>
        <w:t xml:space="preserve">): “Tail co-movement in inflation expectations as an indicator of anchoring”, </w:t>
      </w:r>
      <w:r w:rsidRPr="00731C8B">
        <w:rPr>
          <w:rFonts w:ascii="Times New Roman" w:hAnsi="Times New Roman"/>
          <w:i/>
          <w:sz w:val="24"/>
          <w:szCs w:val="24"/>
        </w:rPr>
        <w:t>International Journal of Central Banking</w:t>
      </w:r>
      <w:r w:rsidR="00916E6A">
        <w:rPr>
          <w:rFonts w:ascii="Times New Roman" w:hAnsi="Times New Roman"/>
          <w:sz w:val="24"/>
          <w:szCs w:val="24"/>
        </w:rPr>
        <w:t xml:space="preserve"> 14(1)</w:t>
      </w:r>
      <w:r w:rsidRPr="00731C8B">
        <w:rPr>
          <w:rFonts w:ascii="Times New Roman" w:hAnsi="Times New Roman"/>
          <w:sz w:val="24"/>
          <w:szCs w:val="24"/>
        </w:rPr>
        <w:t xml:space="preserve">, </w:t>
      </w:r>
      <w:r w:rsidR="00916E6A">
        <w:rPr>
          <w:rFonts w:ascii="Times New Roman" w:hAnsi="Times New Roman"/>
          <w:sz w:val="24"/>
          <w:szCs w:val="24"/>
        </w:rPr>
        <w:t>pp. 35</w:t>
      </w:r>
      <w:r w:rsidR="00916E6A" w:rsidRPr="00731C8B">
        <w:rPr>
          <w:rFonts w:ascii="Times New Roman" w:hAnsi="Times New Roman"/>
          <w:sz w:val="24"/>
          <w:szCs w:val="24"/>
        </w:rPr>
        <w:t>–</w:t>
      </w:r>
      <w:r w:rsidR="00916E6A">
        <w:rPr>
          <w:rFonts w:ascii="Times New Roman" w:hAnsi="Times New Roman"/>
          <w:sz w:val="24"/>
          <w:szCs w:val="24"/>
        </w:rPr>
        <w:t>71.</w:t>
      </w:r>
    </w:p>
    <w:p w14:paraId="27FF18F4"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Nishizaki</w:t>
      </w:r>
      <w:proofErr w:type="spellEnd"/>
      <w:r w:rsidRPr="00731C8B">
        <w:rPr>
          <w:rFonts w:ascii="Times New Roman" w:hAnsi="Times New Roman"/>
          <w:sz w:val="24"/>
          <w:szCs w:val="24"/>
        </w:rPr>
        <w:t xml:space="preserve">, K, T </w:t>
      </w:r>
      <w:proofErr w:type="spellStart"/>
      <w:r w:rsidRPr="00731C8B">
        <w:rPr>
          <w:rFonts w:ascii="Times New Roman" w:hAnsi="Times New Roman"/>
          <w:sz w:val="24"/>
          <w:szCs w:val="24"/>
        </w:rPr>
        <w:t>Sekine</w:t>
      </w:r>
      <w:proofErr w:type="spellEnd"/>
      <w:r w:rsidRPr="00731C8B">
        <w:rPr>
          <w:rFonts w:ascii="Times New Roman" w:hAnsi="Times New Roman"/>
          <w:sz w:val="24"/>
          <w:szCs w:val="24"/>
        </w:rPr>
        <w:t xml:space="preserve"> and Y Ueno (2014): “Chronic deflation in Japan”, </w:t>
      </w:r>
      <w:r w:rsidRPr="00731C8B">
        <w:rPr>
          <w:rFonts w:ascii="Times New Roman" w:hAnsi="Times New Roman"/>
          <w:i/>
          <w:sz w:val="24"/>
          <w:szCs w:val="24"/>
        </w:rPr>
        <w:t>Asian Economic Policy Review</w:t>
      </w:r>
      <w:r w:rsidRPr="00731C8B">
        <w:rPr>
          <w:rFonts w:ascii="Times New Roman" w:hAnsi="Times New Roman"/>
          <w:sz w:val="24"/>
          <w:szCs w:val="24"/>
        </w:rPr>
        <w:t xml:space="preserve"> 9(1), pp. 20–39.</w:t>
      </w:r>
    </w:p>
    <w:p w14:paraId="006D1778" w14:textId="77777777" w:rsidR="00D568D6" w:rsidRDefault="00D568D6" w:rsidP="00833C8A">
      <w:pPr>
        <w:pStyle w:val="References"/>
        <w:spacing w:line="480" w:lineRule="auto"/>
        <w:rPr>
          <w:rFonts w:ascii="Times New Roman" w:hAnsi="Times New Roman"/>
          <w:sz w:val="24"/>
          <w:szCs w:val="24"/>
        </w:rPr>
      </w:pPr>
      <w:r>
        <w:rPr>
          <w:rFonts w:ascii="Times New Roman" w:hAnsi="Times New Roman"/>
          <w:sz w:val="24"/>
          <w:szCs w:val="24"/>
        </w:rPr>
        <w:t xml:space="preserve">Patton, </w:t>
      </w:r>
      <w:proofErr w:type="gramStart"/>
      <w:r>
        <w:rPr>
          <w:rFonts w:ascii="Times New Roman" w:hAnsi="Times New Roman"/>
          <w:sz w:val="24"/>
          <w:szCs w:val="24"/>
        </w:rPr>
        <w:t>A and</w:t>
      </w:r>
      <w:proofErr w:type="gramEnd"/>
      <w:r>
        <w:rPr>
          <w:rFonts w:ascii="Times New Roman" w:hAnsi="Times New Roman"/>
          <w:sz w:val="24"/>
          <w:szCs w:val="24"/>
        </w:rPr>
        <w:t xml:space="preserve"> A </w:t>
      </w:r>
      <w:proofErr w:type="spellStart"/>
      <w:r>
        <w:rPr>
          <w:rFonts w:ascii="Times New Roman" w:hAnsi="Times New Roman"/>
          <w:sz w:val="24"/>
          <w:szCs w:val="24"/>
        </w:rPr>
        <w:t>Timmermann</w:t>
      </w:r>
      <w:proofErr w:type="spellEnd"/>
      <w:r>
        <w:rPr>
          <w:rFonts w:ascii="Times New Roman" w:hAnsi="Times New Roman"/>
          <w:sz w:val="24"/>
          <w:szCs w:val="24"/>
        </w:rPr>
        <w:t xml:space="preserve"> (2010): “Why do forecasters disagree? Lessons from the term structure of cross-sectional dispersion”, </w:t>
      </w:r>
      <w:r w:rsidRPr="0008282D">
        <w:rPr>
          <w:rFonts w:ascii="Times New Roman" w:hAnsi="Times New Roman"/>
          <w:i/>
          <w:sz w:val="24"/>
          <w:szCs w:val="24"/>
        </w:rPr>
        <w:t>Journal of Monetary Economics</w:t>
      </w:r>
      <w:r>
        <w:rPr>
          <w:rFonts w:ascii="Times New Roman" w:hAnsi="Times New Roman"/>
          <w:sz w:val="24"/>
          <w:szCs w:val="24"/>
        </w:rPr>
        <w:t xml:space="preserve"> 57, pp. 803</w:t>
      </w:r>
      <w:r w:rsidR="0008282D" w:rsidRPr="00731C8B">
        <w:rPr>
          <w:rFonts w:ascii="Times New Roman" w:hAnsi="Times New Roman"/>
          <w:sz w:val="24"/>
          <w:szCs w:val="24"/>
        </w:rPr>
        <w:t>–</w:t>
      </w:r>
      <w:r>
        <w:rPr>
          <w:rFonts w:ascii="Times New Roman" w:hAnsi="Times New Roman"/>
          <w:sz w:val="24"/>
          <w:szCs w:val="24"/>
        </w:rPr>
        <w:t>20.</w:t>
      </w:r>
    </w:p>
    <w:p w14:paraId="0C4FA086" w14:textId="77777777" w:rsidR="000800FA" w:rsidRPr="00731C8B"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Siklos</w:t>
      </w:r>
      <w:proofErr w:type="spellEnd"/>
      <w:r w:rsidRPr="00731C8B">
        <w:rPr>
          <w:rFonts w:ascii="Times New Roman" w:hAnsi="Times New Roman"/>
          <w:sz w:val="24"/>
          <w:szCs w:val="24"/>
        </w:rPr>
        <w:t xml:space="preserve">, P (2013): “Sources of disagreement in inflation forecasts: An international empirical investigation”, </w:t>
      </w:r>
      <w:r w:rsidRPr="00731C8B">
        <w:rPr>
          <w:rFonts w:ascii="Times New Roman" w:hAnsi="Times New Roman"/>
          <w:i/>
          <w:sz w:val="24"/>
          <w:szCs w:val="24"/>
        </w:rPr>
        <w:t>Journal of International Economics</w:t>
      </w:r>
      <w:r w:rsidRPr="00731C8B">
        <w:rPr>
          <w:rFonts w:ascii="Times New Roman" w:hAnsi="Times New Roman"/>
          <w:sz w:val="24"/>
          <w:szCs w:val="24"/>
        </w:rPr>
        <w:t xml:space="preserve"> 90(1), pp. 218–31.</w:t>
      </w:r>
    </w:p>
    <w:p w14:paraId="3C9D8BD1" w14:textId="5D93DF21" w:rsidR="00C7351C" w:rsidRDefault="00C7351C" w:rsidP="00833C8A">
      <w:pPr>
        <w:pStyle w:val="References"/>
        <w:spacing w:line="480" w:lineRule="auto"/>
        <w:rPr>
          <w:rFonts w:ascii="Times New Roman" w:hAnsi="Times New Roman"/>
          <w:sz w:val="24"/>
          <w:szCs w:val="24"/>
        </w:rPr>
      </w:pPr>
      <w:r w:rsidRPr="00C7351C">
        <w:rPr>
          <w:rFonts w:ascii="Times New Roman" w:hAnsi="Times New Roman"/>
          <w:sz w:val="24"/>
          <w:szCs w:val="24"/>
        </w:rPr>
        <w:t>Sims, C</w:t>
      </w:r>
      <w:r>
        <w:rPr>
          <w:rFonts w:ascii="Times New Roman" w:hAnsi="Times New Roman"/>
          <w:sz w:val="24"/>
          <w:szCs w:val="24"/>
        </w:rPr>
        <w:t xml:space="preserve"> (2003): “Implications of rational i</w:t>
      </w:r>
      <w:r w:rsidRPr="00C7351C">
        <w:rPr>
          <w:rFonts w:ascii="Times New Roman" w:hAnsi="Times New Roman"/>
          <w:sz w:val="24"/>
          <w:szCs w:val="24"/>
        </w:rPr>
        <w:t xml:space="preserve">nattention”, </w:t>
      </w:r>
      <w:r w:rsidRPr="006B24EA">
        <w:rPr>
          <w:rFonts w:ascii="Times New Roman" w:hAnsi="Times New Roman"/>
          <w:i/>
          <w:sz w:val="24"/>
          <w:szCs w:val="24"/>
        </w:rPr>
        <w:t>Journal of Monetary Economics</w:t>
      </w:r>
      <w:r>
        <w:rPr>
          <w:rFonts w:ascii="Times New Roman" w:hAnsi="Times New Roman"/>
          <w:sz w:val="24"/>
          <w:szCs w:val="24"/>
        </w:rPr>
        <w:t xml:space="preserve"> 50(3), pp. </w:t>
      </w:r>
      <w:r w:rsidRPr="00C7351C">
        <w:rPr>
          <w:rFonts w:ascii="Times New Roman" w:hAnsi="Times New Roman"/>
          <w:sz w:val="24"/>
          <w:szCs w:val="24"/>
        </w:rPr>
        <w:t>665</w:t>
      </w:r>
      <w:r w:rsidRPr="00731C8B">
        <w:rPr>
          <w:rFonts w:ascii="Times New Roman" w:hAnsi="Times New Roman"/>
          <w:sz w:val="24"/>
          <w:szCs w:val="24"/>
        </w:rPr>
        <w:t>–</w:t>
      </w:r>
      <w:r w:rsidRPr="00C7351C">
        <w:rPr>
          <w:rFonts w:ascii="Times New Roman" w:hAnsi="Times New Roman"/>
          <w:sz w:val="24"/>
          <w:szCs w:val="24"/>
        </w:rPr>
        <w:t>90.</w:t>
      </w:r>
    </w:p>
    <w:p w14:paraId="2A8BF2F5" w14:textId="77777777" w:rsidR="000800FA" w:rsidRDefault="000800FA" w:rsidP="00833C8A">
      <w:pPr>
        <w:pStyle w:val="References"/>
        <w:spacing w:line="480" w:lineRule="auto"/>
        <w:rPr>
          <w:rFonts w:ascii="Times New Roman" w:hAnsi="Times New Roman"/>
          <w:sz w:val="24"/>
          <w:szCs w:val="24"/>
        </w:rPr>
      </w:pPr>
      <w:proofErr w:type="spellStart"/>
      <w:r w:rsidRPr="00731C8B">
        <w:rPr>
          <w:rFonts w:ascii="Times New Roman" w:hAnsi="Times New Roman"/>
          <w:sz w:val="24"/>
          <w:szCs w:val="24"/>
        </w:rPr>
        <w:t>Wiederholt</w:t>
      </w:r>
      <w:proofErr w:type="spellEnd"/>
      <w:r w:rsidRPr="00731C8B">
        <w:rPr>
          <w:rFonts w:ascii="Times New Roman" w:hAnsi="Times New Roman"/>
          <w:sz w:val="24"/>
          <w:szCs w:val="24"/>
        </w:rPr>
        <w:t>, M (2015): “Empirical properties of inflation expectations and the zero lower bound”, mimeo.</w:t>
      </w:r>
    </w:p>
    <w:p w14:paraId="7C7E791F" w14:textId="589E8000" w:rsidR="009E0C6C" w:rsidRDefault="00C7351C" w:rsidP="0097396C">
      <w:pPr>
        <w:pStyle w:val="References"/>
        <w:spacing w:line="480" w:lineRule="auto"/>
        <w:rPr>
          <w:rFonts w:ascii="Times New Roman" w:hAnsi="Times New Roman"/>
          <w:sz w:val="24"/>
          <w:szCs w:val="24"/>
        </w:rPr>
      </w:pPr>
      <w:r w:rsidRPr="00C7351C">
        <w:rPr>
          <w:rFonts w:ascii="Times New Roman" w:hAnsi="Times New Roman"/>
          <w:sz w:val="24"/>
          <w:szCs w:val="24"/>
        </w:rPr>
        <w:t>Woodford, M (2003):</w:t>
      </w:r>
      <w:r>
        <w:rPr>
          <w:rFonts w:ascii="Times New Roman" w:hAnsi="Times New Roman"/>
          <w:sz w:val="24"/>
          <w:szCs w:val="24"/>
        </w:rPr>
        <w:t xml:space="preserve"> </w:t>
      </w:r>
      <w:r w:rsidRPr="00C7351C">
        <w:rPr>
          <w:rFonts w:ascii="Times New Roman" w:hAnsi="Times New Roman"/>
          <w:sz w:val="24"/>
          <w:szCs w:val="24"/>
        </w:rPr>
        <w:t>“I</w:t>
      </w:r>
      <w:r>
        <w:rPr>
          <w:rFonts w:ascii="Times New Roman" w:hAnsi="Times New Roman"/>
          <w:sz w:val="24"/>
          <w:szCs w:val="24"/>
        </w:rPr>
        <w:t>mperfect common knowledge and the effects of monetary policy</w:t>
      </w:r>
      <w:r w:rsidRPr="00C7351C">
        <w:rPr>
          <w:rFonts w:ascii="Times New Roman" w:hAnsi="Times New Roman"/>
          <w:sz w:val="24"/>
          <w:szCs w:val="24"/>
        </w:rPr>
        <w:t>”</w:t>
      </w:r>
      <w:r>
        <w:rPr>
          <w:rFonts w:ascii="Times New Roman" w:hAnsi="Times New Roman"/>
          <w:sz w:val="24"/>
          <w:szCs w:val="24"/>
        </w:rPr>
        <w:t>,</w:t>
      </w:r>
      <w:r w:rsidRPr="00C7351C">
        <w:rPr>
          <w:rFonts w:ascii="Times New Roman" w:hAnsi="Times New Roman"/>
          <w:sz w:val="24"/>
          <w:szCs w:val="24"/>
        </w:rPr>
        <w:t xml:space="preserve"> in</w:t>
      </w:r>
      <w:r>
        <w:rPr>
          <w:rFonts w:ascii="Times New Roman" w:hAnsi="Times New Roman"/>
          <w:sz w:val="24"/>
          <w:szCs w:val="24"/>
        </w:rPr>
        <w:t xml:space="preserve"> P </w:t>
      </w:r>
      <w:proofErr w:type="spellStart"/>
      <w:r>
        <w:rPr>
          <w:rFonts w:ascii="Times New Roman" w:hAnsi="Times New Roman"/>
          <w:sz w:val="24"/>
          <w:szCs w:val="24"/>
        </w:rPr>
        <w:t>Aghion</w:t>
      </w:r>
      <w:proofErr w:type="spellEnd"/>
      <w:r>
        <w:rPr>
          <w:rFonts w:ascii="Times New Roman" w:hAnsi="Times New Roman"/>
          <w:sz w:val="24"/>
          <w:szCs w:val="24"/>
        </w:rPr>
        <w:t xml:space="preserve"> et al (eds.),</w:t>
      </w:r>
      <w:r w:rsidRPr="00C7351C">
        <w:rPr>
          <w:rFonts w:ascii="Times New Roman" w:hAnsi="Times New Roman"/>
          <w:sz w:val="24"/>
          <w:szCs w:val="24"/>
        </w:rPr>
        <w:t xml:space="preserve"> </w:t>
      </w:r>
      <w:r w:rsidRPr="006B24EA">
        <w:rPr>
          <w:rFonts w:ascii="Times New Roman" w:hAnsi="Times New Roman"/>
          <w:i/>
          <w:sz w:val="24"/>
          <w:szCs w:val="24"/>
        </w:rPr>
        <w:t xml:space="preserve">Knowledge, Information and Expectations in Modern Macroeconomics: In </w:t>
      </w:r>
      <w:proofErr w:type="spellStart"/>
      <w:r w:rsidRPr="006B24EA">
        <w:rPr>
          <w:rFonts w:ascii="Times New Roman" w:hAnsi="Times New Roman"/>
          <w:i/>
          <w:sz w:val="24"/>
          <w:szCs w:val="24"/>
        </w:rPr>
        <w:t>Honor</w:t>
      </w:r>
      <w:proofErr w:type="spellEnd"/>
      <w:r w:rsidRPr="006B24EA">
        <w:rPr>
          <w:rFonts w:ascii="Times New Roman" w:hAnsi="Times New Roman"/>
          <w:i/>
          <w:sz w:val="24"/>
          <w:szCs w:val="24"/>
        </w:rPr>
        <w:t xml:space="preserve"> of Edmund S. Phelps</w:t>
      </w:r>
      <w:r w:rsidRPr="00C7351C">
        <w:rPr>
          <w:rFonts w:ascii="Times New Roman" w:hAnsi="Times New Roman"/>
          <w:sz w:val="24"/>
          <w:szCs w:val="24"/>
        </w:rPr>
        <w:t>, Princeton University Press.</w:t>
      </w:r>
      <w:r w:rsidR="009E0C6C">
        <w:rPr>
          <w:rFonts w:ascii="Times New Roman" w:hAnsi="Times New Roman"/>
          <w:sz w:val="24"/>
          <w:szCs w:val="24"/>
        </w:rPr>
        <w:br w:type="page"/>
      </w:r>
    </w:p>
    <w:tbl>
      <w:tblPr>
        <w:tblpPr w:leftFromText="180" w:rightFromText="180" w:topFromText="120" w:bottomFromText="240" w:vertAnchor="text" w:tblpY="121"/>
        <w:tblOverlap w:val="never"/>
        <w:tblW w:w="9242" w:type="dxa"/>
        <w:tblBorders>
          <w:top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42"/>
      </w:tblGrid>
      <w:tr w:rsidR="009E0C6C" w:rsidRPr="00731C8B" w14:paraId="7BF72A5C" w14:textId="77777777" w:rsidTr="006E3764">
        <w:trPr>
          <w:cantSplit/>
        </w:trPr>
        <w:tc>
          <w:tcPr>
            <w:tcW w:w="9242" w:type="dxa"/>
            <w:tcBorders>
              <w:top w:val="nil"/>
              <w:bottom w:val="nil"/>
            </w:tcBorders>
          </w:tcPr>
          <w:tbl>
            <w:tblPr>
              <w:tblW w:w="9242" w:type="dxa"/>
              <w:tblInd w:w="5" w:type="dxa"/>
              <w:tblBorders>
                <w:top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42"/>
            </w:tblGrid>
            <w:tr w:rsidR="006E3764" w14:paraId="75095494" w14:textId="77777777" w:rsidTr="003912E2">
              <w:trPr>
                <w:cantSplit/>
              </w:trPr>
              <w:tc>
                <w:tcPr>
                  <w:tcW w:w="9242" w:type="dxa"/>
                  <w:tcBorders>
                    <w:top w:val="nil"/>
                    <w:bottom w:val="nil"/>
                  </w:tcBorders>
                </w:tcPr>
                <w:p w14:paraId="1AF99D04" w14:textId="77777777" w:rsidR="006E3764" w:rsidRDefault="006E3764" w:rsidP="006E3764">
                  <w:pPr>
                    <w:pStyle w:val="GraphPanelMain"/>
                    <w:keepNext/>
                    <w:framePr w:hSpace="180" w:vSpace="120" w:wrap="around" w:vAnchor="text" w:hAnchor="text" w:y="121"/>
                    <w:suppressOverlap/>
                  </w:pPr>
                  <w:r>
                    <w:rPr>
                      <w:noProof/>
                    </w:rPr>
                    <w:lastRenderedPageBreak/>
                    <w:drawing>
                      <wp:inline distT="0" distB="0" distL="0" distR="0" wp14:anchorId="353E328B" wp14:editId="2E25C455">
                        <wp:extent cx="5868000" cy="5067818"/>
                        <wp:effectExtent l="0" t="0" r="0" b="0"/>
                        <wp:docPr id="2" name="Picture 2" descr="&lt;?xml version=&quot;1.0&quot; encoding=&quot;utf-8&quot;?&gt; &#10;&lt;XMLInfo&gt; &#10;&lt;DocFullFileName&gt;L:\MED\TRAN\2016_Banerjee_Mehrotra\Matthias\Graph_DeflationTimeline\Graph_DeflationTimeline.docx&lt;/DocFullFileName&gt;&#10;&lt;EPSFullFileName&gt;L:\MED\TRAN\2016_Banerjee_Mehrotra\Matthias\Graph_DeflationTimeline\Gr_Deflation_Timeline_exIN.MEDCS.eps&lt;/EPSFullFileName&gt;&#10;&lt;EPSRelativeFileName&gt;Gr_Deflation_Timeline_exIN.MEDCS.eps&lt;/EPSRelativeFileName&gt;&#10;&lt;EPSCreated&gt;20181004 17:18:45&lt;/EPSCreated&gt;&#10;&lt;EPSInsertedBy&gt;ma003527&lt;/EPSInsertedBy&gt;&#10;&lt;EPSInsertedDate&gt;20181004 17:31:38&lt;/EPSInsertedDate&gt;&#10;&lt;EPSModifiedDate&gt;20181004 17:31:12&lt;/EPSModifiedDate&gt;&#10;&lt;EPSUpdatedInDoc&gt;20181004 17:31:38&lt;/EPSUpdatedInDoc&gt;&#10;&lt;EPSModifiedBy&gt;ma003527&lt;/EPSModifiedBy&gt;&#10;&lt;XMLInfoVersionID&gt;2.0.0.0&lt;/XMLInfoVersionID&gt; &#10;&lt;EPSGUID&gt;{e100792f-56ff-4d23-a837-bb4e06094159}&lt;/EPSGUID&gt;&#10;&lt;/XMLInfo&gt; &#10;" title="Gr_Deflation_Timeline_ex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68000" cy="5067818"/>
                                </a:xfrm>
                                <a:prstGeom prst="rect">
                                  <a:avLst/>
                                </a:prstGeom>
                              </pic:spPr>
                            </pic:pic>
                          </a:graphicData>
                        </a:graphic>
                      </wp:inline>
                    </w:drawing>
                  </w:r>
                </w:p>
              </w:tc>
            </w:tr>
            <w:tr w:rsidR="006E3764" w14:paraId="203848B6" w14:textId="77777777" w:rsidTr="003912E2">
              <w:trPr>
                <w:cantSplit/>
              </w:trPr>
              <w:tc>
                <w:tcPr>
                  <w:tcW w:w="9242" w:type="dxa"/>
                  <w:tcBorders>
                    <w:top w:val="nil"/>
                    <w:bottom w:val="single" w:sz="4" w:space="0" w:color="auto"/>
                  </w:tcBorders>
                </w:tcPr>
                <w:p w14:paraId="01FE9F77" w14:textId="77777777" w:rsidR="006E3764" w:rsidRDefault="006E3764" w:rsidP="006E3764">
                  <w:pPr>
                    <w:pStyle w:val="GraphFootnoteSegoeUI"/>
                    <w:keepNext/>
                    <w:framePr w:wrap="around"/>
                  </w:pPr>
                </w:p>
              </w:tc>
            </w:tr>
          </w:tbl>
          <w:p w14:paraId="2A4A359A" w14:textId="77777777" w:rsidR="009E0C6C" w:rsidRPr="00731C8B" w:rsidRDefault="009E0C6C" w:rsidP="00647D3E">
            <w:pPr>
              <w:pStyle w:val="GraphPanelMain"/>
              <w:keepNext/>
              <w:spacing w:before="20" w:after="20" w:line="360" w:lineRule="auto"/>
              <w:rPr>
                <w:rFonts w:ascii="Times New Roman" w:hAnsi="Times New Roman"/>
                <w:sz w:val="24"/>
                <w:szCs w:val="24"/>
              </w:rPr>
            </w:pPr>
          </w:p>
        </w:tc>
      </w:tr>
      <w:tr w:rsidR="009E0C6C" w:rsidRPr="00731C8B" w14:paraId="17A59170" w14:textId="77777777" w:rsidTr="006E3764">
        <w:trPr>
          <w:cantSplit/>
        </w:trPr>
        <w:tc>
          <w:tcPr>
            <w:tcW w:w="9242" w:type="dxa"/>
            <w:tcBorders>
              <w:top w:val="nil"/>
              <w:bottom w:val="nil"/>
            </w:tcBorders>
          </w:tcPr>
          <w:p w14:paraId="54210E52" w14:textId="77777777" w:rsidR="009E0C6C" w:rsidRDefault="009E0C6C" w:rsidP="00647D3E">
            <w:pPr>
              <w:pStyle w:val="GraphFootnoteSegoeUI"/>
              <w:framePr w:hSpace="0" w:vSpace="0" w:wrap="auto" w:vAnchor="margin" w:yAlign="inline"/>
              <w:spacing w:line="480" w:lineRule="auto"/>
              <w:suppressOverlap w:val="0"/>
            </w:pPr>
            <w:r w:rsidRPr="00586904">
              <w:t>Graph 1: Deflation episodes</w:t>
            </w:r>
          </w:p>
          <w:p w14:paraId="132F4638" w14:textId="77777777" w:rsidR="009E0C6C" w:rsidRPr="00731C8B" w:rsidRDefault="009E0C6C" w:rsidP="006E3764">
            <w:pPr>
              <w:pStyle w:val="GraphFootnoteSegoeUI"/>
              <w:framePr w:hSpace="0" w:vSpace="0" w:wrap="auto" w:vAnchor="margin" w:yAlign="inline"/>
              <w:spacing w:line="480" w:lineRule="auto"/>
              <w:suppressOverlap w:val="0"/>
            </w:pPr>
            <w:r w:rsidRPr="0095426B">
              <w:rPr>
                <w:i/>
              </w:rPr>
              <w:t>Notes:</w:t>
            </w:r>
            <w:r>
              <w:t xml:space="preserve"> </w:t>
            </w:r>
            <w:r w:rsidRPr="00586904">
              <w:rPr>
                <w:vertAlign w:val="superscript"/>
              </w:rPr>
              <w:t>1</w:t>
            </w:r>
            <w:proofErr w:type="gramStart"/>
            <w:r w:rsidRPr="00586904">
              <w:t>  Negative</w:t>
            </w:r>
            <w:proofErr w:type="gramEnd"/>
            <w:r w:rsidRPr="00586904">
              <w:t xml:space="preserve"> headline consumer price inflation (CPI, year on year) for at least six consecutive months. A deflation episode ends if subsequently at least three consecutive months of positive inflation rates occur. </w:t>
            </w:r>
            <w:r w:rsidRPr="00586904">
              <w:rPr>
                <w:vertAlign w:val="superscript"/>
              </w:rPr>
              <w:t>2</w:t>
            </w:r>
            <w:proofErr w:type="gramStart"/>
            <w:r w:rsidRPr="00586904">
              <w:t>  Deflation</w:t>
            </w:r>
            <w:proofErr w:type="gramEnd"/>
            <w:r w:rsidRPr="00586904">
              <w:t xml:space="preserve"> episodes occurring when policy rates are at or below 0.5 per cent. If policy rate data are not available, money market interest rate data are used. </w:t>
            </w:r>
          </w:p>
        </w:tc>
      </w:tr>
    </w:tbl>
    <w:p w14:paraId="45C926EA" w14:textId="77777777" w:rsidR="009E0C6C" w:rsidRDefault="009E0C6C" w:rsidP="009E0C6C"/>
    <w:p w14:paraId="50E6C5CF" w14:textId="77777777" w:rsidR="009E0C6C" w:rsidRDefault="009E0C6C" w:rsidP="009E0C6C"/>
    <w:p w14:paraId="403F7821" w14:textId="77777777" w:rsidR="009E0C6C" w:rsidRDefault="009E0C6C" w:rsidP="009E0C6C">
      <w:pPr>
        <w:spacing w:after="160" w:line="259" w:lineRule="auto"/>
      </w:pPr>
    </w:p>
    <w:tbl>
      <w:tblPr>
        <w:tblpPr w:leftFromText="180" w:rightFromText="180" w:topFromText="120" w:bottomFromText="240" w:vertAnchor="text" w:tblpY="121"/>
        <w:tblOverlap w:val="never"/>
        <w:tblW w:w="9242" w:type="dxa"/>
        <w:tblBorders>
          <w:top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42"/>
      </w:tblGrid>
      <w:tr w:rsidR="009E0C6C" w:rsidRPr="00731C8B" w14:paraId="6C8592EA" w14:textId="77777777" w:rsidTr="00647D3E">
        <w:trPr>
          <w:cantSplit/>
        </w:trPr>
        <w:tc>
          <w:tcPr>
            <w:tcW w:w="9242" w:type="dxa"/>
            <w:tcBorders>
              <w:top w:val="nil"/>
              <w:bottom w:val="nil"/>
            </w:tcBorders>
          </w:tcPr>
          <w:p w14:paraId="5DF07356" w14:textId="77777777" w:rsidR="009E0C6C" w:rsidRPr="00731C8B" w:rsidRDefault="009E0C6C" w:rsidP="00647D3E">
            <w:pPr>
              <w:pStyle w:val="GraphPanelMain"/>
              <w:keepNext/>
              <w:spacing w:before="20" w:line="360" w:lineRule="auto"/>
              <w:rPr>
                <w:rFonts w:ascii="Times New Roman" w:hAnsi="Times New Roman"/>
                <w:sz w:val="24"/>
                <w:szCs w:val="24"/>
              </w:rPr>
            </w:pPr>
          </w:p>
        </w:tc>
      </w:tr>
      <w:tr w:rsidR="00CD0E5E" w:rsidRPr="00E8719A" w14:paraId="5C4DA8B6" w14:textId="77777777" w:rsidTr="00647D3E">
        <w:trPr>
          <w:cantSplit/>
        </w:trPr>
        <w:tc>
          <w:tcPr>
            <w:tcW w:w="9242" w:type="dxa"/>
            <w:tcBorders>
              <w:top w:val="nil"/>
              <w:bottom w:val="nil"/>
            </w:tcBorders>
          </w:tcPr>
          <w:p w14:paraId="5B6211B1" w14:textId="77777777" w:rsidR="00CD0E5E" w:rsidRPr="00E8719A" w:rsidRDefault="00CD0E5E" w:rsidP="00647D3E">
            <w:pPr>
              <w:pStyle w:val="GraphFootnoteSegoeUI"/>
              <w:framePr w:hSpace="0" w:vSpace="0" w:wrap="auto" w:vAnchor="margin" w:yAlign="inline"/>
              <w:spacing w:line="480" w:lineRule="auto"/>
              <w:suppressOverlap w:val="0"/>
            </w:pPr>
            <w:r>
              <w:rPr>
                <w:noProof/>
                <w:lang w:eastAsia="en-GB"/>
              </w:rPr>
              <w:lastRenderedPageBreak/>
              <w:drawing>
                <wp:inline distT="0" distB="0" distL="0" distR="0" wp14:anchorId="79E9AF71" wp14:editId="14FC7598">
                  <wp:extent cx="4392000" cy="2926800"/>
                  <wp:effectExtent l="0" t="0" r="889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92000" cy="2926800"/>
                          </a:xfrm>
                          <a:prstGeom prst="rect">
                            <a:avLst/>
                          </a:prstGeom>
                          <a:noFill/>
                        </pic:spPr>
                      </pic:pic>
                    </a:graphicData>
                  </a:graphic>
                </wp:inline>
              </w:drawing>
            </w:r>
          </w:p>
        </w:tc>
      </w:tr>
      <w:tr w:rsidR="009E0C6C" w:rsidRPr="00E8719A" w14:paraId="7C5467EB" w14:textId="77777777" w:rsidTr="00647D3E">
        <w:trPr>
          <w:cantSplit/>
        </w:trPr>
        <w:tc>
          <w:tcPr>
            <w:tcW w:w="9242" w:type="dxa"/>
            <w:tcBorders>
              <w:top w:val="nil"/>
              <w:bottom w:val="nil"/>
            </w:tcBorders>
          </w:tcPr>
          <w:p w14:paraId="2A4E4029" w14:textId="77777777" w:rsidR="009E0C6C" w:rsidRPr="00E8719A" w:rsidRDefault="009E0C6C" w:rsidP="00647D3E">
            <w:pPr>
              <w:pStyle w:val="GraphFootnoteSegoeUI"/>
              <w:framePr w:hSpace="0" w:vSpace="0" w:wrap="auto" w:vAnchor="margin" w:yAlign="inline"/>
              <w:spacing w:line="480" w:lineRule="auto"/>
              <w:suppressOverlap w:val="0"/>
            </w:pPr>
            <w:r w:rsidRPr="00E8719A">
              <w:t xml:space="preserve">Graph </w:t>
            </w:r>
            <w:r w:rsidR="00CD44F8">
              <w:t>2</w:t>
            </w:r>
            <w:r w:rsidRPr="00E8719A">
              <w:t>: Inflation forecast disagreement and current inflation outcomes</w:t>
            </w:r>
          </w:p>
          <w:p w14:paraId="170029E8" w14:textId="77777777" w:rsidR="009E0C6C" w:rsidRPr="00E8719A" w:rsidRDefault="009E0C6C" w:rsidP="00647D3E">
            <w:pPr>
              <w:pStyle w:val="GraphFootnoteSegoeUI"/>
              <w:framePr w:hSpace="0" w:vSpace="0" w:wrap="auto" w:vAnchor="margin" w:yAlign="inline"/>
              <w:spacing w:line="480" w:lineRule="auto"/>
              <w:suppressOverlap w:val="0"/>
            </w:pPr>
            <w:r w:rsidRPr="0095426B">
              <w:rPr>
                <w:i/>
              </w:rPr>
              <w:t>Notes</w:t>
            </w:r>
            <w:r w:rsidRPr="00E8719A">
              <w:t>: The graph shows month-forecaster observations for current inflation and the interquartile range of next year’s forecast. The blue line results from a generalised additive model between the two variables. The shaded area is the 95% confidence interval.</w:t>
            </w:r>
          </w:p>
        </w:tc>
      </w:tr>
    </w:tbl>
    <w:p w14:paraId="4D239CE1" w14:textId="77777777" w:rsidR="009E0C6C" w:rsidRDefault="009E0C6C" w:rsidP="009E0C6C"/>
    <w:p w14:paraId="6A463CFA" w14:textId="77777777" w:rsidR="009E0C6C" w:rsidRDefault="009E0C6C" w:rsidP="009E0C6C">
      <w:pPr>
        <w:spacing w:after="160" w:line="259" w:lineRule="auto"/>
      </w:pPr>
      <w:r>
        <w:br w:type="page"/>
      </w:r>
    </w:p>
    <w:p w14:paraId="239E2979" w14:textId="77777777" w:rsidR="009E0C6C" w:rsidRPr="00731C8B" w:rsidRDefault="009E0C6C" w:rsidP="009E0C6C">
      <w:pPr>
        <w:pStyle w:val="Paragraph"/>
        <w:spacing w:line="360" w:lineRule="auto"/>
        <w:rPr>
          <w:rFonts w:ascii="Times New Roman" w:hAnsi="Times New Roman"/>
          <w:sz w:val="24"/>
          <w:szCs w:val="24"/>
        </w:rPr>
      </w:pPr>
    </w:p>
    <w:tbl>
      <w:tblPr>
        <w:tblpPr w:vertAnchor="text" w:tblpY="1"/>
        <w:tblOverlap w:val="never"/>
        <w:tblW w:w="9242" w:type="dxa"/>
        <w:tblBorders>
          <w:top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42"/>
      </w:tblGrid>
      <w:tr w:rsidR="009E0C6C" w:rsidRPr="00731C8B" w14:paraId="60418DDE" w14:textId="77777777" w:rsidTr="00647D3E">
        <w:trPr>
          <w:cantSplit/>
        </w:trPr>
        <w:tc>
          <w:tcPr>
            <w:tcW w:w="9242" w:type="dxa"/>
            <w:tcBorders>
              <w:top w:val="nil"/>
              <w:bottom w:val="nil"/>
            </w:tcBorders>
          </w:tcPr>
          <w:p w14:paraId="05A9DAF5" w14:textId="29234042" w:rsidR="009E0C6C" w:rsidRPr="00731C8B" w:rsidRDefault="009E0C6C" w:rsidP="00647D3E">
            <w:pPr>
              <w:pStyle w:val="GraphPanelMain"/>
              <w:keepNext/>
              <w:spacing w:before="20" w:line="360" w:lineRule="auto"/>
              <w:jc w:val="center"/>
              <w:rPr>
                <w:rFonts w:ascii="Times New Roman" w:hAnsi="Times New Roman"/>
                <w:sz w:val="24"/>
                <w:szCs w:val="24"/>
              </w:rPr>
            </w:pPr>
          </w:p>
        </w:tc>
      </w:tr>
      <w:tr w:rsidR="009E0C6C" w:rsidRPr="00731C8B" w14:paraId="33F54A77" w14:textId="77777777" w:rsidTr="00647D3E">
        <w:trPr>
          <w:cantSplit/>
        </w:trPr>
        <w:tc>
          <w:tcPr>
            <w:tcW w:w="9242" w:type="dxa"/>
            <w:tcBorders>
              <w:top w:val="nil"/>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7"/>
              <w:gridCol w:w="3077"/>
              <w:gridCol w:w="3078"/>
            </w:tblGrid>
            <w:tr w:rsidR="007E65FA" w14:paraId="487EA476" w14:textId="77777777" w:rsidTr="006B24EA">
              <w:tc>
                <w:tcPr>
                  <w:tcW w:w="3077" w:type="dxa"/>
                </w:tcPr>
                <w:p w14:paraId="53BCD317" w14:textId="7F502EC1" w:rsidR="007E65FA" w:rsidRPr="006B24EA" w:rsidRDefault="007E65FA" w:rsidP="006B24EA">
                  <w:pPr>
                    <w:pStyle w:val="GraphFootnoteSegoeUI"/>
                    <w:framePr w:hSpace="0" w:vSpace="0" w:wrap="around" w:y="1"/>
                    <w:spacing w:line="480" w:lineRule="auto"/>
                    <w:jc w:val="center"/>
                    <w:rPr>
                      <w:rFonts w:ascii="Segoe UI" w:hAnsi="Segoe UI" w:cs="Segoe UI"/>
                      <w:b/>
                      <w:i/>
                      <w:sz w:val="16"/>
                      <w:szCs w:val="16"/>
                    </w:rPr>
                  </w:pPr>
                  <w:r w:rsidRPr="006B24EA">
                    <w:rPr>
                      <w:rFonts w:ascii="Segoe UI" w:hAnsi="Segoe UI" w:cs="Segoe UI"/>
                      <w:b/>
                      <w:i/>
                      <w:sz w:val="16"/>
                      <w:szCs w:val="16"/>
                    </w:rPr>
                    <w:t>Lower tail of inflation expec</w:t>
                  </w:r>
                  <w:r w:rsidR="002D301F" w:rsidRPr="006B24EA">
                    <w:rPr>
                      <w:rFonts w:ascii="Segoe UI" w:hAnsi="Segoe UI" w:cs="Segoe UI"/>
                      <w:b/>
                      <w:i/>
                      <w:sz w:val="16"/>
                      <w:szCs w:val="16"/>
                    </w:rPr>
                    <w:t>tations</w:t>
                  </w:r>
                </w:p>
              </w:tc>
              <w:tc>
                <w:tcPr>
                  <w:tcW w:w="3077" w:type="dxa"/>
                </w:tcPr>
                <w:p w14:paraId="0DFAF7C5" w14:textId="79EFC374" w:rsidR="007E65FA" w:rsidRPr="006B24EA" w:rsidRDefault="002D301F" w:rsidP="006B24EA">
                  <w:pPr>
                    <w:pStyle w:val="GraphFootnoteSegoeUI"/>
                    <w:framePr w:hSpace="0" w:vSpace="0" w:wrap="around" w:y="1"/>
                    <w:spacing w:line="480" w:lineRule="auto"/>
                    <w:jc w:val="center"/>
                    <w:rPr>
                      <w:rFonts w:ascii="Segoe UI" w:hAnsi="Segoe UI" w:cs="Segoe UI"/>
                      <w:b/>
                      <w:i/>
                      <w:sz w:val="16"/>
                      <w:szCs w:val="16"/>
                    </w:rPr>
                  </w:pPr>
                  <w:r w:rsidRPr="006B24EA">
                    <w:rPr>
                      <w:rFonts w:ascii="Segoe UI" w:hAnsi="Segoe UI" w:cs="Segoe UI"/>
                      <w:b/>
                      <w:i/>
                      <w:sz w:val="16"/>
                      <w:szCs w:val="16"/>
                    </w:rPr>
                    <w:t>Median infl. expectation for next year</w:t>
                  </w:r>
                </w:p>
              </w:tc>
              <w:tc>
                <w:tcPr>
                  <w:tcW w:w="3078" w:type="dxa"/>
                </w:tcPr>
                <w:p w14:paraId="6FFFEEF2" w14:textId="29C4CBF0" w:rsidR="007E65FA" w:rsidRPr="006B24EA" w:rsidRDefault="002D301F" w:rsidP="006B24EA">
                  <w:pPr>
                    <w:pStyle w:val="GraphFootnoteSegoeUI"/>
                    <w:framePr w:hSpace="0" w:vSpace="0" w:wrap="around" w:y="1"/>
                    <w:spacing w:line="480" w:lineRule="auto"/>
                    <w:jc w:val="center"/>
                    <w:rPr>
                      <w:rFonts w:ascii="Segoe UI" w:hAnsi="Segoe UI" w:cs="Segoe UI"/>
                      <w:b/>
                      <w:i/>
                      <w:sz w:val="16"/>
                      <w:szCs w:val="16"/>
                    </w:rPr>
                  </w:pPr>
                  <w:r w:rsidRPr="006B24EA">
                    <w:rPr>
                      <w:rFonts w:ascii="Segoe UI" w:hAnsi="Segoe UI" w:cs="Segoe UI"/>
                      <w:b/>
                      <w:i/>
                      <w:sz w:val="16"/>
                      <w:szCs w:val="16"/>
                    </w:rPr>
                    <w:t>GDP forecast disagreement</w:t>
                  </w:r>
                </w:p>
              </w:tc>
            </w:tr>
            <w:tr w:rsidR="007E65FA" w14:paraId="7A71D1F4" w14:textId="77777777" w:rsidTr="006B24EA">
              <w:tc>
                <w:tcPr>
                  <w:tcW w:w="3077" w:type="dxa"/>
                </w:tcPr>
                <w:p w14:paraId="3D782819" w14:textId="52C4EC4E" w:rsidR="007E65FA" w:rsidRPr="006B24EA" w:rsidRDefault="002D301F" w:rsidP="00647D3E">
                  <w:pPr>
                    <w:pStyle w:val="GraphFootnoteSegoeUI"/>
                    <w:framePr w:hSpace="0" w:vSpace="0" w:wrap="around" w:y="1"/>
                    <w:spacing w:line="480" w:lineRule="auto"/>
                    <w:rPr>
                      <w:rFonts w:ascii="Segoe UI" w:hAnsi="Segoe UI" w:cs="Segoe UI"/>
                      <w:sz w:val="16"/>
                      <w:szCs w:val="16"/>
                    </w:rPr>
                  </w:pPr>
                  <w:r>
                    <w:object w:dxaOrig="7464" w:dyaOrig="4644" w14:anchorId="015EC7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00.5pt" o:ole="">
                        <v:imagedata r:id="rId14" o:title=""/>
                      </v:shape>
                      <o:OLEObject Type="Embed" ProgID="EViews.Workfile.2" ShapeID="_x0000_i1025" DrawAspect="Content" ObjectID="_1642229738" r:id="rId15"/>
                    </w:object>
                  </w:r>
                </w:p>
              </w:tc>
              <w:tc>
                <w:tcPr>
                  <w:tcW w:w="3077" w:type="dxa"/>
                </w:tcPr>
                <w:p w14:paraId="45A709C5" w14:textId="6414C265" w:rsidR="007E65FA" w:rsidRPr="006B24EA" w:rsidRDefault="002D301F" w:rsidP="00647D3E">
                  <w:pPr>
                    <w:pStyle w:val="GraphFootnoteSegoeUI"/>
                    <w:framePr w:hSpace="0" w:vSpace="0" w:wrap="around" w:y="1"/>
                    <w:spacing w:line="480" w:lineRule="auto"/>
                    <w:rPr>
                      <w:rFonts w:ascii="Segoe UI" w:hAnsi="Segoe UI" w:cs="Segoe UI"/>
                      <w:sz w:val="16"/>
                      <w:szCs w:val="16"/>
                    </w:rPr>
                  </w:pPr>
                  <w:r>
                    <w:object w:dxaOrig="7464" w:dyaOrig="4644" w14:anchorId="566F46EB">
                      <v:shape id="_x0000_i1026" type="#_x0000_t75" style="width:2in;height:100.5pt" o:ole="">
                        <v:imagedata r:id="rId16" o:title=""/>
                      </v:shape>
                      <o:OLEObject Type="Embed" ProgID="EViews.Workfile.2" ShapeID="_x0000_i1026" DrawAspect="Content" ObjectID="_1642229739" r:id="rId17"/>
                    </w:object>
                  </w:r>
                </w:p>
              </w:tc>
              <w:tc>
                <w:tcPr>
                  <w:tcW w:w="3078" w:type="dxa"/>
                </w:tcPr>
                <w:p w14:paraId="342E975E" w14:textId="4DA3999C" w:rsidR="007E65FA" w:rsidRPr="006B24EA" w:rsidRDefault="002D301F" w:rsidP="00647D3E">
                  <w:pPr>
                    <w:pStyle w:val="GraphFootnoteSegoeUI"/>
                    <w:framePr w:hSpace="0" w:vSpace="0" w:wrap="around" w:y="1"/>
                    <w:spacing w:line="480" w:lineRule="auto"/>
                    <w:rPr>
                      <w:rFonts w:ascii="Segoe UI" w:hAnsi="Segoe UI" w:cs="Segoe UI"/>
                      <w:sz w:val="16"/>
                      <w:szCs w:val="16"/>
                    </w:rPr>
                  </w:pPr>
                  <w:r>
                    <w:object w:dxaOrig="7464" w:dyaOrig="4644" w14:anchorId="53703FE0">
                      <v:shape id="_x0000_i1027" type="#_x0000_t75" style="width:2in;height:100.5pt" o:ole="">
                        <v:imagedata r:id="rId18" o:title=""/>
                      </v:shape>
                      <o:OLEObject Type="Embed" ProgID="EViews.Workfile.2" ShapeID="_x0000_i1027" DrawAspect="Content" ObjectID="_1642229740" r:id="rId19"/>
                    </w:object>
                  </w:r>
                </w:p>
              </w:tc>
            </w:tr>
            <w:tr w:rsidR="007E65FA" w14:paraId="4CBE5967" w14:textId="77777777" w:rsidTr="006B24EA">
              <w:tc>
                <w:tcPr>
                  <w:tcW w:w="3077" w:type="dxa"/>
                </w:tcPr>
                <w:p w14:paraId="7B90718D" w14:textId="7DD08DDA" w:rsidR="007E65FA" w:rsidRPr="006B24EA" w:rsidRDefault="002D301F" w:rsidP="006B24EA">
                  <w:pPr>
                    <w:pStyle w:val="GraphFootnoteSegoeUI"/>
                    <w:framePr w:hSpace="0" w:vSpace="0" w:wrap="around" w:y="1"/>
                    <w:spacing w:line="480" w:lineRule="auto"/>
                    <w:jc w:val="center"/>
                    <w:rPr>
                      <w:rFonts w:ascii="Segoe UI" w:hAnsi="Segoe UI" w:cs="Segoe UI"/>
                      <w:b/>
                      <w:i/>
                      <w:sz w:val="16"/>
                      <w:szCs w:val="16"/>
                    </w:rPr>
                  </w:pPr>
                  <w:r w:rsidRPr="006B24EA">
                    <w:rPr>
                      <w:rFonts w:ascii="Segoe UI" w:hAnsi="Segoe UI" w:cs="Segoe UI"/>
                      <w:b/>
                      <w:i/>
                      <w:sz w:val="16"/>
                      <w:szCs w:val="16"/>
                    </w:rPr>
                    <w:t>Output gap</w:t>
                  </w:r>
                </w:p>
              </w:tc>
              <w:tc>
                <w:tcPr>
                  <w:tcW w:w="3077" w:type="dxa"/>
                </w:tcPr>
                <w:p w14:paraId="6F612E6C" w14:textId="44DED1F7" w:rsidR="007E65FA" w:rsidRPr="006B24EA" w:rsidRDefault="002D301F" w:rsidP="006B24EA">
                  <w:pPr>
                    <w:pStyle w:val="GraphFootnoteSegoeUI"/>
                    <w:framePr w:hSpace="0" w:vSpace="0" w:wrap="around" w:y="1"/>
                    <w:spacing w:line="480" w:lineRule="auto"/>
                    <w:jc w:val="center"/>
                    <w:rPr>
                      <w:rFonts w:ascii="Segoe UI" w:hAnsi="Segoe UI" w:cs="Segoe UI"/>
                      <w:b/>
                      <w:i/>
                      <w:sz w:val="16"/>
                      <w:szCs w:val="16"/>
                    </w:rPr>
                  </w:pPr>
                  <w:r w:rsidRPr="006B24EA">
                    <w:rPr>
                      <w:rFonts w:ascii="Segoe UI" w:hAnsi="Segoe UI" w:cs="Segoe UI"/>
                      <w:b/>
                      <w:i/>
                      <w:sz w:val="16"/>
                      <w:szCs w:val="16"/>
                    </w:rPr>
                    <w:t>Inflation</w:t>
                  </w:r>
                </w:p>
              </w:tc>
              <w:tc>
                <w:tcPr>
                  <w:tcW w:w="3078" w:type="dxa"/>
                </w:tcPr>
                <w:p w14:paraId="7E3EDD57" w14:textId="3329CE9E" w:rsidR="007E65FA" w:rsidRPr="006B24EA" w:rsidRDefault="002D301F" w:rsidP="006B24EA">
                  <w:pPr>
                    <w:pStyle w:val="GraphFootnoteSegoeUI"/>
                    <w:framePr w:hSpace="0" w:vSpace="0" w:wrap="around" w:y="1"/>
                    <w:spacing w:line="480" w:lineRule="auto"/>
                    <w:jc w:val="center"/>
                    <w:rPr>
                      <w:rFonts w:ascii="Segoe UI" w:hAnsi="Segoe UI" w:cs="Segoe UI"/>
                      <w:b/>
                      <w:i/>
                      <w:sz w:val="16"/>
                      <w:szCs w:val="16"/>
                    </w:rPr>
                  </w:pPr>
                  <w:r w:rsidRPr="006B24EA">
                    <w:rPr>
                      <w:rFonts w:ascii="Segoe UI" w:hAnsi="Segoe UI" w:cs="Segoe UI"/>
                      <w:b/>
                      <w:i/>
                      <w:sz w:val="16"/>
                      <w:szCs w:val="16"/>
                    </w:rPr>
                    <w:t>Policy rate</w:t>
                  </w:r>
                </w:p>
              </w:tc>
            </w:tr>
            <w:tr w:rsidR="007E65FA" w14:paraId="4EFD8B5E" w14:textId="77777777" w:rsidTr="006B24EA">
              <w:tc>
                <w:tcPr>
                  <w:tcW w:w="3077" w:type="dxa"/>
                </w:tcPr>
                <w:p w14:paraId="3D789591" w14:textId="486C729C" w:rsidR="007E65FA" w:rsidRDefault="002D301F" w:rsidP="00647D3E">
                  <w:pPr>
                    <w:pStyle w:val="GraphFootnoteSegoeUI"/>
                    <w:framePr w:hSpace="0" w:vSpace="0" w:wrap="around" w:y="1"/>
                    <w:spacing w:line="480" w:lineRule="auto"/>
                  </w:pPr>
                  <w:r>
                    <w:object w:dxaOrig="7464" w:dyaOrig="4644" w14:anchorId="3A2B38F7">
                      <v:shape id="_x0000_i1028" type="#_x0000_t75" style="width:2in;height:100.5pt" o:ole="">
                        <v:imagedata r:id="rId20" o:title=""/>
                      </v:shape>
                      <o:OLEObject Type="Embed" ProgID="EViews.Workfile.2" ShapeID="_x0000_i1028" DrawAspect="Content" ObjectID="_1642229741" r:id="rId21"/>
                    </w:object>
                  </w:r>
                </w:p>
              </w:tc>
              <w:tc>
                <w:tcPr>
                  <w:tcW w:w="3077" w:type="dxa"/>
                </w:tcPr>
                <w:p w14:paraId="560EAAA6" w14:textId="096F904E" w:rsidR="007E65FA" w:rsidRDefault="002D301F" w:rsidP="00647D3E">
                  <w:pPr>
                    <w:pStyle w:val="GraphFootnoteSegoeUI"/>
                    <w:framePr w:hSpace="0" w:vSpace="0" w:wrap="around" w:y="1"/>
                    <w:spacing w:line="480" w:lineRule="auto"/>
                  </w:pPr>
                  <w:r>
                    <w:object w:dxaOrig="7464" w:dyaOrig="4644" w14:anchorId="2D66D911">
                      <v:shape id="_x0000_i1029" type="#_x0000_t75" style="width:2in;height:100.5pt" o:ole="">
                        <v:imagedata r:id="rId22" o:title=""/>
                      </v:shape>
                      <o:OLEObject Type="Embed" ProgID="EViews.Workfile.2" ShapeID="_x0000_i1029" DrawAspect="Content" ObjectID="_1642229742" r:id="rId23"/>
                    </w:object>
                  </w:r>
                </w:p>
              </w:tc>
              <w:tc>
                <w:tcPr>
                  <w:tcW w:w="3078" w:type="dxa"/>
                </w:tcPr>
                <w:p w14:paraId="0BB58D61" w14:textId="08AA4E4D" w:rsidR="007E65FA" w:rsidRDefault="002D301F" w:rsidP="00647D3E">
                  <w:pPr>
                    <w:pStyle w:val="GraphFootnoteSegoeUI"/>
                    <w:framePr w:hSpace="0" w:vSpace="0" w:wrap="around" w:y="1"/>
                    <w:spacing w:line="480" w:lineRule="auto"/>
                  </w:pPr>
                  <w:r>
                    <w:object w:dxaOrig="7464" w:dyaOrig="4644" w14:anchorId="77F29F85">
                      <v:shape id="_x0000_i1030" type="#_x0000_t75" style="width:2in;height:100.5pt" o:ole="">
                        <v:imagedata r:id="rId24" o:title=""/>
                      </v:shape>
                      <o:OLEObject Type="Embed" ProgID="EViews.Workfile.2" ShapeID="_x0000_i1030" DrawAspect="Content" ObjectID="_1642229743" r:id="rId25"/>
                    </w:object>
                  </w:r>
                </w:p>
              </w:tc>
            </w:tr>
          </w:tbl>
          <w:p w14:paraId="4DEC6593" w14:textId="77777777" w:rsidR="009E0C6C" w:rsidRPr="00C94FFA" w:rsidRDefault="009E0C6C" w:rsidP="00647D3E">
            <w:pPr>
              <w:pStyle w:val="GraphFootnoteSegoeUI"/>
              <w:framePr w:hSpace="0" w:vSpace="0" w:wrap="auto" w:vAnchor="margin" w:yAlign="inline"/>
              <w:spacing w:line="480" w:lineRule="auto"/>
              <w:suppressOverlap w:val="0"/>
            </w:pPr>
            <w:r w:rsidRPr="00C94FFA">
              <w:t xml:space="preserve">Graph </w:t>
            </w:r>
            <w:r w:rsidR="002258A0">
              <w:t>3</w:t>
            </w:r>
            <w:r w:rsidRPr="00C94FFA">
              <w:t>: Response of variables to negative shock in left-hand tail of forecast distribution</w:t>
            </w:r>
          </w:p>
          <w:p w14:paraId="01018FC6" w14:textId="4864F712" w:rsidR="009E0C6C" w:rsidRPr="00C94FFA" w:rsidRDefault="009E0C6C" w:rsidP="0096517A">
            <w:pPr>
              <w:pStyle w:val="GraphFootnoteSegoeUI"/>
              <w:framePr w:hSpace="0" w:vSpace="0" w:wrap="auto" w:vAnchor="margin" w:yAlign="inline"/>
              <w:spacing w:line="480" w:lineRule="auto"/>
              <w:suppressOverlap w:val="0"/>
            </w:pPr>
            <w:r w:rsidRPr="00C94FFA">
              <w:rPr>
                <w:i/>
              </w:rPr>
              <w:t>Notes:</w:t>
            </w:r>
            <w:r w:rsidRPr="00C94FFA">
              <w:t xml:space="preserve"> The titles of the panels show the name of the response variable. The underlying shock is a negative one standard deviation shock to the </w:t>
            </w:r>
            <w:r w:rsidR="00916E6A">
              <w:t>25</w:t>
            </w:r>
            <w:r w:rsidR="00916E6A" w:rsidRPr="00C94FFA">
              <w:t xml:space="preserve">th </w:t>
            </w:r>
            <w:r w:rsidRPr="00C94FFA">
              <w:t>percentile of inflation expectations. The numbers on the x-axis denote the number of months that have passed from the shock.</w:t>
            </w:r>
          </w:p>
        </w:tc>
      </w:tr>
    </w:tbl>
    <w:p w14:paraId="64367F29" w14:textId="77777777" w:rsidR="009E0C6C" w:rsidRDefault="009E0C6C" w:rsidP="009E0C6C"/>
    <w:p w14:paraId="19B93BA0" w14:textId="77777777" w:rsidR="009E0C6C" w:rsidRDefault="009E0C6C" w:rsidP="009E0C6C">
      <w:pPr>
        <w:spacing w:after="160" w:line="259" w:lineRule="auto"/>
      </w:pPr>
      <w:r>
        <w:br w:type="page"/>
      </w:r>
    </w:p>
    <w:p w14:paraId="655D1AAF" w14:textId="77777777" w:rsidR="009E0C6C" w:rsidRPr="008C5B51" w:rsidRDefault="009E0C6C" w:rsidP="009E0C6C">
      <w:pPr>
        <w:pStyle w:val="Paragraph"/>
      </w:pPr>
    </w:p>
    <w:tbl>
      <w:tblPr>
        <w:tblpPr w:leftFromText="180" w:rightFromText="180" w:topFromText="120" w:bottomFromText="240" w:vertAnchor="text" w:tblpXSpec="center" w:tblpY="121"/>
        <w:tblOverlap w:val="neve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1387"/>
        <w:gridCol w:w="1386"/>
        <w:gridCol w:w="1386"/>
        <w:gridCol w:w="1386"/>
        <w:gridCol w:w="1386"/>
      </w:tblGrid>
      <w:tr w:rsidR="009E0C6C" w:rsidRPr="00731C8B" w14:paraId="55ADEF15" w14:textId="77777777" w:rsidTr="007F75FF">
        <w:trPr>
          <w:cantSplit/>
          <w:trHeight w:val="20"/>
        </w:trPr>
        <w:tc>
          <w:tcPr>
            <w:tcW w:w="2311" w:type="dxa"/>
            <w:tcBorders>
              <w:top w:val="single" w:sz="4" w:space="0" w:color="auto"/>
              <w:left w:val="nil"/>
              <w:bottom w:val="single" w:sz="4" w:space="0" w:color="auto"/>
              <w:right w:val="single" w:sz="4" w:space="0" w:color="BFBFBF" w:themeColor="background1" w:themeShade="BF"/>
            </w:tcBorders>
            <w:hideMark/>
          </w:tcPr>
          <w:p w14:paraId="3FD59FB7" w14:textId="77777777" w:rsidR="009E0C6C" w:rsidRPr="00F5337A" w:rsidRDefault="009E0C6C" w:rsidP="00647D3E">
            <w:pPr>
              <w:pStyle w:val="TblCol0"/>
              <w:rPr>
                <w:rFonts w:ascii="Times New Roman" w:eastAsia="Malgun Gothic" w:hAnsi="Times New Roman"/>
                <w:sz w:val="20"/>
                <w:lang w:eastAsia="ko-KR"/>
              </w:rPr>
            </w:pPr>
            <w:r w:rsidRPr="00F5337A">
              <w:rPr>
                <w:rFonts w:ascii="Times New Roman" w:eastAsia="Malgun Gothic" w:hAnsi="Times New Roman"/>
                <w:sz w:val="20"/>
                <w:lang w:eastAsia="ko-KR"/>
              </w:rPr>
              <w:t>Variable</w:t>
            </w:r>
          </w:p>
        </w:tc>
        <w:tc>
          <w:tcPr>
            <w:tcW w:w="1387"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14:paraId="015CF7CA" w14:textId="77777777" w:rsidR="009E0C6C" w:rsidRPr="00F5337A" w:rsidRDefault="009E0C6C" w:rsidP="00647D3E">
            <w:pPr>
              <w:pStyle w:val="TblCol0"/>
              <w:rPr>
                <w:rFonts w:ascii="Times New Roman" w:hAnsi="Times New Roman"/>
                <w:sz w:val="20"/>
              </w:rPr>
            </w:pPr>
            <w:r w:rsidRPr="00F5337A">
              <w:rPr>
                <w:rFonts w:ascii="Times New Roman" w:hAnsi="Times New Roman"/>
                <w:sz w:val="20"/>
              </w:rPr>
              <w:t>(1)</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14:paraId="669ABEB9" w14:textId="77777777" w:rsidR="009E0C6C" w:rsidRPr="00F5337A" w:rsidRDefault="009E0C6C" w:rsidP="00647D3E">
            <w:pPr>
              <w:pStyle w:val="TblCol0"/>
              <w:rPr>
                <w:rFonts w:ascii="Times New Roman" w:hAnsi="Times New Roman"/>
                <w:sz w:val="20"/>
              </w:rPr>
            </w:pPr>
            <w:r w:rsidRPr="00F5337A">
              <w:rPr>
                <w:rFonts w:ascii="Times New Roman" w:hAnsi="Times New Roman"/>
                <w:sz w:val="20"/>
              </w:rPr>
              <w:t>(2)</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14:paraId="59939DD7" w14:textId="77777777" w:rsidR="009E0C6C" w:rsidRPr="00F5337A" w:rsidRDefault="009E0C6C" w:rsidP="00647D3E">
            <w:pPr>
              <w:pStyle w:val="TblCol0"/>
              <w:rPr>
                <w:rFonts w:ascii="Times New Roman" w:hAnsi="Times New Roman"/>
                <w:sz w:val="20"/>
              </w:rPr>
            </w:pPr>
            <w:r w:rsidRPr="00F5337A">
              <w:rPr>
                <w:rFonts w:ascii="Times New Roman" w:hAnsi="Times New Roman"/>
                <w:sz w:val="20"/>
              </w:rPr>
              <w:t>(3)</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tcPr>
          <w:p w14:paraId="0F1B3639" w14:textId="77777777" w:rsidR="009E0C6C" w:rsidRPr="00F5337A" w:rsidRDefault="009E0C6C" w:rsidP="00647D3E">
            <w:pPr>
              <w:pStyle w:val="TblCol0"/>
              <w:rPr>
                <w:rFonts w:ascii="Times New Roman" w:hAnsi="Times New Roman"/>
                <w:sz w:val="20"/>
              </w:rPr>
            </w:pPr>
            <w:r w:rsidRPr="00F5337A">
              <w:rPr>
                <w:rFonts w:ascii="Times New Roman" w:hAnsi="Times New Roman"/>
                <w:sz w:val="20"/>
              </w:rPr>
              <w:t>(4)</w:t>
            </w:r>
          </w:p>
        </w:tc>
        <w:tc>
          <w:tcPr>
            <w:tcW w:w="1386" w:type="dxa"/>
            <w:tcBorders>
              <w:top w:val="single" w:sz="4" w:space="0" w:color="auto"/>
              <w:left w:val="single" w:sz="4" w:space="0" w:color="BFBFBF" w:themeColor="background1" w:themeShade="BF"/>
              <w:bottom w:val="single" w:sz="4" w:space="0" w:color="auto"/>
              <w:right w:val="nil"/>
            </w:tcBorders>
            <w:hideMark/>
          </w:tcPr>
          <w:p w14:paraId="21FBD883" w14:textId="77777777" w:rsidR="009E0C6C" w:rsidRPr="00F5337A" w:rsidRDefault="009E0C6C" w:rsidP="00647D3E">
            <w:pPr>
              <w:pStyle w:val="TblCol0"/>
              <w:rPr>
                <w:rFonts w:ascii="Times New Roman" w:hAnsi="Times New Roman"/>
                <w:sz w:val="20"/>
              </w:rPr>
            </w:pPr>
            <w:r w:rsidRPr="00F5337A">
              <w:rPr>
                <w:rFonts w:ascii="Times New Roman" w:hAnsi="Times New Roman"/>
                <w:sz w:val="20"/>
              </w:rPr>
              <w:t>(5)</w:t>
            </w:r>
          </w:p>
        </w:tc>
      </w:tr>
      <w:tr w:rsidR="0021785A" w:rsidRPr="00731C8B" w14:paraId="510D53C7" w14:textId="77777777" w:rsidTr="007F75FF">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0CB9DC23" w14:textId="6768BDC4" w:rsidR="0021785A" w:rsidRPr="00A75EE4" w:rsidRDefault="00AA128E" w:rsidP="0021785A">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pos</m:t>
                        </m:r>
                      </m:sup>
                    </m:sSubSup>
                  </m:e>
                </m:d>
              </m:oMath>
            </m:oMathPara>
          </w:p>
        </w:tc>
        <w:tc>
          <w:tcPr>
            <w:tcW w:w="1387" w:type="dxa"/>
            <w:tcBorders>
              <w:top w:val="single" w:sz="4" w:space="0" w:color="auto"/>
              <w:left w:val="single" w:sz="4" w:space="0" w:color="BFBFBF" w:themeColor="background1" w:themeShade="BF"/>
              <w:bottom w:val="nil"/>
              <w:right w:val="single" w:sz="4" w:space="0" w:color="BFBFBF" w:themeColor="background1" w:themeShade="BF"/>
            </w:tcBorders>
          </w:tcPr>
          <w:p w14:paraId="513EE695" w14:textId="09D5099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0.273**</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14:paraId="7520C0FC" w14:textId="698FE33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0.287**</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14:paraId="0498821B" w14:textId="2B51E09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0.276**</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14:paraId="69C3F157" w14:textId="46054C9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0.537**</w:t>
            </w:r>
          </w:p>
        </w:tc>
        <w:tc>
          <w:tcPr>
            <w:tcW w:w="1386" w:type="dxa"/>
            <w:tcBorders>
              <w:top w:val="single" w:sz="4" w:space="0" w:color="auto"/>
              <w:left w:val="single" w:sz="4" w:space="0" w:color="BFBFBF" w:themeColor="background1" w:themeShade="BF"/>
              <w:bottom w:val="nil"/>
              <w:right w:val="nil"/>
            </w:tcBorders>
          </w:tcPr>
          <w:p w14:paraId="1D0E84E7" w14:textId="7BF15E1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0.518**</w:t>
            </w:r>
          </w:p>
        </w:tc>
      </w:tr>
      <w:tr w:rsidR="0021785A" w:rsidRPr="00731C8B" w14:paraId="43B87AAB" w14:textId="77777777" w:rsidTr="00F73AAF">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0753EC89"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9A6052F" w14:textId="7EB54AF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(0.124)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121A581" w14:textId="060B75A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(0.127)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2D72000" w14:textId="0FCE771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(0.124)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1F38D8C" w14:textId="12ECB59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(0.223)</w:t>
            </w:r>
          </w:p>
        </w:tc>
        <w:tc>
          <w:tcPr>
            <w:tcW w:w="1386" w:type="dxa"/>
            <w:tcBorders>
              <w:top w:val="nil"/>
              <w:left w:val="single" w:sz="4" w:space="0" w:color="BFBFBF" w:themeColor="background1" w:themeShade="BF"/>
              <w:bottom w:val="single" w:sz="4" w:space="0" w:color="BFBFBF" w:themeColor="background1" w:themeShade="BF"/>
              <w:right w:val="nil"/>
            </w:tcBorders>
          </w:tcPr>
          <w:p w14:paraId="3789FCEA" w14:textId="6299793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(0.219)</w:t>
            </w:r>
          </w:p>
        </w:tc>
      </w:tr>
      <w:tr w:rsidR="0021785A" w:rsidRPr="00731C8B" w14:paraId="4B9532E6" w14:textId="77777777" w:rsidTr="007E65FA">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67933F14" w14:textId="51ADF901" w:rsidR="0021785A" w:rsidRDefault="00AA128E" w:rsidP="0021785A">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neg</m:t>
                        </m:r>
                      </m:sup>
                    </m:sSubSup>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6E7D848" w14:textId="2F15A36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0.0634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760F8DA" w14:textId="52B8E56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0.0633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E37B3F6" w14:textId="74AF9BD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0.0419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9FFCC5D" w14:textId="7AF14F5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0.0546</w:t>
            </w:r>
          </w:p>
        </w:tc>
        <w:tc>
          <w:tcPr>
            <w:tcW w:w="1386" w:type="dxa"/>
            <w:tcBorders>
              <w:top w:val="single" w:sz="4" w:space="0" w:color="BFBFBF" w:themeColor="background1" w:themeShade="BF"/>
              <w:left w:val="single" w:sz="4" w:space="0" w:color="BFBFBF" w:themeColor="background1" w:themeShade="BF"/>
              <w:bottom w:val="nil"/>
              <w:right w:val="nil"/>
            </w:tcBorders>
          </w:tcPr>
          <w:p w14:paraId="6550107B" w14:textId="6048409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0.0279</w:t>
            </w:r>
          </w:p>
        </w:tc>
      </w:tr>
      <w:tr w:rsidR="0021785A" w:rsidRPr="00731C8B" w14:paraId="7E4A4F54" w14:textId="77777777" w:rsidTr="007E65FA">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35CE70D4" w14:textId="77777777" w:rsidR="0021785A" w:rsidRDefault="0021785A" w:rsidP="0021785A">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14:paraId="4BCB5599" w14:textId="6E710A2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(0.126)</w:t>
            </w:r>
          </w:p>
        </w:tc>
        <w:tc>
          <w:tcPr>
            <w:tcW w:w="1386" w:type="dxa"/>
            <w:tcBorders>
              <w:top w:val="nil"/>
              <w:left w:val="single" w:sz="4" w:space="0" w:color="BFBFBF" w:themeColor="background1" w:themeShade="BF"/>
              <w:bottom w:val="nil"/>
              <w:right w:val="single" w:sz="4" w:space="0" w:color="BFBFBF" w:themeColor="background1" w:themeShade="BF"/>
            </w:tcBorders>
          </w:tcPr>
          <w:p w14:paraId="529FAD97" w14:textId="081C5CE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(0.156)</w:t>
            </w:r>
          </w:p>
        </w:tc>
        <w:tc>
          <w:tcPr>
            <w:tcW w:w="1386" w:type="dxa"/>
            <w:tcBorders>
              <w:top w:val="nil"/>
              <w:left w:val="single" w:sz="4" w:space="0" w:color="BFBFBF" w:themeColor="background1" w:themeShade="BF"/>
              <w:bottom w:val="nil"/>
              <w:right w:val="single" w:sz="4" w:space="0" w:color="BFBFBF" w:themeColor="background1" w:themeShade="BF"/>
            </w:tcBorders>
          </w:tcPr>
          <w:p w14:paraId="52D35FFB" w14:textId="6B30A8B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(0.136)</w:t>
            </w:r>
          </w:p>
        </w:tc>
        <w:tc>
          <w:tcPr>
            <w:tcW w:w="1386" w:type="dxa"/>
            <w:tcBorders>
              <w:top w:val="nil"/>
              <w:left w:val="single" w:sz="4" w:space="0" w:color="BFBFBF" w:themeColor="background1" w:themeShade="BF"/>
              <w:bottom w:val="nil"/>
              <w:right w:val="single" w:sz="4" w:space="0" w:color="BFBFBF" w:themeColor="background1" w:themeShade="BF"/>
            </w:tcBorders>
          </w:tcPr>
          <w:p w14:paraId="12161021" w14:textId="43709E7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(0.202)</w:t>
            </w:r>
          </w:p>
        </w:tc>
        <w:tc>
          <w:tcPr>
            <w:tcW w:w="1386" w:type="dxa"/>
            <w:tcBorders>
              <w:top w:val="nil"/>
              <w:left w:val="single" w:sz="4" w:space="0" w:color="BFBFBF" w:themeColor="background1" w:themeShade="BF"/>
              <w:bottom w:val="nil"/>
              <w:right w:val="nil"/>
            </w:tcBorders>
          </w:tcPr>
          <w:p w14:paraId="737583B3" w14:textId="0C33191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(0.173)</w:t>
            </w:r>
          </w:p>
        </w:tc>
      </w:tr>
      <w:tr w:rsidR="0021785A" w:rsidRPr="00731C8B" w14:paraId="765E5748" w14:textId="77777777" w:rsidTr="006B24EA">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1746CDE9" w14:textId="408FE198" w:rsidR="0021785A" w:rsidRPr="00A75EE4" w:rsidRDefault="00AA128E" w:rsidP="0021785A">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defl</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2562AAE" w14:textId="3EAAB2D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0.430**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EB0102F" w14:textId="299E8B2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0.373**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3698CAE"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346AC20" w14:textId="161E868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0.689**</w:t>
            </w:r>
          </w:p>
        </w:tc>
        <w:tc>
          <w:tcPr>
            <w:tcW w:w="1386" w:type="dxa"/>
            <w:tcBorders>
              <w:top w:val="single" w:sz="4" w:space="0" w:color="BFBFBF" w:themeColor="background1" w:themeShade="BF"/>
              <w:left w:val="single" w:sz="4" w:space="0" w:color="BFBFBF" w:themeColor="background1" w:themeShade="BF"/>
              <w:bottom w:val="nil"/>
              <w:right w:val="nil"/>
            </w:tcBorders>
          </w:tcPr>
          <w:p w14:paraId="59463B50" w14:textId="77777777" w:rsidR="0021785A" w:rsidRPr="0021785A" w:rsidRDefault="0021785A" w:rsidP="0021785A">
            <w:pPr>
              <w:widowControl w:val="0"/>
              <w:autoSpaceDE w:val="0"/>
              <w:autoSpaceDN w:val="0"/>
              <w:adjustRightInd w:val="0"/>
              <w:jc w:val="center"/>
              <w:rPr>
                <w:rFonts w:cs="Segoe UI"/>
                <w:sz w:val="18"/>
                <w:szCs w:val="18"/>
              </w:rPr>
            </w:pPr>
          </w:p>
        </w:tc>
      </w:tr>
      <w:tr w:rsidR="0021785A" w:rsidRPr="00731C8B" w14:paraId="37580ECF" w14:textId="77777777" w:rsidTr="007F75FF">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1C476297"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99DF107" w14:textId="48456B3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(0.195)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B347FE5" w14:textId="06279E3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(0.166)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81B52D3"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B45524C" w14:textId="29CA64D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(0.280)</w:t>
            </w:r>
          </w:p>
        </w:tc>
        <w:tc>
          <w:tcPr>
            <w:tcW w:w="1386" w:type="dxa"/>
            <w:tcBorders>
              <w:top w:val="nil"/>
              <w:left w:val="single" w:sz="4" w:space="0" w:color="BFBFBF" w:themeColor="background1" w:themeShade="BF"/>
              <w:bottom w:val="single" w:sz="4" w:space="0" w:color="BFBFBF" w:themeColor="background1" w:themeShade="BF"/>
              <w:right w:val="nil"/>
            </w:tcBorders>
          </w:tcPr>
          <w:p w14:paraId="2D733229" w14:textId="77777777" w:rsidR="0021785A" w:rsidRPr="0021785A" w:rsidRDefault="0021785A" w:rsidP="0021785A">
            <w:pPr>
              <w:widowControl w:val="0"/>
              <w:autoSpaceDE w:val="0"/>
              <w:autoSpaceDN w:val="0"/>
              <w:adjustRightInd w:val="0"/>
              <w:jc w:val="center"/>
              <w:rPr>
                <w:rFonts w:cs="Segoe UI"/>
                <w:sz w:val="18"/>
                <w:szCs w:val="18"/>
              </w:rPr>
            </w:pPr>
          </w:p>
        </w:tc>
      </w:tr>
      <w:tr w:rsidR="0021785A" w:rsidRPr="00731C8B" w14:paraId="1F8DD170" w14:textId="77777777" w:rsidTr="007F75FF">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483CF2B7" w14:textId="0B48A81F" w:rsidR="0021785A" w:rsidRPr="00A75EE4" w:rsidRDefault="00AA128E" w:rsidP="0021785A">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High</m:t>
                    </m:r>
                    <m:r>
                      <m:rPr>
                        <m:sty m:val="p"/>
                      </m:rPr>
                      <w:rPr>
                        <w:rFonts w:ascii="Cambria Math" w:hAnsi="Cambria Math"/>
                        <w:sz w:val="18"/>
                        <w:szCs w:val="18"/>
                        <w:lang w:val="en-US"/>
                      </w:rPr>
                      <m:t xml:space="preserve"> </m:t>
                    </m:r>
                    <m:r>
                      <w:rPr>
                        <w:rFonts w:ascii="Cambria Math" w:hAnsi="Cambria Math"/>
                        <w:sz w:val="18"/>
                        <w:szCs w:val="18"/>
                        <w:lang w:val="en-US"/>
                      </w:rPr>
                      <m:t>infl</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5383650" w14:textId="021DAEB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-0.470*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888811E" w14:textId="73398C8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-0.425*</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7CE1E82" w14:textId="700B0F4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-0.427*</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9754D6C" w14:textId="72C4595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-0.730*</w:t>
            </w:r>
          </w:p>
        </w:tc>
        <w:tc>
          <w:tcPr>
            <w:tcW w:w="1386" w:type="dxa"/>
            <w:tcBorders>
              <w:top w:val="single" w:sz="4" w:space="0" w:color="BFBFBF" w:themeColor="background1" w:themeShade="BF"/>
              <w:left w:val="single" w:sz="4" w:space="0" w:color="BFBFBF" w:themeColor="background1" w:themeShade="BF"/>
              <w:bottom w:val="nil"/>
              <w:right w:val="nil"/>
            </w:tcBorders>
          </w:tcPr>
          <w:p w14:paraId="54280D29" w14:textId="2682D3C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-0.734*</w:t>
            </w:r>
          </w:p>
        </w:tc>
      </w:tr>
      <w:tr w:rsidR="0021785A" w:rsidRPr="00731C8B" w14:paraId="3843F474" w14:textId="77777777" w:rsidTr="007F75FF">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1EA86C9D"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E5B7BFB" w14:textId="3789798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(0.266)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56B027D2" w14:textId="1914AE8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(0.236)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EF482C0" w14:textId="4905C85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(0.243)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548C2F6" w14:textId="411E4AD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(0.408)</w:t>
            </w:r>
          </w:p>
        </w:tc>
        <w:tc>
          <w:tcPr>
            <w:tcW w:w="1386" w:type="dxa"/>
            <w:tcBorders>
              <w:top w:val="nil"/>
              <w:left w:val="single" w:sz="4" w:space="0" w:color="BFBFBF" w:themeColor="background1" w:themeShade="BF"/>
              <w:bottom w:val="single" w:sz="4" w:space="0" w:color="BFBFBF" w:themeColor="background1" w:themeShade="BF"/>
              <w:right w:val="nil"/>
            </w:tcBorders>
          </w:tcPr>
          <w:p w14:paraId="136C2E96" w14:textId="4F80095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(0.419)</w:t>
            </w:r>
          </w:p>
        </w:tc>
      </w:tr>
      <w:tr w:rsidR="0021785A" w:rsidRPr="00731C8B" w14:paraId="205403E9" w14:textId="77777777" w:rsidTr="007F75FF">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2205D651" w14:textId="49F72648" w:rsidR="0021785A" w:rsidRPr="00A75EE4" w:rsidRDefault="00AA128E" w:rsidP="0021785A">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pos</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4FBA28A"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4975C0D" w14:textId="19C7806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0.0248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DB34958" w14:textId="5827590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0.0330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211A103" w14:textId="3ADA6CF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0.0118</w:t>
            </w:r>
          </w:p>
        </w:tc>
        <w:tc>
          <w:tcPr>
            <w:tcW w:w="1386" w:type="dxa"/>
            <w:tcBorders>
              <w:top w:val="single" w:sz="4" w:space="0" w:color="BFBFBF" w:themeColor="background1" w:themeShade="BF"/>
              <w:left w:val="single" w:sz="4" w:space="0" w:color="BFBFBF" w:themeColor="background1" w:themeShade="BF"/>
              <w:bottom w:val="nil"/>
              <w:right w:val="nil"/>
            </w:tcBorders>
          </w:tcPr>
          <w:p w14:paraId="295AED72" w14:textId="154506B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0.0293</w:t>
            </w:r>
          </w:p>
        </w:tc>
      </w:tr>
      <w:tr w:rsidR="0021785A" w:rsidRPr="00731C8B" w14:paraId="7753BC32" w14:textId="77777777" w:rsidTr="007F75FF">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5226BEC9" w14:textId="77777777" w:rsidR="0021785A" w:rsidRPr="00A75EE4" w:rsidRDefault="0021785A" w:rsidP="0021785A">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3720740"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88D011C" w14:textId="735C8B7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(0.0234)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470675E" w14:textId="1279446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(0.0245)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73A2C9C" w14:textId="70C5034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(0.0376)</w:t>
            </w:r>
          </w:p>
        </w:tc>
        <w:tc>
          <w:tcPr>
            <w:tcW w:w="1386" w:type="dxa"/>
            <w:tcBorders>
              <w:top w:val="nil"/>
              <w:left w:val="single" w:sz="4" w:space="0" w:color="BFBFBF" w:themeColor="background1" w:themeShade="BF"/>
              <w:bottom w:val="single" w:sz="4" w:space="0" w:color="BFBFBF" w:themeColor="background1" w:themeShade="BF"/>
              <w:right w:val="nil"/>
            </w:tcBorders>
          </w:tcPr>
          <w:p w14:paraId="4DCE1DA2" w14:textId="398C8AF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(0.0389)</w:t>
            </w:r>
          </w:p>
        </w:tc>
      </w:tr>
      <w:tr w:rsidR="0021785A" w:rsidRPr="00731C8B" w14:paraId="51FE6DEE" w14:textId="77777777" w:rsidTr="00F24679">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72B20C68" w14:textId="19499D18" w:rsidR="0021785A" w:rsidRPr="00A75EE4" w:rsidRDefault="00AA128E" w:rsidP="0021785A">
            <w:pPr>
              <w:pStyle w:val="TableRowHeading"/>
              <w:jc w:val="both"/>
              <w:rPr>
                <w:sz w:val="18"/>
                <w:szCs w:val="18"/>
                <w:lang w:val="en-US"/>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neg</m:t>
                    </m:r>
                  </m:sup>
                </m:sSubSup>
              </m:oMath>
            </m:oMathPara>
          </w:p>
        </w:tc>
        <w:tc>
          <w:tcPr>
            <w:tcW w:w="1387" w:type="dxa"/>
            <w:tcBorders>
              <w:top w:val="nil"/>
              <w:left w:val="single" w:sz="4" w:space="0" w:color="BFBFBF" w:themeColor="background1" w:themeShade="BF"/>
              <w:bottom w:val="nil"/>
              <w:right w:val="single" w:sz="4" w:space="0" w:color="BFBFBF" w:themeColor="background1" w:themeShade="BF"/>
            </w:tcBorders>
          </w:tcPr>
          <w:p w14:paraId="3392F4FB"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nil"/>
              <w:right w:val="single" w:sz="4" w:space="0" w:color="BFBFBF" w:themeColor="background1" w:themeShade="BF"/>
            </w:tcBorders>
          </w:tcPr>
          <w:p w14:paraId="27CD1D1F" w14:textId="5FBBC5F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-0.165**</w:t>
            </w:r>
          </w:p>
        </w:tc>
        <w:tc>
          <w:tcPr>
            <w:tcW w:w="1386" w:type="dxa"/>
            <w:tcBorders>
              <w:top w:val="nil"/>
              <w:left w:val="single" w:sz="4" w:space="0" w:color="BFBFBF" w:themeColor="background1" w:themeShade="BF"/>
              <w:bottom w:val="nil"/>
              <w:right w:val="single" w:sz="4" w:space="0" w:color="BFBFBF" w:themeColor="background1" w:themeShade="BF"/>
            </w:tcBorders>
          </w:tcPr>
          <w:p w14:paraId="02E3033C" w14:textId="41A5D92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-0.189**</w:t>
            </w:r>
          </w:p>
        </w:tc>
        <w:tc>
          <w:tcPr>
            <w:tcW w:w="1386" w:type="dxa"/>
            <w:tcBorders>
              <w:top w:val="nil"/>
              <w:left w:val="single" w:sz="4" w:space="0" w:color="BFBFBF" w:themeColor="background1" w:themeShade="BF"/>
              <w:bottom w:val="nil"/>
              <w:right w:val="single" w:sz="4" w:space="0" w:color="BFBFBF" w:themeColor="background1" w:themeShade="BF"/>
            </w:tcBorders>
          </w:tcPr>
          <w:p w14:paraId="59FFC786" w14:textId="1288EA9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-0.261**</w:t>
            </w:r>
          </w:p>
        </w:tc>
        <w:tc>
          <w:tcPr>
            <w:tcW w:w="1386" w:type="dxa"/>
            <w:tcBorders>
              <w:top w:val="nil"/>
              <w:left w:val="single" w:sz="4" w:space="0" w:color="BFBFBF" w:themeColor="background1" w:themeShade="BF"/>
              <w:bottom w:val="nil"/>
              <w:right w:val="nil"/>
            </w:tcBorders>
          </w:tcPr>
          <w:p w14:paraId="44963866" w14:textId="299C5D8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-0.311**</w:t>
            </w:r>
          </w:p>
        </w:tc>
      </w:tr>
      <w:tr w:rsidR="0021785A" w:rsidRPr="00731C8B" w14:paraId="01A51180" w14:textId="77777777" w:rsidTr="00F24679">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28CC2B3D" w14:textId="77777777" w:rsidR="0021785A" w:rsidRPr="00A75EE4" w:rsidRDefault="0021785A" w:rsidP="0021785A">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BA38C97"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C5556FF" w14:textId="6EBCC02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(0.0660)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0F73BD2" w14:textId="5A23CC1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(0.0751)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7BEB031" w14:textId="2A5A66C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(0.109)</w:t>
            </w:r>
          </w:p>
        </w:tc>
        <w:tc>
          <w:tcPr>
            <w:tcW w:w="1386" w:type="dxa"/>
            <w:tcBorders>
              <w:top w:val="nil"/>
              <w:left w:val="single" w:sz="4" w:space="0" w:color="BFBFBF" w:themeColor="background1" w:themeShade="BF"/>
              <w:bottom w:val="single" w:sz="4" w:space="0" w:color="BFBFBF" w:themeColor="background1" w:themeShade="BF"/>
              <w:right w:val="nil"/>
            </w:tcBorders>
          </w:tcPr>
          <w:p w14:paraId="197A3DE4" w14:textId="6926A06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(0.126)</w:t>
            </w:r>
          </w:p>
        </w:tc>
      </w:tr>
      <w:tr w:rsidR="0021785A" w:rsidRPr="00731C8B" w14:paraId="5B30D2E9" w14:textId="77777777" w:rsidTr="007F75FF">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6267BD07" w14:textId="5DA2BE2F" w:rsidR="0021785A" w:rsidRPr="00A75EE4" w:rsidRDefault="00AA128E" w:rsidP="0021785A">
            <w:pPr>
              <w:pStyle w:val="TableRowHeading"/>
              <w:jc w:val="both"/>
              <w:rPr>
                <w:rFonts w:ascii="Times New Roman" w:eastAsia="Malgun Gothic" w:hAnsi="Times New Roman"/>
                <w:sz w:val="18"/>
                <w:szCs w:val="18"/>
                <w:lang w:eastAsia="ko-KR"/>
              </w:rPr>
            </w:pPr>
            <m:oMathPara>
              <m:oMath>
                <m:sSup>
                  <m:sSupPr>
                    <m:ctrlPr>
                      <w:rPr>
                        <w:rFonts w:ascii="Cambria Math" w:hAnsi="Cambria Math"/>
                        <w:sz w:val="18"/>
                        <w:szCs w:val="18"/>
                        <w:lang w:val="en-US"/>
                      </w:rPr>
                    </m:ctrlPr>
                  </m:sSupPr>
                  <m:e>
                    <m:sSub>
                      <m:sSubPr>
                        <m:ctrlPr>
                          <w:rPr>
                            <w:rFonts w:ascii="Cambria Math" w:hAnsi="Cambria Math"/>
                            <w:sz w:val="18"/>
                            <w:szCs w:val="18"/>
                            <w:lang w:val="en-US"/>
                          </w:rPr>
                        </m:ctrlPr>
                      </m:sSubPr>
                      <m:e>
                        <m:r>
                          <m:rPr>
                            <m:sty m:val="p"/>
                          </m:rPr>
                          <w:rPr>
                            <w:rFonts w:ascii="Cambria Math" w:hAnsi="Cambria Math"/>
                            <w:sz w:val="18"/>
                            <w:szCs w:val="18"/>
                            <w:lang w:val="en-US"/>
                          </w:rPr>
                          <m:t>(</m:t>
                        </m:r>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r>
                      <m:rPr>
                        <m:sty m:val="p"/>
                      </m:rPr>
                      <w:rPr>
                        <w:rFonts w:ascii="Cambria Math" w:eastAsia="Malgun Gothic" w:hAnsi="Cambria Math"/>
                        <w:sz w:val="18"/>
                        <w:szCs w:val="18"/>
                      </w:rPr>
                      <m:t>)</m:t>
                    </m:r>
                  </m:e>
                  <m:sup>
                    <m:r>
                      <m:rPr>
                        <m:sty m:val="p"/>
                      </m:rPr>
                      <w:rPr>
                        <w:rFonts w:ascii="Cambria Math" w:hAnsi="Cambria Math"/>
                        <w:sz w:val="18"/>
                        <w:szCs w:val="18"/>
                        <w:lang w:val="en-US"/>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0CBA0EA"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EE91602" w14:textId="0379E59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-0.00665**</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2EFE453C" w14:textId="3BFE376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-0.00773**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BB2E7F6" w14:textId="577E703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-0.00991*</w:t>
            </w:r>
          </w:p>
        </w:tc>
        <w:tc>
          <w:tcPr>
            <w:tcW w:w="1386" w:type="dxa"/>
            <w:tcBorders>
              <w:top w:val="single" w:sz="4" w:space="0" w:color="BFBFBF" w:themeColor="background1" w:themeShade="BF"/>
              <w:left w:val="single" w:sz="4" w:space="0" w:color="BFBFBF" w:themeColor="background1" w:themeShade="BF"/>
              <w:bottom w:val="nil"/>
              <w:right w:val="nil"/>
            </w:tcBorders>
          </w:tcPr>
          <w:p w14:paraId="4979A80D" w14:textId="2AC5FC8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-0.0123*</w:t>
            </w:r>
          </w:p>
        </w:tc>
      </w:tr>
      <w:tr w:rsidR="0021785A" w:rsidRPr="00731C8B" w14:paraId="2E5EE787" w14:textId="77777777" w:rsidTr="007F75FF">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7B182CD4" w14:textId="77777777" w:rsidR="0021785A" w:rsidRPr="00A75EE4" w:rsidRDefault="0021785A" w:rsidP="0021785A">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97CA857"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E52FE06" w14:textId="2E5A54A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(0.00326)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0E82604" w14:textId="5C3A310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(0.00365)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507286A" w14:textId="0C4CAD2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(0.00563)</w:t>
            </w:r>
          </w:p>
        </w:tc>
        <w:tc>
          <w:tcPr>
            <w:tcW w:w="1386" w:type="dxa"/>
            <w:tcBorders>
              <w:top w:val="nil"/>
              <w:left w:val="single" w:sz="4" w:space="0" w:color="BFBFBF" w:themeColor="background1" w:themeShade="BF"/>
              <w:bottom w:val="single" w:sz="4" w:space="0" w:color="BFBFBF" w:themeColor="background1" w:themeShade="BF"/>
              <w:right w:val="nil"/>
            </w:tcBorders>
          </w:tcPr>
          <w:p w14:paraId="5EA656DB" w14:textId="1D872CB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(0.00649)</w:t>
            </w:r>
          </w:p>
        </w:tc>
      </w:tr>
      <w:tr w:rsidR="0021785A" w:rsidRPr="00731C8B" w14:paraId="263AC9A5" w14:textId="77777777" w:rsidTr="007F75FF">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09E4E2F7" w14:textId="54E406EF" w:rsidR="0021785A" w:rsidRPr="00A75EE4" w:rsidRDefault="00AA128E" w:rsidP="0021785A">
            <w:pPr>
              <w:pStyle w:val="TableRowHeading"/>
              <w:jc w:val="both"/>
              <w:rPr>
                <w:rFonts w:ascii="Times New Roman" w:eastAsia="Calibri" w:hAnsi="Times New Roman"/>
                <w:sz w:val="18"/>
                <w:szCs w:val="18"/>
              </w:rPr>
            </w:pPr>
            <m:oMathPara>
              <m:oMath>
                <m:sSubSup>
                  <m:sSubSupPr>
                    <m:ctrlPr>
                      <w:rPr>
                        <w:rFonts w:ascii="Cambria Math" w:hAnsi="Cambria Math"/>
                        <w:sz w:val="18"/>
                        <w:szCs w:val="18"/>
                      </w:rPr>
                    </m:ctrlPr>
                  </m:sSubSupPr>
                  <m:e>
                    <m:r>
                      <w:rPr>
                        <w:rFonts w:ascii="Cambria Math" w:hAnsi="Cambria Math"/>
                        <w:sz w:val="18"/>
                        <w:szCs w:val="18"/>
                        <w:lang w:val="en-US"/>
                      </w:rPr>
                      <m:t>y</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gap</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2CE3C4B2" w14:textId="65AA779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-0.0560**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8FDA586" w14:textId="5A76200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-0.0590***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5C3DCBE" w14:textId="433CE78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-0.0610***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5F867C5" w14:textId="7C05818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-0.119***</w:t>
            </w:r>
          </w:p>
        </w:tc>
        <w:tc>
          <w:tcPr>
            <w:tcW w:w="1386" w:type="dxa"/>
            <w:tcBorders>
              <w:top w:val="single" w:sz="4" w:space="0" w:color="BFBFBF" w:themeColor="background1" w:themeShade="BF"/>
              <w:left w:val="single" w:sz="4" w:space="0" w:color="BFBFBF" w:themeColor="background1" w:themeShade="BF"/>
              <w:bottom w:val="nil"/>
              <w:right w:val="nil"/>
            </w:tcBorders>
          </w:tcPr>
          <w:p w14:paraId="55B1EF6B" w14:textId="0E55A14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-0.123***</w:t>
            </w:r>
          </w:p>
        </w:tc>
      </w:tr>
      <w:tr w:rsidR="0021785A" w:rsidRPr="00731C8B" w14:paraId="1A1DECE2" w14:textId="77777777" w:rsidTr="007F75FF">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38567664"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8089DB0" w14:textId="28626DC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(0.0211)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D964E18" w14:textId="119905B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(0.0202)</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A3EAA6F" w14:textId="6EA8618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(0.0208)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511D5B9C" w14:textId="0699586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(0.0367)</w:t>
            </w:r>
          </w:p>
        </w:tc>
        <w:tc>
          <w:tcPr>
            <w:tcW w:w="1386" w:type="dxa"/>
            <w:tcBorders>
              <w:top w:val="nil"/>
              <w:left w:val="single" w:sz="4" w:space="0" w:color="BFBFBF" w:themeColor="background1" w:themeShade="BF"/>
              <w:bottom w:val="single" w:sz="4" w:space="0" w:color="BFBFBF" w:themeColor="background1" w:themeShade="BF"/>
              <w:right w:val="nil"/>
            </w:tcBorders>
          </w:tcPr>
          <w:p w14:paraId="6E50501A" w14:textId="1B8CC74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(0.0377)</w:t>
            </w:r>
          </w:p>
        </w:tc>
      </w:tr>
      <w:tr w:rsidR="0021785A" w:rsidRPr="00731C8B" w14:paraId="4E330654" w14:textId="77777777" w:rsidTr="007F75FF">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09156243" w14:textId="3024B0CF" w:rsidR="0021785A" w:rsidRPr="00A75EE4" w:rsidRDefault="0021785A" w:rsidP="0021785A">
            <w:pPr>
              <w:pStyle w:val="TableRowHeading"/>
              <w:jc w:val="both"/>
              <w:rPr>
                <w:rFonts w:ascii="Times New Roman" w:eastAsia="Calibri" w:hAnsi="Times New Roman"/>
                <w:sz w:val="18"/>
                <w:szCs w:val="18"/>
              </w:rPr>
            </w:pPr>
            <m:oMathPara>
              <m:oMath>
                <m:r>
                  <w:rPr>
                    <w:rFonts w:ascii="Cambria Math" w:hAnsi="Cambria Math"/>
                    <w:sz w:val="18"/>
                    <w:szCs w:val="18"/>
                  </w:rPr>
                  <m:t>abs</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46754BF" w14:textId="7752F02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0.113*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B2AE3E6" w14:textId="4F3CE54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0.0791*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775D775" w14:textId="224B71A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0.0784*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ED7625F" w14:textId="5F30E28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0.0674</w:t>
            </w:r>
          </w:p>
        </w:tc>
        <w:tc>
          <w:tcPr>
            <w:tcW w:w="1386" w:type="dxa"/>
            <w:tcBorders>
              <w:top w:val="single" w:sz="4" w:space="0" w:color="BFBFBF" w:themeColor="background1" w:themeShade="BF"/>
              <w:left w:val="single" w:sz="4" w:space="0" w:color="BFBFBF" w:themeColor="background1" w:themeShade="BF"/>
              <w:bottom w:val="nil"/>
              <w:right w:val="nil"/>
            </w:tcBorders>
          </w:tcPr>
          <w:p w14:paraId="47E59933" w14:textId="47A7560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0.0648</w:t>
            </w:r>
          </w:p>
        </w:tc>
      </w:tr>
      <w:tr w:rsidR="0021785A" w:rsidRPr="00731C8B" w14:paraId="3F733D7F" w14:textId="77777777" w:rsidTr="009D19BD">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1686A553" w14:textId="77777777" w:rsidR="0021785A" w:rsidRPr="00A75EE4" w:rsidRDefault="0021785A" w:rsidP="0021785A">
            <w:pPr>
              <w:pStyle w:val="TableRowHeading"/>
              <w:jc w:val="both"/>
              <w:rPr>
                <w:iCs/>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6812EB4" w14:textId="778585C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(0.0640)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4E98927" w14:textId="5337D9A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(0.0446)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E3F8E3B" w14:textId="1F0C02C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(0.0457)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740714F" w14:textId="2CBFD36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(0.0740)</w:t>
            </w:r>
          </w:p>
        </w:tc>
        <w:tc>
          <w:tcPr>
            <w:tcW w:w="1386" w:type="dxa"/>
            <w:tcBorders>
              <w:top w:val="nil"/>
              <w:left w:val="single" w:sz="4" w:space="0" w:color="BFBFBF" w:themeColor="background1" w:themeShade="BF"/>
              <w:bottom w:val="single" w:sz="4" w:space="0" w:color="BFBFBF" w:themeColor="background1" w:themeShade="BF"/>
              <w:right w:val="nil"/>
            </w:tcBorders>
          </w:tcPr>
          <w:p w14:paraId="1E47B18D" w14:textId="50E83B9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(0.0763)</w:t>
            </w:r>
          </w:p>
        </w:tc>
      </w:tr>
      <w:tr w:rsidR="0021785A" w:rsidRPr="00731C8B" w14:paraId="3E8C9C7E" w14:textId="77777777" w:rsidTr="009D19BD">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430B11B8" w14:textId="2D13641F" w:rsidR="0021785A" w:rsidRPr="00A75EE4" w:rsidRDefault="00AA128E" w:rsidP="0021785A">
            <w:pPr>
              <w:pStyle w:val="TableRowHeading"/>
              <w:jc w:val="both"/>
              <w:rPr>
                <w:rFonts w:ascii="Times New Roman" w:eastAsia="Calibri" w:hAnsi="Times New Roman"/>
                <w:sz w:val="18"/>
                <w:szCs w:val="18"/>
              </w:rPr>
            </w:pPr>
            <m:oMathPara>
              <m:oMath>
                <m:sSup>
                  <m:sSupPr>
                    <m:ctrlPr>
                      <w:rPr>
                        <w:rFonts w:ascii="Cambria Math" w:hAnsi="Cambria Math"/>
                        <w:sz w:val="18"/>
                        <w:szCs w:val="18"/>
                      </w:rPr>
                    </m:ctrlPr>
                  </m:sSupPr>
                  <m:e>
                    <m:d>
                      <m:dPr>
                        <m:begChr m:val=""/>
                        <m:endChr m:val=""/>
                        <m:ctrlPr>
                          <w:rPr>
                            <w:rFonts w:ascii="Cambria Math" w:hAnsi="Cambria Math"/>
                            <w:sz w:val="18"/>
                            <w:szCs w:val="18"/>
                          </w:rPr>
                        </m:ctrlPr>
                      </m:dPr>
                      <m:e>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e>
                    </m:d>
                  </m:e>
                  <m:sup>
                    <m:r>
                      <m:rPr>
                        <m:sty m:val="p"/>
                      </m:rPr>
                      <w:rPr>
                        <w:rFonts w:ascii="Cambria Math" w:hAnsi="Cambria Math"/>
                        <w:sz w:val="18"/>
                        <w:szCs w:val="18"/>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AB39EDB" w14:textId="278DD85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-0.00929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7E1F752" w14:textId="33CFBDF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-0.00771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2D9F4BC" w14:textId="194CE41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-0.00733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E8E9228" w14:textId="1718059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0.0237</w:t>
            </w:r>
          </w:p>
        </w:tc>
        <w:tc>
          <w:tcPr>
            <w:tcW w:w="1386" w:type="dxa"/>
            <w:tcBorders>
              <w:top w:val="single" w:sz="4" w:space="0" w:color="BFBFBF" w:themeColor="background1" w:themeShade="BF"/>
              <w:left w:val="single" w:sz="4" w:space="0" w:color="BFBFBF" w:themeColor="background1" w:themeShade="BF"/>
              <w:bottom w:val="nil"/>
              <w:right w:val="nil"/>
            </w:tcBorders>
          </w:tcPr>
          <w:p w14:paraId="6E89FBC5" w14:textId="2BA94A8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0.0252</w:t>
            </w:r>
          </w:p>
        </w:tc>
      </w:tr>
      <w:tr w:rsidR="0021785A" w:rsidRPr="00731C8B" w14:paraId="43946BBA" w14:textId="77777777" w:rsidTr="009D19BD">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335C6537"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AA3C7D8" w14:textId="4209930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(0.0134)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83693A4" w14:textId="003BC46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(0.0103)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0CAE340" w14:textId="54AE8D3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(0.0100)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27D0502" w14:textId="2C76E28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(0.0283)</w:t>
            </w:r>
          </w:p>
        </w:tc>
        <w:tc>
          <w:tcPr>
            <w:tcW w:w="1386" w:type="dxa"/>
            <w:tcBorders>
              <w:top w:val="nil"/>
              <w:left w:val="single" w:sz="4" w:space="0" w:color="BFBFBF" w:themeColor="background1" w:themeShade="BF"/>
              <w:bottom w:val="single" w:sz="4" w:space="0" w:color="BFBFBF" w:themeColor="background1" w:themeShade="BF"/>
              <w:right w:val="nil"/>
            </w:tcBorders>
          </w:tcPr>
          <w:p w14:paraId="71361A1B" w14:textId="7E304E0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(0.0278)</w:t>
            </w:r>
          </w:p>
        </w:tc>
      </w:tr>
      <w:tr w:rsidR="0021785A" w:rsidRPr="00731C8B" w14:paraId="163819AA" w14:textId="77777777" w:rsidTr="009D19BD">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2FF5AA65" w14:textId="56F504EA" w:rsidR="0021785A" w:rsidRPr="00A75EE4" w:rsidRDefault="0021785A" w:rsidP="0021785A">
            <w:pPr>
              <w:pStyle w:val="TableRowHeading"/>
              <w:jc w:val="both"/>
              <w:rPr>
                <w:rFonts w:ascii="Times New Roman" w:eastAsia="Calibri" w:hAnsi="Times New Roman"/>
                <w:sz w:val="18"/>
                <w:szCs w:val="18"/>
              </w:rPr>
            </w:pPr>
            <m:oMathPara>
              <m:oMath>
                <m:r>
                  <w:rPr>
                    <w:rFonts w:ascii="Cambria Math" w:hAnsi="Cambria Math"/>
                    <w:sz w:val="18"/>
                    <w:szCs w:val="18"/>
                  </w:rPr>
                  <m:t>abs</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Δneer</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E96A6C6" w14:textId="1225567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4.247***</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4890212" w14:textId="50B1BB6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3.603**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7216E64" w14:textId="3D77FD0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3.806**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894C3EC" w14:textId="2B399CC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10.66***</w:t>
            </w:r>
          </w:p>
        </w:tc>
        <w:tc>
          <w:tcPr>
            <w:tcW w:w="1386" w:type="dxa"/>
            <w:tcBorders>
              <w:top w:val="single" w:sz="4" w:space="0" w:color="BFBFBF" w:themeColor="background1" w:themeShade="BF"/>
              <w:left w:val="single" w:sz="4" w:space="0" w:color="BFBFBF" w:themeColor="background1" w:themeShade="BF"/>
              <w:bottom w:val="nil"/>
              <w:right w:val="nil"/>
            </w:tcBorders>
          </w:tcPr>
          <w:p w14:paraId="2E2D2D85" w14:textId="11F6683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11.05***</w:t>
            </w:r>
          </w:p>
        </w:tc>
      </w:tr>
      <w:tr w:rsidR="0021785A" w:rsidRPr="00731C8B" w14:paraId="62E75890" w14:textId="77777777" w:rsidTr="009D19BD">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013D5A24" w14:textId="77777777" w:rsidR="0021785A" w:rsidRPr="00A75EE4" w:rsidRDefault="0021785A" w:rsidP="0021785A">
            <w:pPr>
              <w:pStyle w:val="TableRowHeading"/>
              <w:jc w:val="both"/>
              <w:rPr>
                <w:iCs/>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9B7C037" w14:textId="5522C6F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(1.557)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955CD1C" w14:textId="29FDF05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(1.739)</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BAA62F5" w14:textId="3D1C2E2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(1.610)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2A3208B" w14:textId="38896FB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(2.376)</w:t>
            </w:r>
          </w:p>
        </w:tc>
        <w:tc>
          <w:tcPr>
            <w:tcW w:w="1386" w:type="dxa"/>
            <w:tcBorders>
              <w:top w:val="nil"/>
              <w:left w:val="single" w:sz="4" w:space="0" w:color="BFBFBF" w:themeColor="background1" w:themeShade="BF"/>
              <w:bottom w:val="single" w:sz="4" w:space="0" w:color="BFBFBF" w:themeColor="background1" w:themeShade="BF"/>
              <w:right w:val="nil"/>
            </w:tcBorders>
          </w:tcPr>
          <w:p w14:paraId="172433E3" w14:textId="2474715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(2.523)</w:t>
            </w:r>
          </w:p>
        </w:tc>
      </w:tr>
      <w:tr w:rsidR="0021785A" w:rsidRPr="00731C8B" w14:paraId="2F383253" w14:textId="77777777" w:rsidTr="009D19BD">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603D88FE" w14:textId="3FE1AE47" w:rsidR="0021785A" w:rsidRPr="00A75EE4" w:rsidRDefault="00AA128E" w:rsidP="0021785A">
            <w:pPr>
              <w:pStyle w:val="TableRowHeading"/>
              <w:jc w:val="both"/>
              <w:rPr>
                <w:rFonts w:ascii="Times New Roman" w:eastAsia="Calibri" w:hAnsi="Times New Roman"/>
                <w:sz w:val="18"/>
                <w:szCs w:val="18"/>
              </w:rPr>
            </w:pPr>
            <m:oMathPara>
              <m:oMath>
                <m:d>
                  <m:dPr>
                    <m:begChr m:val=""/>
                    <m:endChr m:val=""/>
                    <m:ctrlPr>
                      <w:rPr>
                        <w:rFonts w:ascii="Cambria Math" w:hAnsi="Cambria Math"/>
                        <w:sz w:val="18"/>
                        <w:szCs w:val="18"/>
                      </w:rPr>
                    </m:ctrlPr>
                  </m:dPr>
                  <m:e>
                    <m:d>
                      <m:dPr>
                        <m:begChr m:val=""/>
                        <m:endChr m:val=""/>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i</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3BD5BB4" w14:textId="3FD22D2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0.0422*</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273E3A8" w14:textId="1090A84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0.0444*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2F160A6" w14:textId="7DEF715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0.0458*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115981F" w14:textId="4DE14A3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0.0913*</w:t>
            </w:r>
          </w:p>
        </w:tc>
        <w:tc>
          <w:tcPr>
            <w:tcW w:w="1386" w:type="dxa"/>
            <w:tcBorders>
              <w:top w:val="single" w:sz="4" w:space="0" w:color="BFBFBF" w:themeColor="background1" w:themeShade="BF"/>
              <w:left w:val="single" w:sz="4" w:space="0" w:color="BFBFBF" w:themeColor="background1" w:themeShade="BF"/>
              <w:bottom w:val="nil"/>
              <w:right w:val="nil"/>
            </w:tcBorders>
          </w:tcPr>
          <w:p w14:paraId="6479C99B" w14:textId="267BE4B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0.0940*</w:t>
            </w:r>
          </w:p>
        </w:tc>
      </w:tr>
      <w:tr w:rsidR="0021785A" w:rsidRPr="00731C8B" w14:paraId="25265794" w14:textId="77777777" w:rsidTr="009D19BD">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19EF6D07"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13654FA" w14:textId="5812FDE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(0.0216)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C66AD78" w14:textId="2303FAF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(0.0222)</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A19CCB4" w14:textId="5732408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(0.0233)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ACEF5D4" w14:textId="3E58419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(0.0465)</w:t>
            </w:r>
          </w:p>
        </w:tc>
        <w:tc>
          <w:tcPr>
            <w:tcW w:w="1386" w:type="dxa"/>
            <w:tcBorders>
              <w:top w:val="nil"/>
              <w:left w:val="single" w:sz="4" w:space="0" w:color="BFBFBF" w:themeColor="background1" w:themeShade="BF"/>
              <w:bottom w:val="single" w:sz="4" w:space="0" w:color="BFBFBF" w:themeColor="background1" w:themeShade="BF"/>
              <w:right w:val="nil"/>
            </w:tcBorders>
          </w:tcPr>
          <w:p w14:paraId="40B970BA" w14:textId="2CF72B6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(0.0485)</w:t>
            </w:r>
          </w:p>
        </w:tc>
      </w:tr>
      <w:tr w:rsidR="0021785A" w:rsidRPr="00731C8B" w14:paraId="7D8B7664" w14:textId="77777777" w:rsidTr="009D19BD">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4AFA9198" w14:textId="07E01425" w:rsidR="0021785A" w:rsidRPr="00A75EE4" w:rsidRDefault="00AA128E" w:rsidP="0021785A">
            <w:pPr>
              <w:pStyle w:val="TableRowHeading"/>
              <w:jc w:val="both"/>
              <w:rPr>
                <w:rFonts w:ascii="Times New Roman" w:eastAsia="Calibri" w:hAnsi="Times New Roman"/>
                <w:sz w:val="18"/>
                <w:szCs w:val="18"/>
              </w:rPr>
            </w:pPr>
            <m:oMathPara>
              <m:oMath>
                <m:sSup>
                  <m:sSupPr>
                    <m:ctrlPr>
                      <w:rPr>
                        <w:rFonts w:ascii="Cambria Math" w:hAnsi="Cambria Math"/>
                        <w:sz w:val="18"/>
                        <w:szCs w:val="18"/>
                      </w:rPr>
                    </m:ctrlPr>
                  </m:sSupPr>
                  <m:e>
                    <m:sSub>
                      <m:sSubPr>
                        <m:ctrlPr>
                          <w:rPr>
                            <w:rFonts w:ascii="Cambria Math" w:hAnsi="Cambria Math"/>
                            <w:sz w:val="18"/>
                            <w:szCs w:val="18"/>
                          </w:rPr>
                        </m:ctrlPr>
                      </m:sSubPr>
                      <m:e>
                        <m:r>
                          <m:rPr>
                            <m:sty m:val="p"/>
                          </m:rPr>
                          <w:rPr>
                            <w:rFonts w:ascii="Cambria Math" w:hAnsi="Cambria Math"/>
                            <w:sz w:val="18"/>
                            <w:szCs w:val="18"/>
                            <w:lang w:val="en-US"/>
                          </w:rPr>
                          <m:t>(Δ</m:t>
                        </m:r>
                        <m:r>
                          <w:rPr>
                            <w:rFonts w:ascii="Cambria Math" w:hAnsi="Cambria Math"/>
                            <w:sz w:val="18"/>
                            <w:szCs w:val="18"/>
                            <w:lang w:val="en-US"/>
                          </w:rPr>
                          <m:t>i</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r>
                      <m:rPr>
                        <m:sty m:val="p"/>
                      </m:rPr>
                      <w:rPr>
                        <w:rFonts w:ascii="Cambria Math" w:hAnsi="Cambria Math"/>
                        <w:sz w:val="18"/>
                        <w:szCs w:val="18"/>
                      </w:rPr>
                      <m:t>)</m:t>
                    </m:r>
                  </m:e>
                  <m:sup>
                    <m:r>
                      <m:rPr>
                        <m:sty m:val="p"/>
                      </m:rPr>
                      <w:rPr>
                        <w:rFonts w:ascii="Cambria Math" w:hAnsi="Cambria Math"/>
                        <w:sz w:val="18"/>
                        <w:szCs w:val="18"/>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9B06357" w14:textId="284AA74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7.23e-06***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EDFC264" w14:textId="7313B1F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5.80e-06**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9316299" w14:textId="6E609E3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6.28e-06**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6A0737A" w14:textId="78425F1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1.16e-05**</w:t>
            </w:r>
          </w:p>
        </w:tc>
        <w:tc>
          <w:tcPr>
            <w:tcW w:w="1386" w:type="dxa"/>
            <w:tcBorders>
              <w:top w:val="single" w:sz="4" w:space="0" w:color="BFBFBF" w:themeColor="background1" w:themeShade="BF"/>
              <w:left w:val="single" w:sz="4" w:space="0" w:color="BFBFBF" w:themeColor="background1" w:themeShade="BF"/>
              <w:bottom w:val="nil"/>
              <w:right w:val="nil"/>
            </w:tcBorders>
          </w:tcPr>
          <w:p w14:paraId="047AFEBE" w14:textId="3945622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1.26e-05**</w:t>
            </w:r>
          </w:p>
        </w:tc>
      </w:tr>
      <w:tr w:rsidR="0021785A" w:rsidRPr="00731C8B" w14:paraId="3EB1B7B8" w14:textId="77777777" w:rsidTr="00DF2FFC">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6A49E372"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FA775D7" w14:textId="12A849B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(2.61e-06)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6608263" w14:textId="1EE7DA8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(2.34e-06)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F76DC2A" w14:textId="00253F2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(2.51e-06)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DE92D0C" w14:textId="653EE48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(4.48e-06)</w:t>
            </w:r>
          </w:p>
        </w:tc>
        <w:tc>
          <w:tcPr>
            <w:tcW w:w="1386" w:type="dxa"/>
            <w:tcBorders>
              <w:top w:val="nil"/>
              <w:left w:val="single" w:sz="4" w:space="0" w:color="BFBFBF" w:themeColor="background1" w:themeShade="BF"/>
              <w:bottom w:val="single" w:sz="4" w:space="0" w:color="BFBFBF" w:themeColor="background1" w:themeShade="BF"/>
              <w:right w:val="nil"/>
            </w:tcBorders>
          </w:tcPr>
          <w:p w14:paraId="4571ED84" w14:textId="62EC50C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(4.83e-06)</w:t>
            </w:r>
          </w:p>
        </w:tc>
      </w:tr>
      <w:tr w:rsidR="0021785A" w:rsidRPr="00731C8B" w14:paraId="3D72C36A" w14:textId="77777777" w:rsidTr="00DF2FFC">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42E1F4B8" w14:textId="32CBDF9C" w:rsidR="0021785A" w:rsidRDefault="00AA128E" w:rsidP="0021785A">
            <w:pPr>
              <w:pStyle w:val="TableRowHeading"/>
              <w:jc w:val="both"/>
              <w:rPr>
                <w:sz w:val="18"/>
                <w:szCs w:val="18"/>
              </w:rPr>
            </w:pPr>
            <m:oMathPara>
              <m:oMath>
                <m:sSub>
                  <m:sSubPr>
                    <m:ctrlPr>
                      <w:rPr>
                        <w:rFonts w:ascii="Cambria Math" w:hAnsi="Cambria Math"/>
                        <w:i/>
                        <w:sz w:val="18"/>
                        <w:szCs w:val="18"/>
                        <w:lang w:val="en-US"/>
                      </w:rPr>
                    </m:ctrlPr>
                  </m:sSubPr>
                  <m:e>
                    <m:r>
                      <w:rPr>
                        <w:rFonts w:ascii="Cambria Math" w:hAnsi="Cambria Math"/>
                        <w:sz w:val="18"/>
                        <w:szCs w:val="18"/>
                        <w:lang w:val="en-US"/>
                      </w:rPr>
                      <m:t>recession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1761FBE" w14:textId="4C072E9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5.13e-05</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BACA140" w14:textId="1229447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-0.00759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8B2FD61" w14:textId="1F0522D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-0.00740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5AF1FA5" w14:textId="4675FD5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-0.0152</w:t>
            </w:r>
          </w:p>
        </w:tc>
        <w:tc>
          <w:tcPr>
            <w:tcW w:w="1386" w:type="dxa"/>
            <w:tcBorders>
              <w:top w:val="single" w:sz="4" w:space="0" w:color="BFBFBF" w:themeColor="background1" w:themeShade="BF"/>
              <w:left w:val="single" w:sz="4" w:space="0" w:color="BFBFBF" w:themeColor="background1" w:themeShade="BF"/>
              <w:bottom w:val="nil"/>
              <w:right w:val="nil"/>
            </w:tcBorders>
          </w:tcPr>
          <w:p w14:paraId="3A5DD9A1" w14:textId="2B00CD1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-0.0139</w:t>
            </w:r>
          </w:p>
        </w:tc>
      </w:tr>
      <w:tr w:rsidR="0021785A" w:rsidRPr="00731C8B" w14:paraId="60932F79" w14:textId="77777777" w:rsidTr="00DF2FFC">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76BF8FBF" w14:textId="77777777" w:rsidR="0021785A" w:rsidRDefault="0021785A" w:rsidP="0021785A">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14:paraId="2DFA9537" w14:textId="374DDF0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(0.0293)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13B1828" w14:textId="6A4A133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(0.0281)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531A5A59" w14:textId="05C0304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(0.0288)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508DB6E" w14:textId="7FDCCF4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(0.0573)</w:t>
            </w:r>
          </w:p>
        </w:tc>
        <w:tc>
          <w:tcPr>
            <w:tcW w:w="1386" w:type="dxa"/>
            <w:tcBorders>
              <w:top w:val="nil"/>
              <w:left w:val="single" w:sz="4" w:space="0" w:color="BFBFBF" w:themeColor="background1" w:themeShade="BF"/>
              <w:bottom w:val="single" w:sz="4" w:space="0" w:color="BFBFBF" w:themeColor="background1" w:themeShade="BF"/>
              <w:right w:val="nil"/>
            </w:tcBorders>
          </w:tcPr>
          <w:p w14:paraId="2FD6DAC3" w14:textId="78FA84F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(0.0586)</w:t>
            </w:r>
          </w:p>
        </w:tc>
      </w:tr>
      <w:tr w:rsidR="0021785A" w:rsidRPr="00731C8B" w14:paraId="72E25870" w14:textId="77777777" w:rsidTr="00DF2FFC">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09911D7C" w14:textId="1C0B39C0" w:rsidR="0021785A" w:rsidRDefault="00AA128E" w:rsidP="0021785A">
            <w:pPr>
              <w:pStyle w:val="TableRowHeading"/>
              <w:jc w:val="both"/>
              <w:rPr>
                <w:sz w:val="18"/>
                <w:szCs w:val="18"/>
              </w:rPr>
            </w:pPr>
            <m:oMathPara>
              <m:oMath>
                <m:sSub>
                  <m:sSubPr>
                    <m:ctrlPr>
                      <w:rPr>
                        <w:rFonts w:ascii="Cambria Math" w:hAnsi="Cambria Math"/>
                        <w:i/>
                        <w:sz w:val="18"/>
                        <w:szCs w:val="18"/>
                        <w:lang w:val="en-US"/>
                      </w:rPr>
                    </m:ctrlPr>
                  </m:sSubPr>
                  <m:e>
                    <m:r>
                      <w:rPr>
                        <w:rFonts w:ascii="Cambria Math" w:hAnsi="Cambria Math"/>
                        <w:sz w:val="18"/>
                        <w:szCs w:val="18"/>
                        <w:lang w:val="en-US"/>
                      </w:rPr>
                      <m:t>mp_contraction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F24E070" w14:textId="62DCDD6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0.0432</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4C2D99D" w14:textId="45BDCA4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-0.0531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22234D54" w14:textId="04E5811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-0.0525</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F5A5B91" w14:textId="5AB5B10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-0.105</w:t>
            </w:r>
          </w:p>
        </w:tc>
        <w:tc>
          <w:tcPr>
            <w:tcW w:w="1386" w:type="dxa"/>
            <w:tcBorders>
              <w:top w:val="single" w:sz="4" w:space="0" w:color="BFBFBF" w:themeColor="background1" w:themeShade="BF"/>
              <w:left w:val="single" w:sz="4" w:space="0" w:color="BFBFBF" w:themeColor="background1" w:themeShade="BF"/>
              <w:bottom w:val="nil"/>
              <w:right w:val="nil"/>
            </w:tcBorders>
          </w:tcPr>
          <w:p w14:paraId="0877B188" w14:textId="04F898E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-0.107</w:t>
            </w:r>
          </w:p>
        </w:tc>
      </w:tr>
      <w:tr w:rsidR="0021785A" w:rsidRPr="00731C8B" w14:paraId="5AA0AE00" w14:textId="77777777" w:rsidTr="00DF2FFC">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7067BD11" w14:textId="77777777" w:rsidR="0021785A" w:rsidRDefault="0021785A" w:rsidP="0021785A">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14:paraId="56CD2318" w14:textId="3618C83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(0.0304)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6C83B8B" w14:textId="00B5A13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(0.0487)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AA10596" w14:textId="7F6F500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(0.0457)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E6006E9" w14:textId="07E83B3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(0.0953)</w:t>
            </w:r>
          </w:p>
        </w:tc>
        <w:tc>
          <w:tcPr>
            <w:tcW w:w="1386" w:type="dxa"/>
            <w:tcBorders>
              <w:top w:val="nil"/>
              <w:left w:val="single" w:sz="4" w:space="0" w:color="BFBFBF" w:themeColor="background1" w:themeShade="BF"/>
              <w:bottom w:val="single" w:sz="4" w:space="0" w:color="BFBFBF" w:themeColor="background1" w:themeShade="BF"/>
              <w:right w:val="nil"/>
            </w:tcBorders>
          </w:tcPr>
          <w:p w14:paraId="34F5F40F" w14:textId="302ABB8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(0.0929)</w:t>
            </w:r>
          </w:p>
        </w:tc>
      </w:tr>
      <w:tr w:rsidR="0021785A" w:rsidRPr="00731C8B" w14:paraId="120BBE2B" w14:textId="77777777" w:rsidTr="00DF2FFC">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61402BEF" w14:textId="78C458ED" w:rsidR="0021785A" w:rsidRPr="00A75EE4" w:rsidRDefault="00AA128E" w:rsidP="0021785A">
            <w:pPr>
              <w:pStyle w:val="TableRowHeading"/>
              <w:jc w:val="both"/>
              <w:rPr>
                <w:sz w:val="18"/>
                <w:szCs w:val="18"/>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defl</m:t>
                    </m:r>
                    <m:r>
                      <m:rPr>
                        <m:sty m:val="p"/>
                      </m:rPr>
                      <w:rPr>
                        <w:rFonts w:ascii="Cambria Math" w:hAnsi="Cambria Math"/>
                        <w:sz w:val="18"/>
                        <w:szCs w:val="18"/>
                        <w:lang w:val="en-US"/>
                      </w:rPr>
                      <m:t xml:space="preserve"> </m:t>
                    </m:r>
                    <m:r>
                      <w:rPr>
                        <w:rFonts w:ascii="Cambria Math" w:hAnsi="Cambria Math"/>
                        <w:sz w:val="18"/>
                        <w:szCs w:val="18"/>
                        <w:lang w:val="en-US"/>
                      </w:rPr>
                      <m:t>long</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5E26C47"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A60D4AF"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FCBFED6" w14:textId="1BE9FAD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0.334**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FFC399A"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nil"/>
            </w:tcBorders>
          </w:tcPr>
          <w:p w14:paraId="5A3A84F6" w14:textId="775E330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0.641**</w:t>
            </w:r>
          </w:p>
        </w:tc>
      </w:tr>
      <w:tr w:rsidR="0021785A" w:rsidRPr="00731C8B" w14:paraId="34B8794D" w14:textId="77777777" w:rsidTr="009D19BD">
        <w:trPr>
          <w:cantSplit/>
          <w:trHeight w:val="20"/>
        </w:trPr>
        <w:tc>
          <w:tcPr>
            <w:tcW w:w="2311" w:type="dxa"/>
            <w:vMerge/>
            <w:tcBorders>
              <w:left w:val="nil"/>
              <w:bottom w:val="single" w:sz="4" w:space="0" w:color="auto"/>
              <w:right w:val="single" w:sz="4" w:space="0" w:color="BFBFBF" w:themeColor="background1" w:themeShade="BF"/>
            </w:tcBorders>
          </w:tcPr>
          <w:p w14:paraId="678B2134" w14:textId="77777777" w:rsidR="0021785A" w:rsidRPr="00F5337A" w:rsidRDefault="0021785A" w:rsidP="0021785A">
            <w:pPr>
              <w:pStyle w:val="TableRowHeading"/>
              <w:jc w:val="both"/>
              <w:rPr>
                <w:rFonts w:ascii="Times New Roman" w:eastAsia="Calibri" w:hAnsi="Times New Roman"/>
              </w:rPr>
            </w:pPr>
          </w:p>
        </w:tc>
        <w:tc>
          <w:tcPr>
            <w:tcW w:w="1387" w:type="dxa"/>
            <w:tcBorders>
              <w:top w:val="nil"/>
              <w:left w:val="single" w:sz="4" w:space="0" w:color="BFBFBF" w:themeColor="background1" w:themeShade="BF"/>
              <w:bottom w:val="single" w:sz="4" w:space="0" w:color="auto"/>
              <w:right w:val="single" w:sz="4" w:space="0" w:color="BFBFBF" w:themeColor="background1" w:themeShade="BF"/>
            </w:tcBorders>
          </w:tcPr>
          <w:p w14:paraId="5F85C0D3"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14:paraId="29433EF0"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14:paraId="13D24054" w14:textId="50AF9CE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(0.146)</w:t>
            </w: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14:paraId="03FA8068"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nil"/>
            </w:tcBorders>
          </w:tcPr>
          <w:p w14:paraId="3C1CB780" w14:textId="1AF4F43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(0.277)</w:t>
            </w:r>
          </w:p>
        </w:tc>
      </w:tr>
      <w:tr w:rsidR="0021785A" w:rsidRPr="00731C8B" w14:paraId="747EE940" w14:textId="77777777" w:rsidTr="00647D3E">
        <w:trPr>
          <w:cantSplit/>
          <w:trHeight w:val="20"/>
        </w:trPr>
        <w:tc>
          <w:tcPr>
            <w:tcW w:w="2311" w:type="dxa"/>
            <w:tcBorders>
              <w:top w:val="single" w:sz="4" w:space="0" w:color="auto"/>
              <w:left w:val="nil"/>
              <w:bottom w:val="single" w:sz="4" w:space="0" w:color="BCBDBC"/>
              <w:right w:val="single" w:sz="4" w:space="0" w:color="BFBFBF" w:themeColor="background1" w:themeShade="BF"/>
            </w:tcBorders>
          </w:tcPr>
          <w:p w14:paraId="2412439C" w14:textId="77777777" w:rsidR="0021785A" w:rsidRPr="00F5337A" w:rsidRDefault="0021785A" w:rsidP="0021785A">
            <w:pPr>
              <w:pStyle w:val="TableRowHeading"/>
              <w:jc w:val="both"/>
              <w:rPr>
                <w:rFonts w:ascii="Times New Roman" w:eastAsia="Calibri" w:hAnsi="Times New Roman"/>
              </w:rPr>
            </w:pPr>
            <w:proofErr w:type="spellStart"/>
            <w:r w:rsidRPr="00F5337A">
              <w:rPr>
                <w:rFonts w:ascii="Times New Roman" w:eastAsia="Calibri" w:hAnsi="Times New Roman"/>
              </w:rPr>
              <w:t>Obs</w:t>
            </w:r>
            <w:proofErr w:type="spellEnd"/>
          </w:p>
        </w:tc>
        <w:tc>
          <w:tcPr>
            <w:tcW w:w="1387"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6BB879D5" w14:textId="52AEF5E0" w:rsidR="0021785A" w:rsidRPr="0021785A" w:rsidRDefault="0021785A" w:rsidP="0021785A">
            <w:pPr>
              <w:jc w:val="center"/>
              <w:rPr>
                <w:rFonts w:cs="Segoe UI"/>
                <w:sz w:val="18"/>
                <w:szCs w:val="18"/>
              </w:rPr>
            </w:pPr>
            <w:r w:rsidRPr="0021785A">
              <w:rPr>
                <w:rFonts w:cs="Segoe UI"/>
                <w:sz w:val="18"/>
                <w:szCs w:val="18"/>
              </w:rPr>
              <w:t>7,860</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1F26C922" w14:textId="3ED719E1" w:rsidR="0021785A" w:rsidRPr="0021785A" w:rsidRDefault="0021785A" w:rsidP="0021785A">
            <w:pPr>
              <w:jc w:val="center"/>
              <w:rPr>
                <w:rFonts w:cs="Segoe UI"/>
                <w:sz w:val="18"/>
                <w:szCs w:val="18"/>
              </w:rPr>
            </w:pPr>
            <w:r w:rsidRPr="0021785A">
              <w:rPr>
                <w:rFonts w:cs="Segoe UI"/>
                <w:sz w:val="18"/>
                <w:szCs w:val="18"/>
              </w:rPr>
              <w:t>7,860</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2DFECE6E" w14:textId="2ECBDA5F" w:rsidR="0021785A" w:rsidRPr="0021785A" w:rsidRDefault="0021785A" w:rsidP="0021785A">
            <w:pPr>
              <w:jc w:val="center"/>
              <w:rPr>
                <w:rFonts w:cs="Segoe UI"/>
                <w:sz w:val="18"/>
                <w:szCs w:val="18"/>
              </w:rPr>
            </w:pPr>
            <w:r w:rsidRPr="0021785A">
              <w:rPr>
                <w:rFonts w:cs="Segoe UI"/>
                <w:sz w:val="18"/>
                <w:szCs w:val="18"/>
              </w:rPr>
              <w:t>7,860</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23422AD4" w14:textId="5BA8C836" w:rsidR="0021785A" w:rsidRPr="0021785A" w:rsidRDefault="0021785A" w:rsidP="0021785A">
            <w:pPr>
              <w:jc w:val="center"/>
              <w:rPr>
                <w:rFonts w:cs="Segoe UI"/>
                <w:sz w:val="18"/>
                <w:szCs w:val="18"/>
              </w:rPr>
            </w:pPr>
            <w:r w:rsidRPr="0021785A">
              <w:rPr>
                <w:rFonts w:cs="Segoe UI"/>
                <w:sz w:val="18"/>
                <w:szCs w:val="18"/>
              </w:rPr>
              <w:t>7,856</w:t>
            </w:r>
          </w:p>
        </w:tc>
        <w:tc>
          <w:tcPr>
            <w:tcW w:w="1386" w:type="dxa"/>
            <w:tcBorders>
              <w:top w:val="single" w:sz="4" w:space="0" w:color="auto"/>
              <w:left w:val="single" w:sz="4" w:space="0" w:color="BFBFBF" w:themeColor="background1" w:themeShade="BF"/>
              <w:bottom w:val="single" w:sz="4" w:space="0" w:color="BCBDBC"/>
              <w:right w:val="nil"/>
            </w:tcBorders>
          </w:tcPr>
          <w:p w14:paraId="3C71CAD4" w14:textId="5D58B960" w:rsidR="0021785A" w:rsidRPr="0021785A" w:rsidRDefault="0021785A" w:rsidP="0021785A">
            <w:pPr>
              <w:jc w:val="center"/>
              <w:rPr>
                <w:rFonts w:cs="Segoe UI"/>
                <w:sz w:val="18"/>
                <w:szCs w:val="18"/>
              </w:rPr>
            </w:pPr>
            <w:r w:rsidRPr="0021785A">
              <w:rPr>
                <w:rFonts w:cs="Segoe UI"/>
                <w:sz w:val="18"/>
                <w:szCs w:val="18"/>
              </w:rPr>
              <w:t>7,856</w:t>
            </w:r>
          </w:p>
        </w:tc>
      </w:tr>
      <w:tr w:rsidR="0021785A" w:rsidRPr="00731C8B" w14:paraId="063B5081" w14:textId="77777777" w:rsidTr="00647D3E">
        <w:trPr>
          <w:cantSplit/>
          <w:trHeight w:val="20"/>
        </w:trPr>
        <w:tc>
          <w:tcPr>
            <w:tcW w:w="2311" w:type="dxa"/>
            <w:tcBorders>
              <w:top w:val="single" w:sz="4" w:space="0" w:color="BCBDBC"/>
              <w:left w:val="nil"/>
              <w:bottom w:val="single" w:sz="4" w:space="0" w:color="auto"/>
              <w:right w:val="single" w:sz="4" w:space="0" w:color="BFBFBF" w:themeColor="background1" w:themeShade="BF"/>
            </w:tcBorders>
          </w:tcPr>
          <w:p w14:paraId="43C72BF8" w14:textId="77777777" w:rsidR="0021785A" w:rsidRPr="00F5337A" w:rsidRDefault="0021785A" w:rsidP="0021785A">
            <w:pPr>
              <w:pStyle w:val="TableRowHeading"/>
              <w:jc w:val="both"/>
              <w:rPr>
                <w:rFonts w:ascii="Times New Roman" w:eastAsia="Malgun Gothic" w:hAnsi="Times New Roman"/>
                <w:lang w:eastAsia="ko-KR"/>
              </w:rPr>
            </w:pPr>
            <w:r w:rsidRPr="00F5337A">
              <w:rPr>
                <w:rFonts w:ascii="Times New Roman" w:eastAsia="Malgun Gothic" w:hAnsi="Times New Roman"/>
                <w:lang w:eastAsia="ko-KR"/>
              </w:rPr>
              <w:t>R-squared</w:t>
            </w:r>
          </w:p>
        </w:tc>
        <w:tc>
          <w:tcPr>
            <w:tcW w:w="1387"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4AEE9C57" w14:textId="52F3B6FA" w:rsidR="0021785A" w:rsidRPr="0021785A" w:rsidRDefault="0021785A" w:rsidP="0021785A">
            <w:pPr>
              <w:jc w:val="center"/>
              <w:rPr>
                <w:rFonts w:cs="Segoe UI"/>
                <w:sz w:val="18"/>
                <w:szCs w:val="18"/>
              </w:rPr>
            </w:pPr>
            <w:r w:rsidRPr="0021785A">
              <w:rPr>
                <w:rFonts w:cs="Segoe UI"/>
                <w:sz w:val="18"/>
                <w:szCs w:val="18"/>
              </w:rPr>
              <w:t>0.538</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3EF087E1" w14:textId="4E584BCE" w:rsidR="0021785A" w:rsidRPr="0021785A" w:rsidRDefault="0021785A" w:rsidP="0021785A">
            <w:pPr>
              <w:jc w:val="center"/>
              <w:rPr>
                <w:rFonts w:cs="Segoe UI"/>
                <w:sz w:val="18"/>
                <w:szCs w:val="18"/>
              </w:rPr>
            </w:pPr>
            <w:r w:rsidRPr="0021785A">
              <w:rPr>
                <w:rFonts w:cs="Segoe UI"/>
                <w:sz w:val="18"/>
                <w:szCs w:val="18"/>
              </w:rPr>
              <w:t>0.562</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2C998726" w14:textId="20D664D4" w:rsidR="0021785A" w:rsidRPr="0021785A" w:rsidRDefault="0021785A" w:rsidP="0021785A">
            <w:pPr>
              <w:jc w:val="center"/>
              <w:rPr>
                <w:rFonts w:cs="Segoe UI"/>
                <w:sz w:val="18"/>
                <w:szCs w:val="18"/>
              </w:rPr>
            </w:pPr>
            <w:r w:rsidRPr="0021785A">
              <w:rPr>
                <w:rFonts w:cs="Segoe UI"/>
                <w:sz w:val="18"/>
                <w:szCs w:val="18"/>
              </w:rPr>
              <w:t>0.554</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18E2906D" w14:textId="44DA5A6C" w:rsidR="0021785A" w:rsidRPr="0021785A" w:rsidRDefault="0021785A" w:rsidP="0021785A">
            <w:pPr>
              <w:jc w:val="center"/>
              <w:rPr>
                <w:rFonts w:cs="Segoe UI"/>
                <w:sz w:val="18"/>
                <w:szCs w:val="18"/>
              </w:rPr>
            </w:pPr>
            <w:r w:rsidRPr="0021785A">
              <w:rPr>
                <w:rFonts w:cs="Segoe UI"/>
                <w:sz w:val="18"/>
                <w:szCs w:val="18"/>
              </w:rPr>
              <w:t>0.649</w:t>
            </w:r>
          </w:p>
        </w:tc>
        <w:tc>
          <w:tcPr>
            <w:tcW w:w="1386" w:type="dxa"/>
            <w:tcBorders>
              <w:top w:val="single" w:sz="4" w:space="0" w:color="BCBDBC"/>
              <w:left w:val="single" w:sz="4" w:space="0" w:color="BFBFBF" w:themeColor="background1" w:themeShade="BF"/>
              <w:bottom w:val="single" w:sz="4" w:space="0" w:color="auto"/>
              <w:right w:val="nil"/>
            </w:tcBorders>
          </w:tcPr>
          <w:p w14:paraId="46CB7459" w14:textId="2D841D32" w:rsidR="0021785A" w:rsidRPr="0021785A" w:rsidRDefault="0021785A" w:rsidP="0021785A">
            <w:pPr>
              <w:jc w:val="center"/>
              <w:rPr>
                <w:rFonts w:cs="Segoe UI"/>
                <w:sz w:val="18"/>
                <w:szCs w:val="18"/>
              </w:rPr>
            </w:pPr>
            <w:r w:rsidRPr="0021785A">
              <w:rPr>
                <w:rFonts w:cs="Segoe UI"/>
                <w:sz w:val="18"/>
                <w:szCs w:val="18"/>
              </w:rPr>
              <w:t>0.641</w:t>
            </w:r>
          </w:p>
        </w:tc>
      </w:tr>
      <w:tr w:rsidR="009E0C6C" w:rsidRPr="00731C8B" w14:paraId="1DC0E687" w14:textId="77777777" w:rsidTr="00647D3E">
        <w:trPr>
          <w:cantSplit/>
          <w:trHeight w:val="20"/>
        </w:trPr>
        <w:tc>
          <w:tcPr>
            <w:tcW w:w="9242" w:type="dxa"/>
            <w:gridSpan w:val="6"/>
            <w:tcBorders>
              <w:top w:val="single" w:sz="4" w:space="0" w:color="auto"/>
              <w:left w:val="nil"/>
              <w:bottom w:val="nil"/>
              <w:right w:val="nil"/>
            </w:tcBorders>
          </w:tcPr>
          <w:p w14:paraId="2C8C13FF" w14:textId="77777777" w:rsidR="009E0C6C" w:rsidRPr="00F5337A" w:rsidRDefault="009E0C6C" w:rsidP="00647D3E">
            <w:pPr>
              <w:pStyle w:val="TblCell2"/>
              <w:spacing w:after="0" w:line="480" w:lineRule="auto"/>
              <w:jc w:val="both"/>
              <w:rPr>
                <w:rFonts w:ascii="Times New Roman" w:eastAsia="Malgun Gothic" w:hAnsi="Times New Roman"/>
                <w:sz w:val="24"/>
                <w:szCs w:val="24"/>
                <w:lang w:eastAsia="ko-KR"/>
              </w:rPr>
            </w:pPr>
            <w:r w:rsidRPr="00F5337A">
              <w:rPr>
                <w:rFonts w:ascii="Times New Roman" w:eastAsia="Malgun Gothic" w:hAnsi="Times New Roman"/>
                <w:sz w:val="24"/>
                <w:szCs w:val="24"/>
                <w:lang w:eastAsia="ko-KR"/>
              </w:rPr>
              <w:t xml:space="preserve">Table </w:t>
            </w:r>
            <w:r w:rsidR="007746FB">
              <w:rPr>
                <w:rFonts w:ascii="Times New Roman" w:eastAsia="Malgun Gothic" w:hAnsi="Times New Roman"/>
                <w:sz w:val="24"/>
                <w:szCs w:val="24"/>
                <w:lang w:eastAsia="ko-KR"/>
              </w:rPr>
              <w:t>1</w:t>
            </w:r>
            <w:r w:rsidRPr="00F5337A">
              <w:rPr>
                <w:rFonts w:ascii="Times New Roman" w:eastAsia="Malgun Gothic" w:hAnsi="Times New Roman"/>
                <w:sz w:val="24"/>
                <w:szCs w:val="24"/>
                <w:lang w:eastAsia="ko-KR"/>
              </w:rPr>
              <w:t>: Forecast disagreement</w:t>
            </w:r>
          </w:p>
          <w:p w14:paraId="14E7DAC8" w14:textId="0FAF31D3" w:rsidR="009E0C6C" w:rsidRPr="00F5337A" w:rsidRDefault="009E0C6C" w:rsidP="00F06BCE">
            <w:pPr>
              <w:pStyle w:val="TblCell2"/>
              <w:spacing w:line="480" w:lineRule="auto"/>
              <w:jc w:val="both"/>
              <w:rPr>
                <w:rFonts w:ascii="Times New Roman" w:eastAsia="Malgun Gothic" w:hAnsi="Times New Roman"/>
                <w:sz w:val="20"/>
                <w:lang w:eastAsia="ko-KR"/>
              </w:rPr>
            </w:pPr>
            <w:r w:rsidRPr="00F5337A">
              <w:rPr>
                <w:rFonts w:ascii="Times New Roman" w:eastAsia="Malgun Gothic" w:hAnsi="Times New Roman"/>
                <w:i/>
                <w:sz w:val="20"/>
                <w:lang w:eastAsia="ko-KR"/>
              </w:rPr>
              <w:t>Notes:</w:t>
            </w:r>
            <w:r w:rsidRPr="00F5337A">
              <w:rPr>
                <w:rFonts w:ascii="Times New Roman" w:eastAsia="Malgun Gothic" w:hAnsi="Times New Roman"/>
                <w:sz w:val="20"/>
                <w:lang w:eastAsia="ko-KR"/>
              </w:rPr>
              <w:t xml:space="preserve"> Dependent variable is the interquartile range of expected inflation </w:t>
            </w:r>
            <w:r w:rsidR="00F06BCE">
              <w:rPr>
                <w:rFonts w:ascii="Times New Roman" w:eastAsia="Malgun Gothic" w:hAnsi="Times New Roman"/>
                <w:sz w:val="20"/>
                <w:lang w:eastAsia="ko-KR"/>
              </w:rPr>
              <w:t>over</w:t>
            </w:r>
            <w:r w:rsidRPr="00F5337A">
              <w:rPr>
                <w:rFonts w:ascii="Times New Roman" w:eastAsia="Malgun Gothic" w:hAnsi="Times New Roman"/>
                <w:sz w:val="20"/>
                <w:lang w:eastAsia="ko-KR"/>
              </w:rPr>
              <w:t xml:space="preserve"> the </w:t>
            </w:r>
            <w:r w:rsidR="00F06BCE">
              <w:rPr>
                <w:rFonts w:ascii="Times New Roman" w:eastAsia="Malgun Gothic" w:hAnsi="Times New Roman"/>
                <w:sz w:val="20"/>
                <w:lang w:eastAsia="ko-KR"/>
              </w:rPr>
              <w:t xml:space="preserve">next </w:t>
            </w:r>
            <w:r w:rsidR="00F06BCE" w:rsidRPr="00F06BCE">
              <w:rPr>
                <w:rFonts w:ascii="Times New Roman" w:eastAsia="Malgun Gothic" w:hAnsi="Times New Roman"/>
                <w:sz w:val="20"/>
                <w:lang w:eastAsia="ko-KR"/>
              </w:rPr>
              <w:t>12</w:t>
            </w:r>
            <w:r w:rsidR="00F06BCE">
              <w:rPr>
                <w:rFonts w:ascii="Times New Roman" w:eastAsia="Malgun Gothic" w:hAnsi="Times New Roman"/>
                <w:sz w:val="20"/>
                <w:lang w:eastAsia="ko-KR"/>
              </w:rPr>
              <w:t xml:space="preserve"> </w:t>
            </w:r>
            <w:r w:rsidR="00F06BCE" w:rsidRPr="00F06BCE">
              <w:rPr>
                <w:rFonts w:ascii="Times New Roman" w:eastAsia="Malgun Gothic" w:hAnsi="Times New Roman"/>
                <w:sz w:val="20"/>
                <w:lang w:eastAsia="ko-KR"/>
              </w:rPr>
              <w:t>month</w:t>
            </w:r>
            <w:r w:rsidR="00F06BCE">
              <w:rPr>
                <w:rFonts w:ascii="Times New Roman" w:eastAsia="Malgun Gothic" w:hAnsi="Times New Roman"/>
                <w:sz w:val="20"/>
                <w:lang w:eastAsia="ko-KR"/>
              </w:rPr>
              <w:t>s</w:t>
            </w:r>
            <w:r w:rsidR="00F06BCE" w:rsidRPr="00F06BCE">
              <w:rPr>
                <w:rFonts w:ascii="Times New Roman" w:eastAsia="Malgun Gothic" w:hAnsi="Times New Roman"/>
                <w:sz w:val="20"/>
                <w:lang w:eastAsia="ko-KR"/>
              </w:rPr>
              <w:t xml:space="preserve"> </w:t>
            </w:r>
            <w:r w:rsidRPr="00F5337A">
              <w:rPr>
                <w:rFonts w:ascii="Times New Roman" w:eastAsia="Malgun Gothic" w:hAnsi="Times New Roman"/>
                <w:sz w:val="20"/>
                <w:lang w:eastAsia="ko-KR"/>
              </w:rPr>
              <w:t xml:space="preserve">(Columns (1) to (3)) or the </w:t>
            </w:r>
            <w:proofErr w:type="spellStart"/>
            <w:r w:rsidRPr="00F5337A">
              <w:rPr>
                <w:rFonts w:ascii="Times New Roman" w:eastAsia="Malgun Gothic" w:hAnsi="Times New Roman"/>
                <w:sz w:val="20"/>
                <w:lang w:eastAsia="ko-KR"/>
              </w:rPr>
              <w:t>interdecile</w:t>
            </w:r>
            <w:proofErr w:type="spellEnd"/>
            <w:r w:rsidRPr="00F5337A">
              <w:rPr>
                <w:rFonts w:ascii="Times New Roman" w:eastAsia="Malgun Gothic" w:hAnsi="Times New Roman"/>
                <w:sz w:val="20"/>
                <w:lang w:eastAsia="ko-KR"/>
              </w:rPr>
              <w:t xml:space="preserve"> range (Columns (4) and (5)). Robust standard errors clustered by country and time in parentheses. </w:t>
            </w:r>
            <w:r w:rsidRPr="006168A0">
              <w:rPr>
                <w:rFonts w:ascii="Times New Roman" w:eastAsia="Malgun Gothic" w:hAnsi="Times New Roman"/>
                <w:sz w:val="20"/>
                <w:lang w:eastAsia="ko-KR"/>
              </w:rPr>
              <w:t xml:space="preserve">*, ** and *** denote statistical significance at 10%, 5% and 1% level, respectively. </w:t>
            </w:r>
            <w:r w:rsidRPr="00F5337A">
              <w:rPr>
                <w:rFonts w:ascii="Times New Roman" w:eastAsia="Malgun Gothic" w:hAnsi="Times New Roman"/>
                <w:sz w:val="20"/>
                <w:lang w:eastAsia="ko-KR"/>
              </w:rPr>
              <w:t>Columns (1), (2) and (4) show results with deflation dummies that comprise all deflations; Columns (3) and (5) include only persistent deflations. All models include country and time fixed effects.</w:t>
            </w:r>
          </w:p>
        </w:tc>
      </w:tr>
    </w:tbl>
    <w:p w14:paraId="0C58818B" w14:textId="77777777" w:rsidR="002258A0" w:rsidRDefault="002258A0" w:rsidP="009E0C6C"/>
    <w:p w14:paraId="3A6E6353" w14:textId="77777777" w:rsidR="002258A0" w:rsidRDefault="002258A0">
      <w:r>
        <w:br w:type="page"/>
      </w:r>
    </w:p>
    <w:p w14:paraId="37E538FA" w14:textId="77777777" w:rsidR="002258A0" w:rsidRDefault="002258A0" w:rsidP="002258A0"/>
    <w:p w14:paraId="6FC78FC8" w14:textId="77777777" w:rsidR="002258A0" w:rsidRDefault="002258A0" w:rsidP="002258A0"/>
    <w:tbl>
      <w:tblPr>
        <w:tblW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560"/>
        <w:gridCol w:w="1275"/>
      </w:tblGrid>
      <w:tr w:rsidR="002258A0" w:rsidRPr="00731C8B" w14:paraId="3CC684F2" w14:textId="77777777" w:rsidTr="00A75EE4">
        <w:trPr>
          <w:cantSplit/>
          <w:trHeight w:val="20"/>
        </w:trPr>
        <w:tc>
          <w:tcPr>
            <w:tcW w:w="2835" w:type="dxa"/>
            <w:tcBorders>
              <w:top w:val="single" w:sz="4" w:space="0" w:color="auto"/>
              <w:left w:val="nil"/>
              <w:bottom w:val="single" w:sz="4" w:space="0" w:color="auto"/>
              <w:right w:val="single" w:sz="4" w:space="0" w:color="BFBFBF" w:themeColor="background1" w:themeShade="BF"/>
            </w:tcBorders>
            <w:hideMark/>
          </w:tcPr>
          <w:p w14:paraId="55E3D800" w14:textId="77777777" w:rsidR="002258A0" w:rsidRPr="00F5337A" w:rsidRDefault="002258A0" w:rsidP="004F2F43">
            <w:pPr>
              <w:pStyle w:val="TblCol0"/>
              <w:rPr>
                <w:rFonts w:ascii="Times New Roman" w:eastAsia="Malgun Gothic" w:hAnsi="Times New Roman"/>
                <w:sz w:val="20"/>
                <w:lang w:eastAsia="ko-KR"/>
              </w:rPr>
            </w:pPr>
            <w:r w:rsidRPr="00F5337A">
              <w:rPr>
                <w:rFonts w:ascii="Times New Roman" w:eastAsia="Malgun Gothic" w:hAnsi="Times New Roman"/>
                <w:sz w:val="20"/>
                <w:lang w:eastAsia="ko-KR"/>
              </w:rPr>
              <w:t>Variable</w:t>
            </w:r>
          </w:p>
        </w:tc>
        <w:tc>
          <w:tcPr>
            <w:tcW w:w="1560"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14:paraId="20E26B04" w14:textId="77777777" w:rsidR="002258A0" w:rsidRPr="00F5337A" w:rsidRDefault="002258A0" w:rsidP="004F2F43">
            <w:pPr>
              <w:pStyle w:val="TblCol0"/>
              <w:rPr>
                <w:rFonts w:ascii="Times New Roman" w:hAnsi="Times New Roman"/>
                <w:sz w:val="20"/>
              </w:rPr>
            </w:pPr>
            <w:r w:rsidRPr="00F5337A">
              <w:rPr>
                <w:rFonts w:ascii="Times New Roman" w:hAnsi="Times New Roman"/>
                <w:sz w:val="20"/>
              </w:rPr>
              <w:t>(1)</w:t>
            </w:r>
          </w:p>
        </w:tc>
        <w:tc>
          <w:tcPr>
            <w:tcW w:w="1275" w:type="dxa"/>
            <w:tcBorders>
              <w:top w:val="single" w:sz="4" w:space="0" w:color="auto"/>
              <w:left w:val="single" w:sz="4" w:space="0" w:color="BFBFBF" w:themeColor="background1" w:themeShade="BF"/>
              <w:bottom w:val="single" w:sz="4" w:space="0" w:color="auto"/>
              <w:right w:val="nil"/>
            </w:tcBorders>
            <w:hideMark/>
          </w:tcPr>
          <w:p w14:paraId="29304B53" w14:textId="77777777" w:rsidR="002258A0" w:rsidRPr="00F5337A" w:rsidRDefault="002258A0" w:rsidP="004F2F43">
            <w:pPr>
              <w:pStyle w:val="TblCol0"/>
              <w:rPr>
                <w:rFonts w:ascii="Times New Roman" w:hAnsi="Times New Roman"/>
                <w:sz w:val="20"/>
              </w:rPr>
            </w:pPr>
            <w:r w:rsidRPr="00F5337A">
              <w:rPr>
                <w:rFonts w:ascii="Times New Roman" w:hAnsi="Times New Roman"/>
                <w:sz w:val="20"/>
              </w:rPr>
              <w:t>(2)</w:t>
            </w:r>
          </w:p>
        </w:tc>
      </w:tr>
      <w:tr w:rsidR="0025514E" w:rsidRPr="00731C8B" w14:paraId="285AEA24" w14:textId="77777777" w:rsidTr="00A75EE4">
        <w:trPr>
          <w:cantSplit/>
          <w:trHeight w:val="20"/>
        </w:trPr>
        <w:tc>
          <w:tcPr>
            <w:tcW w:w="2835" w:type="dxa"/>
            <w:vMerge w:val="restart"/>
            <w:tcBorders>
              <w:top w:val="single" w:sz="4" w:space="0" w:color="auto"/>
              <w:left w:val="nil"/>
              <w:right w:val="single" w:sz="4" w:space="0" w:color="BFBFBF" w:themeColor="background1" w:themeShade="BF"/>
            </w:tcBorders>
            <w:hideMark/>
          </w:tcPr>
          <w:p w14:paraId="26E710EE" w14:textId="77777777" w:rsidR="0025514E" w:rsidRPr="000728D9" w:rsidRDefault="00AA128E" w:rsidP="004F2F43">
            <w:pPr>
              <w:pStyle w:val="TblRow0"/>
              <w:rPr>
                <w:rFonts w:ascii="Times New Roman" w:eastAsia="Malgun Gothic" w:hAnsi="Times New Roman"/>
                <w:sz w:val="18"/>
                <w:szCs w:val="18"/>
                <w:lang w:eastAsia="ko-KR"/>
              </w:rPr>
            </w:pPr>
            <m:oMathPara>
              <m:oMath>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t-1</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oMath>
            </m:oMathPara>
          </w:p>
        </w:tc>
        <w:tc>
          <w:tcPr>
            <w:tcW w:w="1560" w:type="dxa"/>
            <w:tcBorders>
              <w:top w:val="single" w:sz="4" w:space="0" w:color="auto"/>
              <w:left w:val="single" w:sz="4" w:space="0" w:color="BFBFBF" w:themeColor="background1" w:themeShade="BF"/>
              <w:bottom w:val="nil"/>
              <w:right w:val="single" w:sz="4" w:space="0" w:color="BFBFBF" w:themeColor="background1" w:themeShade="BF"/>
            </w:tcBorders>
          </w:tcPr>
          <w:p w14:paraId="09814C36" w14:textId="77777777" w:rsidR="0012349E" w:rsidRPr="0059569C" w:rsidRDefault="0059569C" w:rsidP="0059569C">
            <w:pPr>
              <w:pStyle w:val="TableCell"/>
              <w:rPr>
                <w:rFonts w:cs="Segoe UI"/>
                <w:sz w:val="18"/>
                <w:szCs w:val="18"/>
              </w:rPr>
            </w:pPr>
            <w:r w:rsidRPr="0059569C">
              <w:rPr>
                <w:rFonts w:cs="Segoe UI"/>
                <w:sz w:val="18"/>
                <w:szCs w:val="18"/>
              </w:rPr>
              <w:t>0.649</w:t>
            </w:r>
          </w:p>
        </w:tc>
        <w:tc>
          <w:tcPr>
            <w:tcW w:w="1275" w:type="dxa"/>
            <w:tcBorders>
              <w:top w:val="single" w:sz="4" w:space="0" w:color="auto"/>
              <w:left w:val="single" w:sz="4" w:space="0" w:color="BFBFBF" w:themeColor="background1" w:themeShade="BF"/>
              <w:bottom w:val="nil"/>
              <w:right w:val="nil"/>
            </w:tcBorders>
          </w:tcPr>
          <w:p w14:paraId="40556D9D" w14:textId="77777777" w:rsidR="0025514E" w:rsidRPr="0059569C" w:rsidRDefault="0025514E" w:rsidP="004F2F43">
            <w:pPr>
              <w:pStyle w:val="TableCell"/>
              <w:rPr>
                <w:rFonts w:cs="Segoe UI"/>
                <w:sz w:val="18"/>
                <w:szCs w:val="18"/>
              </w:rPr>
            </w:pPr>
          </w:p>
        </w:tc>
      </w:tr>
      <w:tr w:rsidR="0025514E" w:rsidRPr="00731C8B" w14:paraId="6932C315" w14:textId="77777777" w:rsidTr="00A75EE4">
        <w:trPr>
          <w:cantSplit/>
          <w:trHeight w:val="20"/>
        </w:trPr>
        <w:tc>
          <w:tcPr>
            <w:tcW w:w="2835" w:type="dxa"/>
            <w:vMerge/>
            <w:tcBorders>
              <w:left w:val="nil"/>
              <w:bottom w:val="single" w:sz="4" w:space="0" w:color="BFBFBF" w:themeColor="background1" w:themeShade="BF"/>
              <w:right w:val="single" w:sz="4" w:space="0" w:color="BFBFBF" w:themeColor="background1" w:themeShade="BF"/>
            </w:tcBorders>
          </w:tcPr>
          <w:p w14:paraId="42D53335" w14:textId="77777777" w:rsidR="0025514E" w:rsidRDefault="0025514E" w:rsidP="004F2F43">
            <w:pPr>
              <w:pStyle w:val="TblRow0"/>
              <w:rPr>
                <w:iCs/>
                <w:sz w:val="18"/>
                <w:szCs w:val="18"/>
              </w:rPr>
            </w:pPr>
          </w:p>
        </w:tc>
        <w:tc>
          <w:tcPr>
            <w:tcW w:w="156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81A40B7" w14:textId="77777777" w:rsidR="0025514E" w:rsidRPr="0059569C" w:rsidRDefault="0059569C" w:rsidP="004F2F43">
            <w:pPr>
              <w:pStyle w:val="TableCell"/>
              <w:rPr>
                <w:rFonts w:eastAsia="Malgun Gothic" w:cs="Segoe UI"/>
                <w:sz w:val="18"/>
                <w:szCs w:val="18"/>
                <w:lang w:eastAsia="ko-KR"/>
              </w:rPr>
            </w:pPr>
            <w:r w:rsidRPr="0059569C">
              <w:rPr>
                <w:rFonts w:eastAsia="Malgun Gothic" w:cs="Segoe UI"/>
                <w:sz w:val="18"/>
                <w:szCs w:val="18"/>
                <w:lang w:eastAsia="ko-KR"/>
              </w:rPr>
              <w:t>(0.397</w:t>
            </w:r>
            <w:r w:rsidR="0012349E" w:rsidRPr="0059569C">
              <w:rPr>
                <w:rFonts w:eastAsia="Malgun Gothic" w:cs="Segoe UI"/>
                <w:sz w:val="18"/>
                <w:szCs w:val="18"/>
                <w:lang w:eastAsia="ko-KR"/>
              </w:rPr>
              <w:t>)</w:t>
            </w:r>
          </w:p>
        </w:tc>
        <w:tc>
          <w:tcPr>
            <w:tcW w:w="1275" w:type="dxa"/>
            <w:tcBorders>
              <w:top w:val="nil"/>
              <w:left w:val="single" w:sz="4" w:space="0" w:color="BFBFBF" w:themeColor="background1" w:themeShade="BF"/>
              <w:bottom w:val="single" w:sz="4" w:space="0" w:color="BFBFBF" w:themeColor="background1" w:themeShade="BF"/>
              <w:right w:val="nil"/>
            </w:tcBorders>
          </w:tcPr>
          <w:p w14:paraId="72315264" w14:textId="77777777" w:rsidR="0025514E" w:rsidRPr="0059569C" w:rsidRDefault="0025514E" w:rsidP="004F2F43">
            <w:pPr>
              <w:pStyle w:val="TableCell"/>
              <w:rPr>
                <w:rFonts w:cs="Segoe UI"/>
                <w:sz w:val="18"/>
                <w:szCs w:val="18"/>
              </w:rPr>
            </w:pPr>
          </w:p>
        </w:tc>
      </w:tr>
      <w:tr w:rsidR="0025514E" w:rsidRPr="00731C8B" w14:paraId="180EB8F6" w14:textId="77777777" w:rsidTr="00A75EE4">
        <w:trPr>
          <w:cantSplit/>
          <w:trHeight w:val="20"/>
        </w:trPr>
        <w:tc>
          <w:tcPr>
            <w:tcW w:w="2835" w:type="dxa"/>
            <w:vMerge w:val="restart"/>
            <w:tcBorders>
              <w:top w:val="single" w:sz="4" w:space="0" w:color="BFBFBF" w:themeColor="background1" w:themeShade="BF"/>
              <w:left w:val="nil"/>
              <w:right w:val="single" w:sz="4" w:space="0" w:color="BFBFBF" w:themeColor="background1" w:themeShade="BF"/>
            </w:tcBorders>
          </w:tcPr>
          <w:p w14:paraId="5B72E71A" w14:textId="017DCE39" w:rsidR="0025514E" w:rsidRPr="000728D9" w:rsidRDefault="00AA128E" w:rsidP="0096517A">
            <w:pPr>
              <w:pStyle w:val="TblRow0"/>
              <w:rPr>
                <w:rFonts w:ascii="Times New Roman" w:eastAsia="Malgun Gothic" w:hAnsi="Times New Roman"/>
                <w:i/>
                <w:sz w:val="18"/>
                <w:szCs w:val="18"/>
                <w:lang w:eastAsia="ko-KR"/>
              </w:rPr>
            </w:pPr>
            <m:oMathPara>
              <m:oMath>
                <m:sSubSup>
                  <m:sSubSupPr>
                    <m:ctrlPr>
                      <w:rPr>
                        <w:rFonts w:ascii="Cambria Math" w:hAnsi="Cambria Math"/>
                        <w:i/>
                        <w:iCs/>
                        <w:sz w:val="18"/>
                        <w:szCs w:val="18"/>
                      </w:rPr>
                    </m:ctrlPr>
                  </m:sSubSupPr>
                  <m:e>
                    <m:r>
                      <w:rPr>
                        <w:rFonts w:ascii="Cambria Math" w:hAnsi="Cambria Math"/>
                        <w:sz w:val="18"/>
                        <w:szCs w:val="18"/>
                        <w:lang w:val="en-US"/>
                      </w:rPr>
                      <m:t>D</m:t>
                    </m:r>
                  </m:e>
                  <m:sub>
                    <m:r>
                      <w:rPr>
                        <w:rFonts w:ascii="Cambria Math" w:hAnsi="Cambria Math"/>
                        <w:sz w:val="18"/>
                        <w:szCs w:val="18"/>
                        <w:lang w:val="en-US"/>
                      </w:rPr>
                      <m:t>c, t</m:t>
                    </m:r>
                  </m:sub>
                  <m:sup>
                    <m:r>
                      <w:rPr>
                        <w:rFonts w:ascii="Cambria Math" w:hAnsi="Cambria Math"/>
                        <w:sz w:val="18"/>
                        <w:szCs w:val="18"/>
                        <w:lang w:val="en-US"/>
                      </w:rPr>
                      <m:t>defl</m:t>
                    </m:r>
                  </m:sup>
                </m:sSubSup>
                <m:r>
                  <w:rPr>
                    <w:rFonts w:ascii="Cambria Math" w:hAnsi="Cambria Math"/>
                    <w:sz w:val="18"/>
                    <w:szCs w:val="18"/>
                  </w:rPr>
                  <m:t xml:space="preserve">× </m:t>
                </m:r>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t-1</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oMath>
            </m:oMathPara>
          </w:p>
        </w:tc>
        <w:tc>
          <w:tcPr>
            <w:tcW w:w="1560"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218AE8E" w14:textId="77777777" w:rsidR="0025514E" w:rsidRPr="0059569C" w:rsidRDefault="0025514E" w:rsidP="004F2F43">
            <w:pPr>
              <w:pStyle w:val="TableCell"/>
              <w:rPr>
                <w:rFonts w:eastAsia="Malgun Gothic" w:cs="Segoe UI"/>
                <w:sz w:val="18"/>
                <w:szCs w:val="18"/>
                <w:lang w:eastAsia="ko-KR"/>
              </w:rPr>
            </w:pPr>
          </w:p>
        </w:tc>
        <w:tc>
          <w:tcPr>
            <w:tcW w:w="1275" w:type="dxa"/>
            <w:tcBorders>
              <w:top w:val="single" w:sz="4" w:space="0" w:color="BFBFBF" w:themeColor="background1" w:themeShade="BF"/>
              <w:left w:val="single" w:sz="4" w:space="0" w:color="BFBFBF" w:themeColor="background1" w:themeShade="BF"/>
              <w:bottom w:val="nil"/>
              <w:right w:val="nil"/>
            </w:tcBorders>
          </w:tcPr>
          <w:p w14:paraId="67ED5CD1" w14:textId="77777777" w:rsidR="0025514E" w:rsidRPr="0059569C" w:rsidRDefault="0059569C" w:rsidP="004F2F43">
            <w:pPr>
              <w:pStyle w:val="TableCell"/>
              <w:rPr>
                <w:rFonts w:cs="Segoe UI"/>
                <w:sz w:val="18"/>
                <w:szCs w:val="18"/>
              </w:rPr>
            </w:pPr>
            <w:r w:rsidRPr="0059569C">
              <w:rPr>
                <w:rFonts w:cs="Segoe UI"/>
                <w:sz w:val="18"/>
                <w:szCs w:val="18"/>
              </w:rPr>
              <w:t>0.141</w:t>
            </w:r>
          </w:p>
        </w:tc>
      </w:tr>
      <w:tr w:rsidR="0025514E" w:rsidRPr="00731C8B" w14:paraId="5622C22D" w14:textId="77777777" w:rsidTr="00A75EE4">
        <w:trPr>
          <w:cantSplit/>
          <w:trHeight w:val="20"/>
        </w:trPr>
        <w:tc>
          <w:tcPr>
            <w:tcW w:w="2835" w:type="dxa"/>
            <w:vMerge/>
            <w:tcBorders>
              <w:left w:val="nil"/>
              <w:bottom w:val="single" w:sz="4" w:space="0" w:color="BFBFBF" w:themeColor="background1" w:themeShade="BF"/>
              <w:right w:val="single" w:sz="4" w:space="0" w:color="BFBFBF" w:themeColor="background1" w:themeShade="BF"/>
            </w:tcBorders>
          </w:tcPr>
          <w:p w14:paraId="07DA7296" w14:textId="77777777" w:rsidR="0025514E" w:rsidRDefault="0025514E" w:rsidP="004F2F43">
            <w:pPr>
              <w:pStyle w:val="TblRow0"/>
              <w:rPr>
                <w:iCs/>
                <w:sz w:val="18"/>
                <w:szCs w:val="18"/>
              </w:rPr>
            </w:pPr>
          </w:p>
        </w:tc>
        <w:tc>
          <w:tcPr>
            <w:tcW w:w="156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26AA754" w14:textId="77777777" w:rsidR="0025514E" w:rsidRPr="0059569C" w:rsidRDefault="0025514E" w:rsidP="004F2F43">
            <w:pPr>
              <w:pStyle w:val="TableCell"/>
              <w:rPr>
                <w:rFonts w:eastAsia="Malgun Gothic" w:cs="Segoe UI"/>
                <w:sz w:val="18"/>
                <w:szCs w:val="18"/>
                <w:lang w:eastAsia="ko-KR"/>
              </w:rPr>
            </w:pPr>
          </w:p>
        </w:tc>
        <w:tc>
          <w:tcPr>
            <w:tcW w:w="1275" w:type="dxa"/>
            <w:tcBorders>
              <w:top w:val="nil"/>
              <w:left w:val="single" w:sz="4" w:space="0" w:color="BFBFBF" w:themeColor="background1" w:themeShade="BF"/>
              <w:bottom w:val="single" w:sz="4" w:space="0" w:color="BFBFBF" w:themeColor="background1" w:themeShade="BF"/>
              <w:right w:val="nil"/>
            </w:tcBorders>
          </w:tcPr>
          <w:p w14:paraId="30A21C41" w14:textId="77777777" w:rsidR="0025514E" w:rsidRPr="0059569C" w:rsidRDefault="0059569C" w:rsidP="004F2F43">
            <w:pPr>
              <w:pStyle w:val="TableCell"/>
              <w:rPr>
                <w:rFonts w:cs="Segoe UI"/>
                <w:sz w:val="18"/>
                <w:szCs w:val="18"/>
              </w:rPr>
            </w:pPr>
            <w:r w:rsidRPr="0059569C">
              <w:rPr>
                <w:rFonts w:cs="Segoe UI"/>
                <w:sz w:val="18"/>
                <w:szCs w:val="18"/>
              </w:rPr>
              <w:t>(0.467)</w:t>
            </w:r>
          </w:p>
        </w:tc>
      </w:tr>
      <w:tr w:rsidR="0025514E" w:rsidRPr="00731C8B" w14:paraId="072B3F22" w14:textId="77777777" w:rsidTr="00A75EE4">
        <w:trPr>
          <w:cantSplit/>
          <w:trHeight w:val="20"/>
        </w:trPr>
        <w:tc>
          <w:tcPr>
            <w:tcW w:w="2835" w:type="dxa"/>
            <w:vMerge w:val="restart"/>
            <w:tcBorders>
              <w:top w:val="single" w:sz="4" w:space="0" w:color="BFBFBF" w:themeColor="background1" w:themeShade="BF"/>
              <w:left w:val="nil"/>
              <w:right w:val="single" w:sz="4" w:space="0" w:color="BFBFBF" w:themeColor="background1" w:themeShade="BF"/>
            </w:tcBorders>
          </w:tcPr>
          <w:p w14:paraId="0E802D04" w14:textId="582C9D20" w:rsidR="0025514E" w:rsidRPr="00F5337A" w:rsidRDefault="00AA128E" w:rsidP="0096517A">
            <w:pPr>
              <w:pStyle w:val="TblRow0"/>
              <w:rPr>
                <w:rFonts w:ascii="Times New Roman" w:eastAsia="Malgun Gothic" w:hAnsi="Times New Roman"/>
                <w:i/>
                <w:sz w:val="20"/>
                <w:lang w:eastAsia="ko-KR"/>
              </w:rPr>
            </w:pPr>
            <m:oMathPara>
              <m:oMath>
                <m:sSubSup>
                  <m:sSubSupPr>
                    <m:ctrlPr>
                      <w:rPr>
                        <w:rFonts w:ascii="Cambria Math" w:hAnsi="Cambria Math"/>
                        <w:i/>
                        <w:iCs/>
                        <w:sz w:val="18"/>
                        <w:szCs w:val="18"/>
                      </w:rPr>
                    </m:ctrlPr>
                  </m:sSubSupPr>
                  <m:e>
                    <m:r>
                      <w:rPr>
                        <w:rFonts w:ascii="Cambria Math" w:hAnsi="Cambria Math"/>
                        <w:sz w:val="18"/>
                        <w:szCs w:val="18"/>
                        <w:lang w:val="en-US"/>
                      </w:rPr>
                      <m:t>D</m:t>
                    </m:r>
                  </m:e>
                  <m:sub>
                    <m:r>
                      <w:rPr>
                        <w:rFonts w:ascii="Cambria Math" w:hAnsi="Cambria Math"/>
                        <w:sz w:val="18"/>
                        <w:szCs w:val="18"/>
                        <w:lang w:val="en-US"/>
                      </w:rPr>
                      <m:t>c, t</m:t>
                    </m:r>
                  </m:sub>
                  <m:sup>
                    <m:r>
                      <w:rPr>
                        <w:rFonts w:ascii="Cambria Math" w:hAnsi="Cambria Math"/>
                        <w:sz w:val="18"/>
                        <w:szCs w:val="18"/>
                        <w:lang w:val="en-US"/>
                      </w:rPr>
                      <m:t>high infl</m:t>
                    </m:r>
                  </m:sup>
                </m:sSubSup>
                <m:r>
                  <w:rPr>
                    <w:rFonts w:ascii="Cambria Math" w:hAnsi="Cambria Math"/>
                    <w:sz w:val="18"/>
                    <w:szCs w:val="18"/>
                  </w:rPr>
                  <m:t xml:space="preserve">× </m:t>
                </m:r>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t-1</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oMath>
            </m:oMathPara>
          </w:p>
        </w:tc>
        <w:tc>
          <w:tcPr>
            <w:tcW w:w="1560"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64B9ECF" w14:textId="77777777" w:rsidR="0025514E" w:rsidRPr="0059569C" w:rsidRDefault="0025514E" w:rsidP="004F2F43">
            <w:pPr>
              <w:pStyle w:val="TableCell"/>
              <w:rPr>
                <w:rFonts w:eastAsia="Malgun Gothic" w:cs="Segoe UI"/>
                <w:sz w:val="18"/>
                <w:szCs w:val="18"/>
                <w:lang w:eastAsia="ko-KR"/>
              </w:rPr>
            </w:pPr>
          </w:p>
        </w:tc>
        <w:tc>
          <w:tcPr>
            <w:tcW w:w="1275" w:type="dxa"/>
            <w:tcBorders>
              <w:top w:val="single" w:sz="4" w:space="0" w:color="BFBFBF" w:themeColor="background1" w:themeShade="BF"/>
              <w:left w:val="single" w:sz="4" w:space="0" w:color="BFBFBF" w:themeColor="background1" w:themeShade="BF"/>
              <w:bottom w:val="nil"/>
              <w:right w:val="nil"/>
            </w:tcBorders>
          </w:tcPr>
          <w:p w14:paraId="7E18596A" w14:textId="77777777" w:rsidR="0025514E" w:rsidRPr="0059569C" w:rsidRDefault="0059569C" w:rsidP="004F2F43">
            <w:pPr>
              <w:pStyle w:val="TableCell"/>
              <w:rPr>
                <w:rFonts w:cs="Segoe UI"/>
                <w:sz w:val="18"/>
                <w:szCs w:val="18"/>
              </w:rPr>
            </w:pPr>
            <w:r w:rsidRPr="0059569C">
              <w:rPr>
                <w:rFonts w:cs="Segoe UI"/>
                <w:sz w:val="18"/>
                <w:szCs w:val="18"/>
              </w:rPr>
              <w:t>-0.202</w:t>
            </w:r>
          </w:p>
        </w:tc>
      </w:tr>
      <w:tr w:rsidR="0025514E" w:rsidRPr="00731C8B" w14:paraId="5692EE38" w14:textId="77777777" w:rsidTr="00A75EE4">
        <w:trPr>
          <w:cantSplit/>
          <w:trHeight w:val="20"/>
        </w:trPr>
        <w:tc>
          <w:tcPr>
            <w:tcW w:w="2835" w:type="dxa"/>
            <w:vMerge/>
            <w:tcBorders>
              <w:left w:val="nil"/>
              <w:bottom w:val="single" w:sz="4" w:space="0" w:color="BFBFBF" w:themeColor="background1" w:themeShade="BF"/>
              <w:right w:val="single" w:sz="4" w:space="0" w:color="BFBFBF" w:themeColor="background1" w:themeShade="BF"/>
            </w:tcBorders>
          </w:tcPr>
          <w:p w14:paraId="2121A623" w14:textId="77777777" w:rsidR="0025514E" w:rsidRDefault="0025514E" w:rsidP="004F2F43">
            <w:pPr>
              <w:pStyle w:val="TblRow0"/>
              <w:rPr>
                <w:iCs/>
                <w:sz w:val="18"/>
                <w:szCs w:val="18"/>
              </w:rPr>
            </w:pPr>
          </w:p>
        </w:tc>
        <w:tc>
          <w:tcPr>
            <w:tcW w:w="156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2EF5BB1" w14:textId="77777777" w:rsidR="0025514E" w:rsidRPr="0059569C" w:rsidRDefault="0025514E" w:rsidP="004F2F43">
            <w:pPr>
              <w:pStyle w:val="TableCell"/>
              <w:rPr>
                <w:rFonts w:eastAsia="Malgun Gothic" w:cs="Segoe UI"/>
                <w:sz w:val="18"/>
                <w:szCs w:val="18"/>
                <w:lang w:eastAsia="ko-KR"/>
              </w:rPr>
            </w:pPr>
          </w:p>
        </w:tc>
        <w:tc>
          <w:tcPr>
            <w:tcW w:w="1275" w:type="dxa"/>
            <w:tcBorders>
              <w:top w:val="nil"/>
              <w:left w:val="single" w:sz="4" w:space="0" w:color="BFBFBF" w:themeColor="background1" w:themeShade="BF"/>
              <w:bottom w:val="single" w:sz="4" w:space="0" w:color="BFBFBF" w:themeColor="background1" w:themeShade="BF"/>
              <w:right w:val="nil"/>
            </w:tcBorders>
          </w:tcPr>
          <w:p w14:paraId="539D5A02" w14:textId="77777777" w:rsidR="0025514E" w:rsidRPr="0059569C" w:rsidRDefault="0059569C" w:rsidP="004F2F43">
            <w:pPr>
              <w:pStyle w:val="TableCell"/>
              <w:rPr>
                <w:rFonts w:cs="Segoe UI"/>
                <w:sz w:val="18"/>
                <w:szCs w:val="18"/>
              </w:rPr>
            </w:pPr>
            <w:r w:rsidRPr="0059569C">
              <w:rPr>
                <w:rFonts w:cs="Segoe UI"/>
                <w:sz w:val="18"/>
                <w:szCs w:val="18"/>
              </w:rPr>
              <w:t>(0.327)</w:t>
            </w:r>
          </w:p>
        </w:tc>
      </w:tr>
      <w:tr w:rsidR="0025514E" w:rsidRPr="00731C8B" w14:paraId="518C95B7" w14:textId="77777777" w:rsidTr="00A75EE4">
        <w:trPr>
          <w:cantSplit/>
          <w:trHeight w:val="20"/>
        </w:trPr>
        <w:tc>
          <w:tcPr>
            <w:tcW w:w="2835" w:type="dxa"/>
            <w:vMerge w:val="restart"/>
            <w:tcBorders>
              <w:top w:val="single" w:sz="4" w:space="0" w:color="BFBFBF" w:themeColor="background1" w:themeShade="BF"/>
              <w:left w:val="nil"/>
              <w:right w:val="single" w:sz="4" w:space="0" w:color="BFBFBF" w:themeColor="background1" w:themeShade="BF"/>
            </w:tcBorders>
          </w:tcPr>
          <w:p w14:paraId="5DC9BEF9" w14:textId="5E90EA68" w:rsidR="0025514E" w:rsidRDefault="00AA128E" w:rsidP="0096517A">
            <w:pPr>
              <w:pStyle w:val="TblRow0"/>
              <w:rPr>
                <w:iCs/>
                <w:sz w:val="18"/>
                <w:szCs w:val="18"/>
              </w:rPr>
            </w:pPr>
            <m:oMathPara>
              <m:oMath>
                <m:sSubSup>
                  <m:sSubSupPr>
                    <m:ctrlPr>
                      <w:rPr>
                        <w:rFonts w:ascii="Cambria Math" w:hAnsi="Cambria Math"/>
                        <w:i/>
                        <w:iCs/>
                        <w:sz w:val="18"/>
                        <w:szCs w:val="18"/>
                      </w:rPr>
                    </m:ctrlPr>
                  </m:sSubSupPr>
                  <m:e>
                    <m:r>
                      <w:rPr>
                        <w:rFonts w:ascii="Cambria Math" w:hAnsi="Cambria Math"/>
                        <w:sz w:val="18"/>
                        <w:szCs w:val="18"/>
                        <w:lang w:val="en-US"/>
                      </w:rPr>
                      <m:t>D</m:t>
                    </m:r>
                  </m:e>
                  <m:sub>
                    <m:r>
                      <w:rPr>
                        <w:rFonts w:ascii="Cambria Math" w:hAnsi="Cambria Math"/>
                        <w:sz w:val="18"/>
                        <w:szCs w:val="18"/>
                        <w:lang w:val="en-US"/>
                      </w:rPr>
                      <m:t>c, t</m:t>
                    </m:r>
                  </m:sub>
                  <m:sup>
                    <m:r>
                      <w:rPr>
                        <w:rFonts w:ascii="Cambria Math" w:hAnsi="Cambria Math"/>
                        <w:sz w:val="18"/>
                        <w:szCs w:val="18"/>
                        <w:lang w:val="en-US"/>
                      </w:rPr>
                      <m:t>other</m:t>
                    </m:r>
                  </m:sup>
                </m:sSubSup>
                <m:r>
                  <w:rPr>
                    <w:rFonts w:ascii="Cambria Math" w:hAnsi="Cambria Math"/>
                    <w:sz w:val="18"/>
                    <w:szCs w:val="18"/>
                  </w:rPr>
                  <m:t xml:space="preserve">× </m:t>
                </m:r>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sSub>
                  <m:sSubPr>
                    <m:ctrlPr>
                      <w:rPr>
                        <w:rFonts w:ascii="Cambria Math" w:hAnsi="Cambria Math"/>
                        <w:iCs/>
                        <w:sz w:val="18"/>
                        <w:szCs w:val="18"/>
                      </w:rPr>
                    </m:ctrlPr>
                  </m:sSubPr>
                  <m:e>
                    <m:sSub>
                      <m:sSubPr>
                        <m:ctrlPr>
                          <w:rPr>
                            <w:rFonts w:ascii="Cambria Math" w:hAnsi="Cambria Math"/>
                            <w:i/>
                            <w:sz w:val="18"/>
                            <w:szCs w:val="18"/>
                            <w:lang w:val="en-US" w:eastAsia="en-GB"/>
                          </w:rPr>
                        </m:ctrlPr>
                      </m:sSubPr>
                      <m:e>
                        <m:r>
                          <w:rPr>
                            <w:rFonts w:ascii="Cambria Math" w:hAnsi="Cambria Math"/>
                            <w:sz w:val="18"/>
                            <w:szCs w:val="18"/>
                            <w:lang w:val="en-US"/>
                          </w:rPr>
                          <m:t>E</m:t>
                        </m:r>
                      </m:e>
                      <m:sub>
                        <m:r>
                          <w:rPr>
                            <w:rFonts w:ascii="Cambria Math" w:hAnsi="Cambria Math"/>
                            <w:sz w:val="18"/>
                            <w:szCs w:val="18"/>
                            <w:lang w:val="en-US"/>
                          </w:rPr>
                          <m:t>t-1</m:t>
                        </m:r>
                      </m:sub>
                    </m:sSub>
                    <m:r>
                      <w:rPr>
                        <w:rFonts w:ascii="Cambria Math" w:hAnsi="Cambria Math"/>
                        <w:sz w:val="18"/>
                        <w:szCs w:val="18"/>
                        <w:lang w:val="en-US"/>
                      </w:rPr>
                      <m:t>π</m:t>
                    </m:r>
                  </m:e>
                  <m:sub>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h</m:t>
                    </m:r>
                  </m:sub>
                </m:sSub>
                <m:r>
                  <m:rPr>
                    <m:sty m:val="p"/>
                  </m:rPr>
                  <w:rPr>
                    <w:rFonts w:ascii="Cambria Math" w:hAnsi="Cambria Math"/>
                    <w:sz w:val="18"/>
                    <w:szCs w:val="18"/>
                    <w:lang w:val="en-US"/>
                  </w:rPr>
                  <m:t>)</m:t>
                </m:r>
              </m:oMath>
            </m:oMathPara>
          </w:p>
        </w:tc>
        <w:tc>
          <w:tcPr>
            <w:tcW w:w="1560"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FB02E20" w14:textId="77777777" w:rsidR="0025514E" w:rsidRPr="0059569C" w:rsidRDefault="0025514E" w:rsidP="004F2F43">
            <w:pPr>
              <w:pStyle w:val="TableCell"/>
              <w:rPr>
                <w:rFonts w:eastAsia="Malgun Gothic" w:cs="Segoe UI"/>
                <w:sz w:val="18"/>
                <w:szCs w:val="18"/>
                <w:lang w:eastAsia="ko-KR"/>
              </w:rPr>
            </w:pPr>
          </w:p>
        </w:tc>
        <w:tc>
          <w:tcPr>
            <w:tcW w:w="1275" w:type="dxa"/>
            <w:tcBorders>
              <w:top w:val="single" w:sz="4" w:space="0" w:color="BFBFBF" w:themeColor="background1" w:themeShade="BF"/>
              <w:left w:val="single" w:sz="4" w:space="0" w:color="BFBFBF" w:themeColor="background1" w:themeShade="BF"/>
              <w:bottom w:val="nil"/>
              <w:right w:val="nil"/>
            </w:tcBorders>
          </w:tcPr>
          <w:p w14:paraId="44E64908" w14:textId="77777777" w:rsidR="0025514E" w:rsidRPr="0059569C" w:rsidRDefault="0059569C" w:rsidP="004F2F43">
            <w:pPr>
              <w:pStyle w:val="TableCell"/>
              <w:rPr>
                <w:rFonts w:cs="Segoe UI"/>
                <w:sz w:val="18"/>
                <w:szCs w:val="18"/>
              </w:rPr>
            </w:pPr>
            <w:r w:rsidRPr="0059569C">
              <w:rPr>
                <w:rFonts w:cs="Segoe UI"/>
                <w:sz w:val="18"/>
                <w:szCs w:val="18"/>
              </w:rPr>
              <w:t>0.970***</w:t>
            </w:r>
          </w:p>
        </w:tc>
      </w:tr>
      <w:tr w:rsidR="0025514E" w:rsidRPr="00731C8B" w14:paraId="2167BB44" w14:textId="77777777" w:rsidTr="00A75EE4">
        <w:trPr>
          <w:cantSplit/>
          <w:trHeight w:val="20"/>
        </w:trPr>
        <w:tc>
          <w:tcPr>
            <w:tcW w:w="2835" w:type="dxa"/>
            <w:vMerge/>
            <w:tcBorders>
              <w:left w:val="nil"/>
              <w:bottom w:val="single" w:sz="4" w:space="0" w:color="BFBFBF" w:themeColor="background1" w:themeShade="BF"/>
              <w:right w:val="single" w:sz="4" w:space="0" w:color="BFBFBF" w:themeColor="background1" w:themeShade="BF"/>
            </w:tcBorders>
          </w:tcPr>
          <w:p w14:paraId="19587735" w14:textId="77777777" w:rsidR="0025514E" w:rsidRPr="00F5337A" w:rsidRDefault="0025514E" w:rsidP="004F2F43">
            <w:pPr>
              <w:pStyle w:val="TblRow0"/>
              <w:rPr>
                <w:rFonts w:ascii="Times New Roman" w:eastAsia="Malgun Gothic" w:hAnsi="Times New Roman"/>
                <w:i/>
                <w:sz w:val="20"/>
                <w:lang w:eastAsia="ko-KR"/>
              </w:rPr>
            </w:pPr>
          </w:p>
        </w:tc>
        <w:tc>
          <w:tcPr>
            <w:tcW w:w="156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1E1EB0B" w14:textId="77777777" w:rsidR="0025514E" w:rsidRPr="0059569C" w:rsidRDefault="0025514E" w:rsidP="004F2F43">
            <w:pPr>
              <w:pStyle w:val="TableCell"/>
              <w:rPr>
                <w:rFonts w:eastAsia="Malgun Gothic" w:cs="Segoe UI"/>
                <w:sz w:val="18"/>
                <w:szCs w:val="18"/>
                <w:lang w:eastAsia="ko-KR"/>
              </w:rPr>
            </w:pPr>
          </w:p>
        </w:tc>
        <w:tc>
          <w:tcPr>
            <w:tcW w:w="1275" w:type="dxa"/>
            <w:tcBorders>
              <w:top w:val="nil"/>
              <w:left w:val="single" w:sz="4" w:space="0" w:color="BFBFBF" w:themeColor="background1" w:themeShade="BF"/>
              <w:bottom w:val="single" w:sz="4" w:space="0" w:color="BFBFBF" w:themeColor="background1" w:themeShade="BF"/>
              <w:right w:val="nil"/>
            </w:tcBorders>
          </w:tcPr>
          <w:p w14:paraId="0302E715" w14:textId="77777777" w:rsidR="0025514E" w:rsidRPr="0059569C" w:rsidRDefault="0059569C" w:rsidP="004F2F43">
            <w:pPr>
              <w:pStyle w:val="TableCell"/>
              <w:rPr>
                <w:rFonts w:cs="Segoe UI"/>
                <w:sz w:val="18"/>
                <w:szCs w:val="18"/>
              </w:rPr>
            </w:pPr>
            <w:r w:rsidRPr="0059569C">
              <w:rPr>
                <w:rFonts w:cs="Segoe UI"/>
                <w:sz w:val="18"/>
                <w:szCs w:val="18"/>
              </w:rPr>
              <w:t>(0.381)</w:t>
            </w:r>
          </w:p>
        </w:tc>
      </w:tr>
      <w:tr w:rsidR="002258A0" w:rsidRPr="00731C8B" w14:paraId="6F1FFCA1" w14:textId="77777777" w:rsidTr="004F2F43">
        <w:trPr>
          <w:cantSplit/>
          <w:trHeight w:val="20"/>
        </w:trPr>
        <w:tc>
          <w:tcPr>
            <w:tcW w:w="2835" w:type="dxa"/>
            <w:tcBorders>
              <w:top w:val="single" w:sz="4" w:space="0" w:color="auto"/>
              <w:left w:val="nil"/>
              <w:bottom w:val="single" w:sz="4" w:space="0" w:color="BCBDBC"/>
              <w:right w:val="single" w:sz="4" w:space="0" w:color="BFBFBF" w:themeColor="background1" w:themeShade="BF"/>
            </w:tcBorders>
          </w:tcPr>
          <w:p w14:paraId="2387E0BF" w14:textId="77777777" w:rsidR="002258A0" w:rsidRPr="00F5337A" w:rsidRDefault="002258A0" w:rsidP="004F2F43">
            <w:pPr>
              <w:pStyle w:val="TblRow0"/>
              <w:rPr>
                <w:rFonts w:ascii="Times New Roman" w:eastAsia="Calibri" w:hAnsi="Times New Roman"/>
                <w:iCs/>
                <w:sz w:val="20"/>
              </w:rPr>
            </w:pPr>
            <w:proofErr w:type="spellStart"/>
            <w:r w:rsidRPr="00F5337A">
              <w:rPr>
                <w:rFonts w:ascii="Times New Roman" w:eastAsia="Calibri" w:hAnsi="Times New Roman"/>
                <w:iCs/>
                <w:sz w:val="20"/>
              </w:rPr>
              <w:t>Obs</w:t>
            </w:r>
            <w:proofErr w:type="spellEnd"/>
          </w:p>
        </w:tc>
        <w:tc>
          <w:tcPr>
            <w:tcW w:w="1560"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2EC5BCFB" w14:textId="77777777" w:rsidR="002258A0" w:rsidRPr="0059569C" w:rsidRDefault="0059569C" w:rsidP="004F2F43">
            <w:pPr>
              <w:pStyle w:val="TableCell"/>
              <w:tabs>
                <w:tab w:val="clear" w:pos="425"/>
              </w:tabs>
              <w:jc w:val="center"/>
              <w:rPr>
                <w:rFonts w:cs="Segoe UI"/>
                <w:sz w:val="18"/>
                <w:szCs w:val="18"/>
              </w:rPr>
            </w:pPr>
            <w:r w:rsidRPr="0059569C">
              <w:rPr>
                <w:rFonts w:cs="Segoe UI"/>
                <w:sz w:val="18"/>
                <w:szCs w:val="18"/>
              </w:rPr>
              <w:t>6,953</w:t>
            </w:r>
          </w:p>
        </w:tc>
        <w:tc>
          <w:tcPr>
            <w:tcW w:w="1275" w:type="dxa"/>
            <w:tcBorders>
              <w:top w:val="single" w:sz="4" w:space="0" w:color="auto"/>
              <w:left w:val="single" w:sz="4" w:space="0" w:color="BFBFBF" w:themeColor="background1" w:themeShade="BF"/>
              <w:bottom w:val="single" w:sz="4" w:space="0" w:color="BCBDBC"/>
              <w:right w:val="nil"/>
            </w:tcBorders>
          </w:tcPr>
          <w:p w14:paraId="72EFA87F" w14:textId="77777777" w:rsidR="002258A0" w:rsidRPr="0059569C" w:rsidRDefault="0059569C" w:rsidP="004F2F43">
            <w:pPr>
              <w:pStyle w:val="TableCell"/>
              <w:tabs>
                <w:tab w:val="clear" w:pos="425"/>
              </w:tabs>
              <w:jc w:val="center"/>
              <w:rPr>
                <w:rFonts w:cs="Segoe UI"/>
                <w:sz w:val="18"/>
                <w:szCs w:val="18"/>
              </w:rPr>
            </w:pPr>
            <w:r w:rsidRPr="0059569C">
              <w:rPr>
                <w:rFonts w:cs="Segoe UI"/>
                <w:sz w:val="18"/>
                <w:szCs w:val="18"/>
              </w:rPr>
              <w:t>6,953</w:t>
            </w:r>
          </w:p>
        </w:tc>
      </w:tr>
      <w:tr w:rsidR="002258A0" w:rsidRPr="00731C8B" w14:paraId="3D7DCE92" w14:textId="77777777" w:rsidTr="004F2F43">
        <w:trPr>
          <w:cantSplit/>
          <w:trHeight w:val="20"/>
        </w:trPr>
        <w:tc>
          <w:tcPr>
            <w:tcW w:w="2835" w:type="dxa"/>
            <w:tcBorders>
              <w:top w:val="single" w:sz="4" w:space="0" w:color="BCBDBC"/>
              <w:left w:val="nil"/>
              <w:bottom w:val="single" w:sz="4" w:space="0" w:color="auto"/>
              <w:right w:val="single" w:sz="4" w:space="0" w:color="BFBFBF" w:themeColor="background1" w:themeShade="BF"/>
            </w:tcBorders>
          </w:tcPr>
          <w:p w14:paraId="392BAD4A" w14:textId="77777777" w:rsidR="002258A0" w:rsidRPr="00F5337A" w:rsidRDefault="002258A0" w:rsidP="004F2F43">
            <w:pPr>
              <w:pStyle w:val="TblRow0"/>
              <w:rPr>
                <w:rFonts w:ascii="Times New Roman" w:eastAsia="Malgun Gothic" w:hAnsi="Times New Roman"/>
                <w:sz w:val="20"/>
                <w:lang w:eastAsia="ko-KR"/>
              </w:rPr>
            </w:pPr>
            <w:r w:rsidRPr="00F5337A">
              <w:rPr>
                <w:rFonts w:ascii="Times New Roman" w:eastAsia="Malgun Gothic" w:hAnsi="Times New Roman"/>
                <w:i/>
                <w:sz w:val="20"/>
                <w:lang w:eastAsia="ko-KR"/>
              </w:rPr>
              <w:t>R</w:t>
            </w:r>
            <w:r w:rsidRPr="00F5337A">
              <w:rPr>
                <w:rFonts w:ascii="Times New Roman" w:eastAsia="Malgun Gothic" w:hAnsi="Times New Roman"/>
                <w:sz w:val="20"/>
                <w:lang w:eastAsia="ko-KR"/>
              </w:rPr>
              <w:t>-squared</w:t>
            </w:r>
          </w:p>
        </w:tc>
        <w:tc>
          <w:tcPr>
            <w:tcW w:w="1560"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5BA3D303" w14:textId="77777777" w:rsidR="002258A0" w:rsidRPr="0059569C" w:rsidRDefault="0059569C" w:rsidP="004F2F43">
            <w:pPr>
              <w:pStyle w:val="TableCell"/>
              <w:rPr>
                <w:rFonts w:cs="Segoe UI"/>
                <w:sz w:val="18"/>
                <w:szCs w:val="18"/>
              </w:rPr>
            </w:pPr>
            <w:r w:rsidRPr="0059569C">
              <w:rPr>
                <w:rFonts w:cs="Segoe UI"/>
                <w:sz w:val="18"/>
                <w:szCs w:val="18"/>
              </w:rPr>
              <w:t>0.142</w:t>
            </w:r>
          </w:p>
        </w:tc>
        <w:tc>
          <w:tcPr>
            <w:tcW w:w="1275" w:type="dxa"/>
            <w:tcBorders>
              <w:top w:val="single" w:sz="4" w:space="0" w:color="BCBDBC"/>
              <w:left w:val="single" w:sz="4" w:space="0" w:color="BFBFBF" w:themeColor="background1" w:themeShade="BF"/>
              <w:bottom w:val="single" w:sz="4" w:space="0" w:color="auto"/>
              <w:right w:val="nil"/>
            </w:tcBorders>
          </w:tcPr>
          <w:p w14:paraId="36E2FFD8" w14:textId="77777777" w:rsidR="002258A0" w:rsidRPr="0059569C" w:rsidRDefault="0059569C" w:rsidP="004F2F43">
            <w:pPr>
              <w:pStyle w:val="TableCell"/>
              <w:rPr>
                <w:rFonts w:cs="Segoe UI"/>
                <w:sz w:val="18"/>
                <w:szCs w:val="18"/>
              </w:rPr>
            </w:pPr>
            <w:r w:rsidRPr="0059569C">
              <w:rPr>
                <w:rFonts w:cs="Segoe UI"/>
                <w:sz w:val="18"/>
                <w:szCs w:val="18"/>
              </w:rPr>
              <w:t>0.351</w:t>
            </w:r>
          </w:p>
        </w:tc>
      </w:tr>
    </w:tbl>
    <w:p w14:paraId="1E6A8D5C" w14:textId="77777777" w:rsidR="002258A0" w:rsidRDefault="002258A0" w:rsidP="002258A0"/>
    <w:p w14:paraId="78BDBF7C" w14:textId="77777777" w:rsidR="002258A0" w:rsidRDefault="002258A0" w:rsidP="002258A0">
      <w:r w:rsidRPr="002D5C47">
        <w:rPr>
          <w:rFonts w:ascii="Times New Roman" w:eastAsia="Malgun Gothic" w:hAnsi="Times New Roman"/>
          <w:sz w:val="24"/>
          <w:szCs w:val="24"/>
          <w:lang w:eastAsia="ko-KR"/>
        </w:rPr>
        <w:t xml:space="preserve">Table </w:t>
      </w:r>
      <w:r>
        <w:rPr>
          <w:rFonts w:ascii="Times New Roman" w:eastAsia="Malgun Gothic" w:hAnsi="Times New Roman"/>
          <w:sz w:val="24"/>
          <w:szCs w:val="24"/>
          <w:lang w:eastAsia="ko-KR"/>
        </w:rPr>
        <w:t>2</w:t>
      </w:r>
      <w:r w:rsidRPr="002D5C47">
        <w:rPr>
          <w:rFonts w:ascii="Times New Roman" w:eastAsia="Malgun Gothic" w:hAnsi="Times New Roman"/>
          <w:sz w:val="24"/>
          <w:szCs w:val="24"/>
          <w:lang w:eastAsia="ko-KR"/>
        </w:rPr>
        <w:t xml:space="preserve">: </w:t>
      </w:r>
      <w:r w:rsidRPr="002D5C47">
        <w:t xml:space="preserve"> </w:t>
      </w:r>
      <w:r>
        <w:rPr>
          <w:rFonts w:ascii="Times New Roman" w:eastAsia="Malgun Gothic" w:hAnsi="Times New Roman"/>
          <w:sz w:val="24"/>
          <w:szCs w:val="24"/>
          <w:lang w:eastAsia="ko-KR"/>
        </w:rPr>
        <w:t>Estimates for information frictions</w:t>
      </w:r>
    </w:p>
    <w:p w14:paraId="2267F9AD" w14:textId="77777777" w:rsidR="002258A0" w:rsidRDefault="002258A0" w:rsidP="002258A0"/>
    <w:p w14:paraId="09E21E9E" w14:textId="77777777" w:rsidR="00440784" w:rsidRDefault="002258A0" w:rsidP="00440784">
      <w:pPr>
        <w:spacing w:line="480" w:lineRule="auto"/>
        <w:jc w:val="both"/>
        <w:rPr>
          <w:rFonts w:ascii="Times New Roman" w:hAnsi="Times New Roman"/>
          <w:sz w:val="24"/>
          <w:szCs w:val="24"/>
        </w:rPr>
      </w:pPr>
      <w:r w:rsidRPr="002D5C47">
        <w:rPr>
          <w:rFonts w:ascii="Times New Roman" w:eastAsia="Malgun Gothic" w:hAnsi="Times New Roman"/>
          <w:i/>
          <w:lang w:eastAsia="ko-KR"/>
        </w:rPr>
        <w:t>Notes:</w:t>
      </w:r>
      <w:r w:rsidRPr="002D5C47">
        <w:rPr>
          <w:rFonts w:ascii="Times New Roman" w:eastAsia="Malgun Gothic" w:hAnsi="Times New Roman"/>
          <w:lang w:eastAsia="ko-KR"/>
        </w:rPr>
        <w:t xml:space="preserve"> Dependent variable is the </w:t>
      </w:r>
      <w:r>
        <w:rPr>
          <w:rFonts w:ascii="Times New Roman" w:eastAsia="Malgun Gothic" w:hAnsi="Times New Roman"/>
          <w:lang w:eastAsia="ko-KR"/>
        </w:rPr>
        <w:t>ex-post forecast error</w:t>
      </w:r>
      <w:proofErr w:type="gramStart"/>
      <w:r>
        <w:rPr>
          <w:rFonts w:ascii="Times New Roman" w:eastAsia="Malgun Gothic" w:hAnsi="Times New Roman"/>
          <w:lang w:eastAsia="ko-KR"/>
        </w:rPr>
        <w:t xml:space="preserve">: </w:t>
      </w:r>
      <w:proofErr w:type="gramEnd"/>
      <m:oMath>
        <m:d>
          <m:dPr>
            <m:begChr m:val=""/>
            <m:endChr m:val=""/>
            <m:ctrlPr>
              <w:rPr>
                <w:rFonts w:ascii="Cambria Math" w:hAnsi="Cambria Math"/>
                <w:iCs/>
              </w:rPr>
            </m:ctrlPr>
          </m:dPr>
          <m:e>
            <m:sSub>
              <m:sSubPr>
                <m:ctrlPr>
                  <w:rPr>
                    <w:rFonts w:ascii="Cambria Math" w:hAnsi="Cambria Math"/>
                    <w:iCs/>
                  </w:rPr>
                </m:ctrlPr>
              </m:sSubPr>
              <m:e>
                <m:r>
                  <w:rPr>
                    <w:rFonts w:ascii="Cambria Math" w:hAnsi="Cambria Math"/>
                    <w:lang w:val="en-US"/>
                  </w:rPr>
                  <m:t>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r>
                  <m:rPr>
                    <m:sty m:val="p"/>
                  </m:rPr>
                  <w:rPr>
                    <w:rFonts w:ascii="Cambria Math" w:hAnsi="Cambria Math"/>
                    <w:lang w:val="en-US"/>
                  </w:rPr>
                  <m:t>+</m:t>
                </m:r>
                <m:r>
                  <w:rPr>
                    <w:rFonts w:ascii="Cambria Math" w:hAnsi="Cambria Math"/>
                    <w:lang w:val="en-US"/>
                  </w:rPr>
                  <m:t>h</m:t>
                </m:r>
              </m:sub>
            </m:sSub>
          </m:e>
        </m:d>
        <m:r>
          <m:rPr>
            <m:sty m:val="p"/>
          </m:rPr>
          <w:rPr>
            <w:rFonts w:ascii="Cambria Math" w:hAnsi="Cambria Math"/>
            <w:lang w:val="en-US"/>
          </w:rPr>
          <m:t>-</m:t>
        </m:r>
        <m:sSub>
          <m:sSubPr>
            <m:ctrlPr>
              <w:rPr>
                <w:rFonts w:ascii="Cambria Math" w:hAnsi="Cambria Math"/>
                <w:iCs/>
              </w:rPr>
            </m:ctrlPr>
          </m:sSubPr>
          <m:e>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t</m:t>
                </m:r>
              </m:sub>
            </m:sSub>
            <m:r>
              <w:rPr>
                <w:rFonts w:ascii="Cambria Math" w:hAnsi="Cambria Math"/>
                <w:lang w:val="en-US"/>
              </w:rPr>
              <m:t>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r>
              <m:rPr>
                <m:sty m:val="p"/>
              </m:rPr>
              <w:rPr>
                <w:rFonts w:ascii="Cambria Math" w:hAnsi="Cambria Math"/>
                <w:lang w:val="en-US"/>
              </w:rPr>
              <m:t>+</m:t>
            </m:r>
            <m:r>
              <w:rPr>
                <w:rFonts w:ascii="Cambria Math" w:hAnsi="Cambria Math"/>
                <w:lang w:val="en-US"/>
              </w:rPr>
              <m:t>h</m:t>
            </m:r>
          </m:sub>
        </m:sSub>
      </m:oMath>
      <w:r w:rsidRPr="000728D9">
        <w:rPr>
          <w:rFonts w:ascii="Times New Roman" w:eastAsia="Malgun Gothic" w:hAnsi="Times New Roman"/>
          <w:lang w:eastAsia="ko-KR"/>
        </w:rPr>
        <w:t>.</w:t>
      </w:r>
      <w:r w:rsidRPr="002D5C47">
        <w:rPr>
          <w:rFonts w:ascii="Times New Roman" w:eastAsia="Malgun Gothic" w:hAnsi="Times New Roman"/>
          <w:lang w:eastAsia="ko-KR"/>
        </w:rPr>
        <w:t xml:space="preserve"> Robust standard errors clustered by country in parentheses. </w:t>
      </w:r>
      <w:r w:rsidRPr="002F3C86">
        <w:rPr>
          <w:rFonts w:ascii="Times New Roman" w:eastAsia="Malgun Gothic" w:hAnsi="Times New Roman"/>
          <w:lang w:eastAsia="ko-KR"/>
        </w:rPr>
        <w:t xml:space="preserve">*, ** and *** denote statistical significance at 10%, 5% and 1% level, respectively. </w:t>
      </w:r>
      <w:r w:rsidRPr="002D5C47">
        <w:rPr>
          <w:rFonts w:ascii="Times New Roman" w:eastAsia="Malgun Gothic" w:hAnsi="Times New Roman"/>
          <w:lang w:eastAsia="ko-KR"/>
        </w:rPr>
        <w:t>All models include</w:t>
      </w:r>
      <w:r>
        <w:rPr>
          <w:rFonts w:ascii="Times New Roman" w:eastAsia="Malgun Gothic" w:hAnsi="Times New Roman"/>
          <w:lang w:eastAsia="ko-KR"/>
        </w:rPr>
        <w:t xml:space="preserve"> country fixed effects. </w:t>
      </w:r>
      <w:r w:rsidR="00180922">
        <w:rPr>
          <w:rFonts w:ascii="Times New Roman" w:eastAsia="Malgun Gothic" w:hAnsi="Times New Roman"/>
          <w:lang w:eastAsia="ko-KR"/>
        </w:rPr>
        <w:t>In addition to the coefficients shown, t</w:t>
      </w:r>
      <w:r>
        <w:rPr>
          <w:rFonts w:ascii="Times New Roman" w:eastAsia="Malgun Gothic" w:hAnsi="Times New Roman"/>
          <w:lang w:eastAsia="ko-KR"/>
        </w:rPr>
        <w:t>he model in Column (2) includes separate constant terms for deflations, hig</w:t>
      </w:r>
      <w:r w:rsidR="00180922">
        <w:rPr>
          <w:rFonts w:ascii="Times New Roman" w:eastAsia="Malgun Gothic" w:hAnsi="Times New Roman"/>
          <w:lang w:eastAsia="ko-KR"/>
        </w:rPr>
        <w:t>h inflations and “other” periods.</w:t>
      </w:r>
      <w:r w:rsidR="00440784" w:rsidRPr="00731C8B">
        <w:rPr>
          <w:rFonts w:ascii="Times New Roman" w:hAnsi="Times New Roman"/>
          <w:sz w:val="24"/>
          <w:szCs w:val="24"/>
        </w:rPr>
        <w:t xml:space="preserve"> </w:t>
      </w:r>
    </w:p>
    <w:p w14:paraId="42BD52CA" w14:textId="77777777" w:rsidR="00440784" w:rsidRDefault="00440784">
      <w:pPr>
        <w:rPr>
          <w:rFonts w:ascii="Times New Roman" w:hAnsi="Times New Roman"/>
          <w:sz w:val="24"/>
          <w:szCs w:val="24"/>
        </w:rPr>
      </w:pPr>
      <w:r>
        <w:rPr>
          <w:rFonts w:ascii="Times New Roman" w:hAnsi="Times New Roman"/>
          <w:sz w:val="24"/>
          <w:szCs w:val="24"/>
        </w:rPr>
        <w:br w:type="page"/>
      </w:r>
    </w:p>
    <w:tbl>
      <w:tblPr>
        <w:tblpPr w:leftFromText="180" w:rightFromText="180" w:topFromText="120" w:bottomFromText="240" w:vertAnchor="text" w:tblpXSpec="center" w:tblpY="121"/>
        <w:tblOverlap w:val="never"/>
        <w:tblW w:w="7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1387"/>
        <w:gridCol w:w="1386"/>
        <w:gridCol w:w="1386"/>
        <w:gridCol w:w="1386"/>
      </w:tblGrid>
      <w:tr w:rsidR="00383795" w:rsidRPr="00731C8B" w14:paraId="2928BBE1" w14:textId="77777777" w:rsidTr="00760415">
        <w:trPr>
          <w:cantSplit/>
          <w:trHeight w:val="20"/>
        </w:trPr>
        <w:tc>
          <w:tcPr>
            <w:tcW w:w="2311" w:type="dxa"/>
            <w:tcBorders>
              <w:top w:val="single" w:sz="4" w:space="0" w:color="auto"/>
              <w:left w:val="nil"/>
              <w:bottom w:val="single" w:sz="4" w:space="0" w:color="auto"/>
              <w:right w:val="single" w:sz="4" w:space="0" w:color="BFBFBF" w:themeColor="background1" w:themeShade="BF"/>
            </w:tcBorders>
          </w:tcPr>
          <w:p w14:paraId="08ABF34A" w14:textId="77777777" w:rsidR="00383795" w:rsidRPr="00F5337A" w:rsidRDefault="00383795" w:rsidP="00383795">
            <w:pPr>
              <w:pStyle w:val="TblCol0"/>
              <w:rPr>
                <w:rFonts w:ascii="Times New Roman" w:eastAsia="Malgun Gothic" w:hAnsi="Times New Roman"/>
                <w:sz w:val="20"/>
                <w:lang w:eastAsia="ko-KR"/>
              </w:rPr>
            </w:pPr>
          </w:p>
        </w:tc>
        <w:tc>
          <w:tcPr>
            <w:tcW w:w="1387" w:type="dxa"/>
            <w:tcBorders>
              <w:top w:val="single" w:sz="4" w:space="0" w:color="auto"/>
              <w:left w:val="single" w:sz="4" w:space="0" w:color="BFBFBF" w:themeColor="background1" w:themeShade="BF"/>
              <w:bottom w:val="single" w:sz="4" w:space="0" w:color="auto"/>
              <w:right w:val="single" w:sz="4" w:space="0" w:color="BFBFBF" w:themeColor="background1" w:themeShade="BF"/>
            </w:tcBorders>
          </w:tcPr>
          <w:p w14:paraId="47A1139B" w14:textId="4AD234A5" w:rsidR="00383795" w:rsidRPr="00F5337A" w:rsidRDefault="00383795" w:rsidP="00383795">
            <w:pPr>
              <w:pStyle w:val="TblCol0"/>
              <w:rPr>
                <w:rFonts w:ascii="Times New Roman" w:hAnsi="Times New Roman"/>
                <w:sz w:val="20"/>
              </w:rPr>
            </w:pPr>
            <w:r w:rsidRPr="00F5337A">
              <w:rPr>
                <w:rFonts w:ascii="Times New Roman" w:hAnsi="Times New Roman"/>
                <w:sz w:val="20"/>
              </w:rPr>
              <w:t>(1)</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tcPr>
          <w:p w14:paraId="097A0438" w14:textId="7D3A7D3F" w:rsidR="00383795" w:rsidRPr="00F5337A" w:rsidRDefault="00383795" w:rsidP="00383795">
            <w:pPr>
              <w:pStyle w:val="TblCol0"/>
              <w:rPr>
                <w:rFonts w:ascii="Times New Roman" w:hAnsi="Times New Roman"/>
                <w:sz w:val="20"/>
              </w:rPr>
            </w:pPr>
            <w:r w:rsidRPr="00F5337A">
              <w:rPr>
                <w:rFonts w:ascii="Times New Roman" w:hAnsi="Times New Roman"/>
                <w:sz w:val="20"/>
              </w:rPr>
              <w:t>(2)</w:t>
            </w:r>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tcPr>
          <w:p w14:paraId="290082D4" w14:textId="47E3DBE3" w:rsidR="00383795" w:rsidRPr="00F5337A" w:rsidRDefault="00383795" w:rsidP="00383795">
            <w:pPr>
              <w:pStyle w:val="TblCol0"/>
              <w:rPr>
                <w:rFonts w:ascii="Times New Roman" w:hAnsi="Times New Roman"/>
                <w:sz w:val="20"/>
              </w:rPr>
            </w:pPr>
            <w:r w:rsidRPr="00F5337A">
              <w:rPr>
                <w:rFonts w:ascii="Times New Roman" w:hAnsi="Times New Roman"/>
                <w:sz w:val="20"/>
              </w:rPr>
              <w:t>(3)</w:t>
            </w:r>
          </w:p>
        </w:tc>
        <w:tc>
          <w:tcPr>
            <w:tcW w:w="1386" w:type="dxa"/>
            <w:tcBorders>
              <w:top w:val="single" w:sz="4" w:space="0" w:color="auto"/>
              <w:left w:val="single" w:sz="4" w:space="0" w:color="BFBFBF" w:themeColor="background1" w:themeShade="BF"/>
              <w:bottom w:val="single" w:sz="4" w:space="0" w:color="auto"/>
              <w:right w:val="nil"/>
            </w:tcBorders>
          </w:tcPr>
          <w:p w14:paraId="13A7D87C" w14:textId="0B777300" w:rsidR="00383795" w:rsidRPr="00F5337A" w:rsidRDefault="00383795" w:rsidP="00383795">
            <w:pPr>
              <w:pStyle w:val="TblCol0"/>
              <w:rPr>
                <w:rFonts w:ascii="Times New Roman" w:hAnsi="Times New Roman"/>
                <w:sz w:val="20"/>
              </w:rPr>
            </w:pPr>
            <w:r w:rsidRPr="00F5337A">
              <w:rPr>
                <w:rFonts w:ascii="Times New Roman" w:hAnsi="Times New Roman"/>
                <w:sz w:val="20"/>
              </w:rPr>
              <w:t>(4)</w:t>
            </w:r>
          </w:p>
        </w:tc>
      </w:tr>
      <w:tr w:rsidR="00440784" w:rsidRPr="00731C8B" w14:paraId="3E2E0C6C" w14:textId="77777777" w:rsidTr="00760415">
        <w:trPr>
          <w:cantSplit/>
          <w:trHeight w:val="20"/>
        </w:trPr>
        <w:tc>
          <w:tcPr>
            <w:tcW w:w="2311" w:type="dxa"/>
            <w:tcBorders>
              <w:top w:val="single" w:sz="4" w:space="0" w:color="auto"/>
              <w:left w:val="nil"/>
              <w:bottom w:val="single" w:sz="4" w:space="0" w:color="auto"/>
              <w:right w:val="single" w:sz="4" w:space="0" w:color="BFBFBF" w:themeColor="background1" w:themeShade="BF"/>
            </w:tcBorders>
            <w:hideMark/>
          </w:tcPr>
          <w:p w14:paraId="741DDC7B" w14:textId="77777777" w:rsidR="00440784" w:rsidRPr="00F5337A" w:rsidRDefault="00440784" w:rsidP="00EB22AC">
            <w:pPr>
              <w:pStyle w:val="TblCol0"/>
              <w:rPr>
                <w:rFonts w:ascii="Times New Roman" w:eastAsia="Malgun Gothic" w:hAnsi="Times New Roman"/>
                <w:sz w:val="20"/>
                <w:lang w:eastAsia="ko-KR"/>
              </w:rPr>
            </w:pPr>
            <w:r w:rsidRPr="00F5337A">
              <w:rPr>
                <w:rFonts w:ascii="Times New Roman" w:eastAsia="Malgun Gothic" w:hAnsi="Times New Roman"/>
                <w:sz w:val="20"/>
                <w:lang w:eastAsia="ko-KR"/>
              </w:rPr>
              <w:t>Variable</w:t>
            </w:r>
          </w:p>
        </w:tc>
        <w:tc>
          <w:tcPr>
            <w:tcW w:w="1387"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14:paraId="38A0575D" w14:textId="224EE8E3" w:rsidR="00440784" w:rsidRPr="00F5337A" w:rsidRDefault="00383795" w:rsidP="00EB22AC">
            <w:pPr>
              <w:pStyle w:val="TblCol0"/>
              <w:rPr>
                <w:rFonts w:ascii="Times New Roman" w:hAnsi="Times New Roman"/>
                <w:sz w:val="20"/>
              </w:rPr>
            </w:pPr>
            <w:r>
              <w:rPr>
                <w:rFonts w:ascii="Times New Roman" w:hAnsi="Times New Roman"/>
                <w:sz w:val="20"/>
              </w:rPr>
              <w:t>25</w:t>
            </w:r>
            <w:r w:rsidRPr="00383795">
              <w:rPr>
                <w:rFonts w:ascii="Times New Roman" w:hAnsi="Times New Roman"/>
                <w:sz w:val="20"/>
                <w:vertAlign w:val="superscript"/>
              </w:rPr>
              <w:t>th</w:t>
            </w:r>
            <w:r>
              <w:rPr>
                <w:rFonts w:ascii="Times New Roman" w:hAnsi="Times New Roman"/>
                <w:sz w:val="20"/>
              </w:rPr>
              <w:t xml:space="preserve"> </w:t>
            </w:r>
            <w:proofErr w:type="spellStart"/>
            <w:r>
              <w:rPr>
                <w:rFonts w:ascii="Times New Roman" w:hAnsi="Times New Roman"/>
                <w:sz w:val="20"/>
              </w:rPr>
              <w:t>pctile</w:t>
            </w:r>
            <w:proofErr w:type="spellEnd"/>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14:paraId="7A446E36" w14:textId="0BBA7BFD" w:rsidR="00440784" w:rsidRPr="00F5337A" w:rsidRDefault="00383795" w:rsidP="00EB22AC">
            <w:pPr>
              <w:pStyle w:val="TblCol0"/>
              <w:rPr>
                <w:rFonts w:ascii="Times New Roman" w:hAnsi="Times New Roman"/>
                <w:sz w:val="20"/>
              </w:rPr>
            </w:pPr>
            <w:r>
              <w:rPr>
                <w:rFonts w:ascii="Times New Roman" w:hAnsi="Times New Roman"/>
                <w:sz w:val="20"/>
              </w:rPr>
              <w:t>25</w:t>
            </w:r>
            <w:r w:rsidRPr="00383795">
              <w:rPr>
                <w:rFonts w:ascii="Times New Roman" w:hAnsi="Times New Roman"/>
                <w:sz w:val="20"/>
                <w:vertAlign w:val="superscript"/>
              </w:rPr>
              <w:t>th</w:t>
            </w:r>
            <w:r>
              <w:rPr>
                <w:rFonts w:ascii="Times New Roman" w:hAnsi="Times New Roman"/>
                <w:sz w:val="20"/>
              </w:rPr>
              <w:t xml:space="preserve"> </w:t>
            </w:r>
            <w:proofErr w:type="spellStart"/>
            <w:r>
              <w:rPr>
                <w:rFonts w:ascii="Times New Roman" w:hAnsi="Times New Roman"/>
                <w:sz w:val="20"/>
              </w:rPr>
              <w:t>pctile</w:t>
            </w:r>
            <w:proofErr w:type="spellEnd"/>
          </w:p>
        </w:tc>
        <w:tc>
          <w:tcPr>
            <w:tcW w:w="1386" w:type="dxa"/>
            <w:tcBorders>
              <w:top w:val="single" w:sz="4" w:space="0" w:color="auto"/>
              <w:left w:val="single" w:sz="4" w:space="0" w:color="BFBFBF" w:themeColor="background1" w:themeShade="BF"/>
              <w:bottom w:val="single" w:sz="4" w:space="0" w:color="auto"/>
              <w:right w:val="single" w:sz="4" w:space="0" w:color="BFBFBF" w:themeColor="background1" w:themeShade="BF"/>
            </w:tcBorders>
            <w:hideMark/>
          </w:tcPr>
          <w:p w14:paraId="2E450F3F" w14:textId="56E823EA" w:rsidR="00440784" w:rsidRPr="00F5337A" w:rsidRDefault="00383795" w:rsidP="00EB22AC">
            <w:pPr>
              <w:pStyle w:val="TblCol0"/>
              <w:rPr>
                <w:rFonts w:ascii="Times New Roman" w:hAnsi="Times New Roman"/>
                <w:sz w:val="20"/>
              </w:rPr>
            </w:pPr>
            <w:r>
              <w:rPr>
                <w:rFonts w:ascii="Times New Roman" w:hAnsi="Times New Roman"/>
                <w:sz w:val="20"/>
              </w:rPr>
              <w:t>75</w:t>
            </w:r>
            <w:r w:rsidRPr="00383795">
              <w:rPr>
                <w:rFonts w:ascii="Times New Roman" w:hAnsi="Times New Roman"/>
                <w:sz w:val="20"/>
                <w:vertAlign w:val="superscript"/>
              </w:rPr>
              <w:t>th</w:t>
            </w:r>
            <w:r>
              <w:rPr>
                <w:rFonts w:ascii="Times New Roman" w:hAnsi="Times New Roman"/>
                <w:sz w:val="20"/>
              </w:rPr>
              <w:t xml:space="preserve"> </w:t>
            </w:r>
            <w:proofErr w:type="spellStart"/>
            <w:r>
              <w:rPr>
                <w:rFonts w:ascii="Times New Roman" w:hAnsi="Times New Roman"/>
                <w:sz w:val="20"/>
              </w:rPr>
              <w:t>pctile</w:t>
            </w:r>
            <w:proofErr w:type="spellEnd"/>
          </w:p>
        </w:tc>
        <w:tc>
          <w:tcPr>
            <w:tcW w:w="1386" w:type="dxa"/>
            <w:tcBorders>
              <w:top w:val="single" w:sz="4" w:space="0" w:color="auto"/>
              <w:left w:val="single" w:sz="4" w:space="0" w:color="BFBFBF" w:themeColor="background1" w:themeShade="BF"/>
              <w:bottom w:val="single" w:sz="4" w:space="0" w:color="auto"/>
              <w:right w:val="nil"/>
            </w:tcBorders>
          </w:tcPr>
          <w:p w14:paraId="2A66A0A8" w14:textId="5C8CC6BC" w:rsidR="00440784" w:rsidRPr="00F5337A" w:rsidRDefault="00383795" w:rsidP="00EB22AC">
            <w:pPr>
              <w:pStyle w:val="TblCol0"/>
              <w:rPr>
                <w:rFonts w:ascii="Times New Roman" w:hAnsi="Times New Roman"/>
                <w:sz w:val="20"/>
              </w:rPr>
            </w:pPr>
            <w:r>
              <w:rPr>
                <w:rFonts w:ascii="Times New Roman" w:hAnsi="Times New Roman"/>
                <w:sz w:val="20"/>
              </w:rPr>
              <w:t>75</w:t>
            </w:r>
            <w:r w:rsidRPr="00383795">
              <w:rPr>
                <w:rFonts w:ascii="Times New Roman" w:hAnsi="Times New Roman"/>
                <w:sz w:val="20"/>
                <w:vertAlign w:val="superscript"/>
              </w:rPr>
              <w:t>th</w:t>
            </w:r>
            <w:r>
              <w:rPr>
                <w:rFonts w:ascii="Times New Roman" w:hAnsi="Times New Roman"/>
                <w:sz w:val="20"/>
              </w:rPr>
              <w:t xml:space="preserve"> </w:t>
            </w:r>
            <w:proofErr w:type="spellStart"/>
            <w:r>
              <w:rPr>
                <w:rFonts w:ascii="Times New Roman" w:hAnsi="Times New Roman"/>
                <w:sz w:val="20"/>
              </w:rPr>
              <w:t>pctile</w:t>
            </w:r>
            <w:proofErr w:type="spellEnd"/>
          </w:p>
        </w:tc>
      </w:tr>
      <w:tr w:rsidR="0021785A" w:rsidRPr="00731C8B" w14:paraId="6C280D7F"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079F5857" w14:textId="792F4E21" w:rsidR="0021785A" w:rsidRPr="00A75EE4" w:rsidRDefault="00AA128E" w:rsidP="0021785A">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pos</m:t>
                        </m:r>
                      </m:sup>
                    </m:sSubSup>
                  </m:e>
                </m:d>
              </m:oMath>
            </m:oMathPara>
          </w:p>
        </w:tc>
        <w:tc>
          <w:tcPr>
            <w:tcW w:w="1387" w:type="dxa"/>
            <w:tcBorders>
              <w:top w:val="single" w:sz="4" w:space="0" w:color="auto"/>
              <w:left w:val="single" w:sz="4" w:space="0" w:color="BFBFBF" w:themeColor="background1" w:themeShade="BF"/>
              <w:bottom w:val="nil"/>
              <w:right w:val="single" w:sz="4" w:space="0" w:color="BFBFBF" w:themeColor="background1" w:themeShade="BF"/>
            </w:tcBorders>
          </w:tcPr>
          <w:p w14:paraId="070CB190" w14:textId="4CB96E6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0.883***</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14:paraId="0D049E62" w14:textId="76DC8EC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0.886***</w:t>
            </w:r>
          </w:p>
        </w:tc>
        <w:tc>
          <w:tcPr>
            <w:tcW w:w="1386" w:type="dxa"/>
            <w:tcBorders>
              <w:top w:val="single" w:sz="4" w:space="0" w:color="auto"/>
              <w:left w:val="single" w:sz="4" w:space="0" w:color="BFBFBF" w:themeColor="background1" w:themeShade="BF"/>
              <w:bottom w:val="nil"/>
              <w:right w:val="single" w:sz="4" w:space="0" w:color="BFBFBF" w:themeColor="background1" w:themeShade="BF"/>
            </w:tcBorders>
          </w:tcPr>
          <w:p w14:paraId="053CCA81" w14:textId="1A86966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1.168***</w:t>
            </w:r>
          </w:p>
        </w:tc>
        <w:tc>
          <w:tcPr>
            <w:tcW w:w="1386" w:type="dxa"/>
            <w:tcBorders>
              <w:top w:val="single" w:sz="4" w:space="0" w:color="auto"/>
              <w:left w:val="single" w:sz="4" w:space="0" w:color="BFBFBF" w:themeColor="background1" w:themeShade="BF"/>
              <w:bottom w:val="nil"/>
              <w:right w:val="nil"/>
            </w:tcBorders>
          </w:tcPr>
          <w:p w14:paraId="0831737C" w14:textId="3CFF95C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1.162***</w:t>
            </w:r>
          </w:p>
        </w:tc>
      </w:tr>
      <w:tr w:rsidR="0021785A" w:rsidRPr="00731C8B" w14:paraId="2C6ADF67" w14:textId="77777777" w:rsidTr="0096517A">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579ABCD8"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64B801C" w14:textId="3311EC8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(0.0387)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97EA39C" w14:textId="6C0B7A8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(0.0379)</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A579807" w14:textId="61E7449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(0.0890)</w:t>
            </w:r>
          </w:p>
        </w:tc>
        <w:tc>
          <w:tcPr>
            <w:tcW w:w="1386" w:type="dxa"/>
            <w:tcBorders>
              <w:top w:val="nil"/>
              <w:left w:val="single" w:sz="4" w:space="0" w:color="BFBFBF" w:themeColor="background1" w:themeShade="BF"/>
              <w:bottom w:val="single" w:sz="4" w:space="0" w:color="BFBFBF" w:themeColor="background1" w:themeShade="BF"/>
              <w:right w:val="nil"/>
            </w:tcBorders>
          </w:tcPr>
          <w:p w14:paraId="5D6FFDDD" w14:textId="7C045C4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(0.0870)</w:t>
            </w:r>
          </w:p>
        </w:tc>
      </w:tr>
      <w:tr w:rsidR="0021785A" w:rsidRPr="00731C8B" w14:paraId="3E1926E8" w14:textId="77777777" w:rsidTr="007E65FA">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488D4CB3" w14:textId="7B6B9F54" w:rsidR="0021785A" w:rsidRPr="00A75EE4" w:rsidRDefault="00AA128E" w:rsidP="0021785A">
            <w:pPr>
              <w:pStyle w:val="TableRowHeading"/>
              <w:jc w:val="both"/>
              <w:rPr>
                <w:sz w:val="18"/>
                <w:szCs w:val="18"/>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neg</m:t>
                        </m:r>
                      </m:sup>
                    </m:sSubSup>
                  </m:e>
                </m:d>
              </m:oMath>
            </m:oMathPara>
          </w:p>
        </w:tc>
        <w:tc>
          <w:tcPr>
            <w:tcW w:w="1387" w:type="dxa"/>
            <w:tcBorders>
              <w:top w:val="nil"/>
              <w:left w:val="single" w:sz="4" w:space="0" w:color="BFBFBF" w:themeColor="background1" w:themeShade="BF"/>
              <w:bottom w:val="nil"/>
              <w:right w:val="single" w:sz="4" w:space="0" w:color="BFBFBF" w:themeColor="background1" w:themeShade="BF"/>
            </w:tcBorders>
          </w:tcPr>
          <w:p w14:paraId="6FC458E6" w14:textId="3D2ED59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0.934***</w:t>
            </w:r>
          </w:p>
        </w:tc>
        <w:tc>
          <w:tcPr>
            <w:tcW w:w="1386" w:type="dxa"/>
            <w:tcBorders>
              <w:top w:val="nil"/>
              <w:left w:val="single" w:sz="4" w:space="0" w:color="BFBFBF" w:themeColor="background1" w:themeShade="BF"/>
              <w:bottom w:val="nil"/>
              <w:right w:val="single" w:sz="4" w:space="0" w:color="BFBFBF" w:themeColor="background1" w:themeShade="BF"/>
            </w:tcBorders>
          </w:tcPr>
          <w:p w14:paraId="5A9362A5" w14:textId="6AA4E6C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0.934***</w:t>
            </w:r>
          </w:p>
        </w:tc>
        <w:tc>
          <w:tcPr>
            <w:tcW w:w="1386" w:type="dxa"/>
            <w:tcBorders>
              <w:top w:val="nil"/>
              <w:left w:val="single" w:sz="4" w:space="0" w:color="BFBFBF" w:themeColor="background1" w:themeShade="BF"/>
              <w:bottom w:val="nil"/>
              <w:right w:val="single" w:sz="4" w:space="0" w:color="BFBFBF" w:themeColor="background1" w:themeShade="BF"/>
            </w:tcBorders>
          </w:tcPr>
          <w:p w14:paraId="633C2DC7" w14:textId="422FCEC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1.001***</w:t>
            </w:r>
          </w:p>
        </w:tc>
        <w:tc>
          <w:tcPr>
            <w:tcW w:w="1386" w:type="dxa"/>
            <w:tcBorders>
              <w:top w:val="nil"/>
              <w:left w:val="single" w:sz="4" w:space="0" w:color="BFBFBF" w:themeColor="background1" w:themeShade="BF"/>
              <w:bottom w:val="nil"/>
              <w:right w:val="nil"/>
            </w:tcBorders>
          </w:tcPr>
          <w:p w14:paraId="16B52355" w14:textId="6606B8E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0.981***</w:t>
            </w:r>
          </w:p>
        </w:tc>
      </w:tr>
      <w:tr w:rsidR="0021785A" w:rsidRPr="00731C8B" w14:paraId="400C4F35" w14:textId="77777777" w:rsidTr="007E65FA">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65F66081"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7E126FB" w14:textId="0D1D71B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(0.0546)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53A13729" w14:textId="4BC5D5A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(0.0460)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ACE00C6" w14:textId="167FF04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(0.103)</w:t>
            </w:r>
          </w:p>
        </w:tc>
        <w:tc>
          <w:tcPr>
            <w:tcW w:w="1386" w:type="dxa"/>
            <w:tcBorders>
              <w:top w:val="nil"/>
              <w:left w:val="single" w:sz="4" w:space="0" w:color="BFBFBF" w:themeColor="background1" w:themeShade="BF"/>
              <w:bottom w:val="single" w:sz="4" w:space="0" w:color="BFBFBF" w:themeColor="background1" w:themeShade="BF"/>
              <w:right w:val="nil"/>
            </w:tcBorders>
          </w:tcPr>
          <w:p w14:paraId="7C00A6CF" w14:textId="1B440F8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(0.0904)</w:t>
            </w:r>
          </w:p>
        </w:tc>
      </w:tr>
      <w:tr w:rsidR="0021785A" w:rsidRPr="00731C8B" w14:paraId="3FEFC0E5"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1B093D46" w14:textId="2088DA83" w:rsidR="0021785A" w:rsidRPr="00A75EE4" w:rsidRDefault="00AA128E" w:rsidP="0021785A">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defl</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C806B83" w14:textId="372980B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-0.151***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5A96C8F"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FB6A055" w14:textId="714C09A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0.221*</w:t>
            </w:r>
          </w:p>
        </w:tc>
        <w:tc>
          <w:tcPr>
            <w:tcW w:w="1386" w:type="dxa"/>
            <w:tcBorders>
              <w:top w:val="single" w:sz="4" w:space="0" w:color="BFBFBF" w:themeColor="background1" w:themeShade="BF"/>
              <w:left w:val="single" w:sz="4" w:space="0" w:color="BFBFBF" w:themeColor="background1" w:themeShade="BF"/>
              <w:bottom w:val="nil"/>
              <w:right w:val="nil"/>
            </w:tcBorders>
          </w:tcPr>
          <w:p w14:paraId="1C31DCC9" w14:textId="77777777" w:rsidR="0021785A" w:rsidRPr="0021785A" w:rsidRDefault="0021785A" w:rsidP="0021785A">
            <w:pPr>
              <w:widowControl w:val="0"/>
              <w:autoSpaceDE w:val="0"/>
              <w:autoSpaceDN w:val="0"/>
              <w:adjustRightInd w:val="0"/>
              <w:jc w:val="center"/>
              <w:rPr>
                <w:rFonts w:cs="Segoe UI"/>
                <w:sz w:val="18"/>
                <w:szCs w:val="18"/>
              </w:rPr>
            </w:pPr>
          </w:p>
        </w:tc>
      </w:tr>
      <w:tr w:rsidR="0021785A" w:rsidRPr="00731C8B" w14:paraId="352991AF"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6BC7DBAB"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D431E16" w14:textId="1863B39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(0.0523)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2E632A5"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431B923" w14:textId="2703686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(0.116)</w:t>
            </w:r>
          </w:p>
        </w:tc>
        <w:tc>
          <w:tcPr>
            <w:tcW w:w="1386" w:type="dxa"/>
            <w:tcBorders>
              <w:top w:val="nil"/>
              <w:left w:val="single" w:sz="4" w:space="0" w:color="BFBFBF" w:themeColor="background1" w:themeShade="BF"/>
              <w:bottom w:val="single" w:sz="4" w:space="0" w:color="BFBFBF" w:themeColor="background1" w:themeShade="BF"/>
              <w:right w:val="nil"/>
            </w:tcBorders>
          </w:tcPr>
          <w:p w14:paraId="52983B58" w14:textId="77777777" w:rsidR="0021785A" w:rsidRPr="0021785A" w:rsidRDefault="0021785A" w:rsidP="0021785A">
            <w:pPr>
              <w:widowControl w:val="0"/>
              <w:autoSpaceDE w:val="0"/>
              <w:autoSpaceDN w:val="0"/>
              <w:adjustRightInd w:val="0"/>
              <w:jc w:val="center"/>
              <w:rPr>
                <w:rFonts w:cs="Segoe UI"/>
                <w:sz w:val="18"/>
                <w:szCs w:val="18"/>
              </w:rPr>
            </w:pPr>
          </w:p>
        </w:tc>
      </w:tr>
      <w:tr w:rsidR="0021785A" w:rsidRPr="00731C8B" w14:paraId="657C37BD"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16C6C3F0" w14:textId="7E9D5427" w:rsidR="0021785A" w:rsidRPr="00A75EE4" w:rsidRDefault="00AA128E" w:rsidP="0021785A">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High</m:t>
                    </m:r>
                    <m:r>
                      <m:rPr>
                        <m:sty m:val="p"/>
                      </m:rPr>
                      <w:rPr>
                        <w:rFonts w:ascii="Cambria Math" w:hAnsi="Cambria Math"/>
                        <w:sz w:val="18"/>
                        <w:szCs w:val="18"/>
                        <w:lang w:val="en-US"/>
                      </w:rPr>
                      <m:t xml:space="preserve"> </m:t>
                    </m:r>
                    <m:r>
                      <w:rPr>
                        <w:rFonts w:ascii="Cambria Math" w:hAnsi="Cambria Math"/>
                        <w:sz w:val="18"/>
                        <w:szCs w:val="18"/>
                        <w:lang w:val="en-US"/>
                      </w:rPr>
                      <m:t>infl</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2578E19" w14:textId="392AF78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0.149**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3F352F6" w14:textId="4372C09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0.150**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8C28734" w14:textId="11EF2E7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-0.274</w:t>
            </w:r>
          </w:p>
        </w:tc>
        <w:tc>
          <w:tcPr>
            <w:tcW w:w="1386" w:type="dxa"/>
            <w:tcBorders>
              <w:top w:val="single" w:sz="4" w:space="0" w:color="BFBFBF" w:themeColor="background1" w:themeShade="BF"/>
              <w:left w:val="single" w:sz="4" w:space="0" w:color="BFBFBF" w:themeColor="background1" w:themeShade="BF"/>
              <w:bottom w:val="nil"/>
              <w:right w:val="nil"/>
            </w:tcBorders>
          </w:tcPr>
          <w:p w14:paraId="19C99595" w14:textId="799AD2A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-0.275</w:t>
            </w:r>
          </w:p>
        </w:tc>
      </w:tr>
      <w:tr w:rsidR="0021785A" w:rsidRPr="00731C8B" w14:paraId="30D78E95"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697339DB"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47F6B7E" w14:textId="7B9074C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(0.0681)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74B6797" w14:textId="141B6E0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(0.0703)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2D1C2C8" w14:textId="2E728DC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(0.169)</w:t>
            </w:r>
          </w:p>
        </w:tc>
        <w:tc>
          <w:tcPr>
            <w:tcW w:w="1386" w:type="dxa"/>
            <w:tcBorders>
              <w:top w:val="nil"/>
              <w:left w:val="single" w:sz="4" w:space="0" w:color="BFBFBF" w:themeColor="background1" w:themeShade="BF"/>
              <w:bottom w:val="single" w:sz="4" w:space="0" w:color="BFBFBF" w:themeColor="background1" w:themeShade="BF"/>
              <w:right w:val="nil"/>
            </w:tcBorders>
          </w:tcPr>
          <w:p w14:paraId="142A2B9B" w14:textId="2AFF37A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(0.173)</w:t>
            </w:r>
          </w:p>
        </w:tc>
      </w:tr>
      <w:tr w:rsidR="0021785A" w:rsidRPr="00731C8B" w14:paraId="6DA4FB73"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5885C996" w14:textId="430F495A" w:rsidR="0021785A" w:rsidRPr="00A75EE4" w:rsidRDefault="00AA128E" w:rsidP="0021785A">
            <w:pPr>
              <w:pStyle w:val="TableRowHeading"/>
              <w:jc w:val="both"/>
              <w:rPr>
                <w:rFonts w:ascii="Times New Roman" w:eastAsia="Malgun Gothic" w:hAnsi="Times New Roman"/>
                <w:sz w:val="18"/>
                <w:szCs w:val="18"/>
                <w:lang w:eastAsia="ko-KR"/>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pos</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F936912" w14:textId="35F5F23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-0.00621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5328864" w14:textId="0870E0C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-0.00963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2EA74EA7" w14:textId="71A235B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0.0176</w:t>
            </w:r>
          </w:p>
        </w:tc>
        <w:tc>
          <w:tcPr>
            <w:tcW w:w="1386" w:type="dxa"/>
            <w:tcBorders>
              <w:top w:val="single" w:sz="4" w:space="0" w:color="BFBFBF" w:themeColor="background1" w:themeShade="BF"/>
              <w:left w:val="single" w:sz="4" w:space="0" w:color="BFBFBF" w:themeColor="background1" w:themeShade="BF"/>
              <w:bottom w:val="nil"/>
              <w:right w:val="nil"/>
            </w:tcBorders>
          </w:tcPr>
          <w:p w14:paraId="63812CEA" w14:textId="5B7D6A5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0.0224</w:t>
            </w:r>
          </w:p>
        </w:tc>
      </w:tr>
      <w:tr w:rsidR="0021785A" w:rsidRPr="00731C8B" w14:paraId="7872757B"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6D4F60F0" w14:textId="77777777" w:rsidR="0021785A" w:rsidRPr="00A75EE4" w:rsidRDefault="0021785A" w:rsidP="0021785A">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946C243" w14:textId="7715BE3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(0.00939)</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A974D8B" w14:textId="01A0ED9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(0.00942)</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986B918" w14:textId="14B33B0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(0.0156)</w:t>
            </w:r>
          </w:p>
        </w:tc>
        <w:tc>
          <w:tcPr>
            <w:tcW w:w="1386" w:type="dxa"/>
            <w:tcBorders>
              <w:top w:val="nil"/>
              <w:left w:val="single" w:sz="4" w:space="0" w:color="BFBFBF" w:themeColor="background1" w:themeShade="BF"/>
              <w:bottom w:val="single" w:sz="4" w:space="0" w:color="BFBFBF" w:themeColor="background1" w:themeShade="BF"/>
              <w:right w:val="nil"/>
            </w:tcBorders>
          </w:tcPr>
          <w:p w14:paraId="3077A144" w14:textId="2A113D5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(0.0167)</w:t>
            </w:r>
          </w:p>
        </w:tc>
      </w:tr>
      <w:tr w:rsidR="0021785A" w:rsidRPr="00731C8B" w14:paraId="2DCBDE46" w14:textId="77777777" w:rsidTr="00F24679">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05919CEC" w14:textId="3C7DD1F2" w:rsidR="0021785A" w:rsidRPr="00A75EE4" w:rsidRDefault="00AA128E" w:rsidP="0021785A">
            <w:pPr>
              <w:pStyle w:val="TableRowHeading"/>
              <w:jc w:val="both"/>
              <w:rPr>
                <w:sz w:val="18"/>
                <w:szCs w:val="18"/>
                <w:lang w:val="en-US"/>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neg</m:t>
                    </m:r>
                  </m:sup>
                </m:sSubSup>
              </m:oMath>
            </m:oMathPara>
          </w:p>
        </w:tc>
        <w:tc>
          <w:tcPr>
            <w:tcW w:w="1387" w:type="dxa"/>
            <w:tcBorders>
              <w:top w:val="nil"/>
              <w:left w:val="single" w:sz="4" w:space="0" w:color="BFBFBF" w:themeColor="background1" w:themeShade="BF"/>
              <w:bottom w:val="nil"/>
              <w:right w:val="single" w:sz="4" w:space="0" w:color="BFBFBF" w:themeColor="background1" w:themeShade="BF"/>
            </w:tcBorders>
          </w:tcPr>
          <w:p w14:paraId="3E3DAAA1" w14:textId="726AFDD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0.0605***</w:t>
            </w:r>
          </w:p>
        </w:tc>
        <w:tc>
          <w:tcPr>
            <w:tcW w:w="1386" w:type="dxa"/>
            <w:tcBorders>
              <w:top w:val="nil"/>
              <w:left w:val="single" w:sz="4" w:space="0" w:color="BFBFBF" w:themeColor="background1" w:themeShade="BF"/>
              <w:bottom w:val="nil"/>
              <w:right w:val="single" w:sz="4" w:space="0" w:color="BFBFBF" w:themeColor="background1" w:themeShade="BF"/>
            </w:tcBorders>
          </w:tcPr>
          <w:p w14:paraId="5EC7B25C" w14:textId="0D98BC4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0.0708***</w:t>
            </w:r>
          </w:p>
        </w:tc>
        <w:tc>
          <w:tcPr>
            <w:tcW w:w="1386" w:type="dxa"/>
            <w:tcBorders>
              <w:top w:val="nil"/>
              <w:left w:val="single" w:sz="4" w:space="0" w:color="BFBFBF" w:themeColor="background1" w:themeShade="BF"/>
              <w:bottom w:val="nil"/>
              <w:right w:val="single" w:sz="4" w:space="0" w:color="BFBFBF" w:themeColor="background1" w:themeShade="BF"/>
            </w:tcBorders>
          </w:tcPr>
          <w:p w14:paraId="2E126564" w14:textId="377CD3C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-0.104**</w:t>
            </w:r>
          </w:p>
        </w:tc>
        <w:tc>
          <w:tcPr>
            <w:tcW w:w="1386" w:type="dxa"/>
            <w:tcBorders>
              <w:top w:val="nil"/>
              <w:left w:val="single" w:sz="4" w:space="0" w:color="BFBFBF" w:themeColor="background1" w:themeShade="BF"/>
              <w:bottom w:val="nil"/>
              <w:right w:val="nil"/>
            </w:tcBorders>
          </w:tcPr>
          <w:p w14:paraId="12C86B5F" w14:textId="4AD5522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-0.118**</w:t>
            </w:r>
          </w:p>
        </w:tc>
      </w:tr>
      <w:tr w:rsidR="0021785A" w:rsidRPr="00731C8B" w14:paraId="12A8505C" w14:textId="77777777" w:rsidTr="00F24679">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011AF734" w14:textId="77777777" w:rsidR="0021785A" w:rsidRPr="00A75EE4" w:rsidRDefault="0021785A" w:rsidP="0021785A">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28A3C38" w14:textId="74BDB2B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(0.0201)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C34D7E9" w14:textId="2C7D8BF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(0.0227)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24BC105" w14:textId="677058A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(0.0464)</w:t>
            </w:r>
          </w:p>
        </w:tc>
        <w:tc>
          <w:tcPr>
            <w:tcW w:w="1386" w:type="dxa"/>
            <w:tcBorders>
              <w:top w:val="nil"/>
              <w:left w:val="single" w:sz="4" w:space="0" w:color="BFBFBF" w:themeColor="background1" w:themeShade="BF"/>
              <w:bottom w:val="single" w:sz="4" w:space="0" w:color="BFBFBF" w:themeColor="background1" w:themeShade="BF"/>
              <w:right w:val="nil"/>
            </w:tcBorders>
          </w:tcPr>
          <w:p w14:paraId="0F38D74D" w14:textId="5C04EBA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(0.0528)</w:t>
            </w:r>
          </w:p>
        </w:tc>
      </w:tr>
      <w:tr w:rsidR="0021785A" w:rsidRPr="00731C8B" w14:paraId="5472271D"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5A11F056" w14:textId="2A01969D" w:rsidR="0021785A" w:rsidRPr="00A75EE4" w:rsidRDefault="00AA128E" w:rsidP="0021785A">
            <w:pPr>
              <w:pStyle w:val="TableRowHeading"/>
              <w:jc w:val="both"/>
              <w:rPr>
                <w:rFonts w:ascii="Times New Roman" w:eastAsia="Malgun Gothic" w:hAnsi="Times New Roman"/>
                <w:sz w:val="18"/>
                <w:szCs w:val="18"/>
                <w:lang w:eastAsia="ko-KR"/>
              </w:rPr>
            </w:pPr>
            <m:oMathPara>
              <m:oMath>
                <m:sSup>
                  <m:sSupPr>
                    <m:ctrlPr>
                      <w:rPr>
                        <w:rFonts w:ascii="Cambria Math" w:hAnsi="Cambria Math"/>
                        <w:sz w:val="18"/>
                        <w:szCs w:val="18"/>
                        <w:lang w:val="en-US"/>
                      </w:rPr>
                    </m:ctrlPr>
                  </m:sSupPr>
                  <m:e>
                    <m:sSub>
                      <m:sSubPr>
                        <m:ctrlPr>
                          <w:rPr>
                            <w:rFonts w:ascii="Cambria Math" w:hAnsi="Cambria Math"/>
                            <w:sz w:val="18"/>
                            <w:szCs w:val="18"/>
                            <w:lang w:val="en-US"/>
                          </w:rPr>
                        </m:ctrlPr>
                      </m:sSubPr>
                      <m:e>
                        <m:r>
                          <m:rPr>
                            <m:sty m:val="p"/>
                          </m:rPr>
                          <w:rPr>
                            <w:rFonts w:ascii="Cambria Math" w:hAnsi="Cambria Math"/>
                            <w:sz w:val="18"/>
                            <w:szCs w:val="18"/>
                            <w:lang w:val="en-US"/>
                          </w:rPr>
                          <m:t>(</m:t>
                        </m:r>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r>
                      <m:rPr>
                        <m:sty m:val="p"/>
                      </m:rPr>
                      <w:rPr>
                        <w:rFonts w:ascii="Cambria Math" w:eastAsia="Malgun Gothic" w:hAnsi="Cambria Math"/>
                        <w:sz w:val="18"/>
                        <w:szCs w:val="18"/>
                      </w:rPr>
                      <m:t>)</m:t>
                    </m:r>
                  </m:e>
                  <m:sup>
                    <m:r>
                      <m:rPr>
                        <m:sty m:val="p"/>
                      </m:rPr>
                      <w:rPr>
                        <w:rFonts w:ascii="Cambria Math" w:hAnsi="Cambria Math"/>
                        <w:sz w:val="18"/>
                        <w:szCs w:val="18"/>
                        <w:lang w:val="en-US"/>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D3DE86F" w14:textId="56D0048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0.00218*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B0AD852" w14:textId="4473116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0.00263**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A198E23" w14:textId="38A024B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-0.00445**</w:t>
            </w:r>
          </w:p>
        </w:tc>
        <w:tc>
          <w:tcPr>
            <w:tcW w:w="1386" w:type="dxa"/>
            <w:tcBorders>
              <w:top w:val="single" w:sz="4" w:space="0" w:color="BFBFBF" w:themeColor="background1" w:themeShade="BF"/>
              <w:left w:val="single" w:sz="4" w:space="0" w:color="BFBFBF" w:themeColor="background1" w:themeShade="BF"/>
              <w:bottom w:val="nil"/>
              <w:right w:val="nil"/>
            </w:tcBorders>
          </w:tcPr>
          <w:p w14:paraId="416ED870" w14:textId="6C86273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-0.00508**</w:t>
            </w:r>
          </w:p>
        </w:tc>
      </w:tr>
      <w:tr w:rsidR="0021785A" w:rsidRPr="00731C8B" w14:paraId="42494940"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3A5368FD" w14:textId="77777777" w:rsidR="0021785A" w:rsidRPr="00A75EE4" w:rsidRDefault="0021785A" w:rsidP="0021785A">
            <w:pPr>
              <w:pStyle w:val="TableRowHeading"/>
              <w:jc w:val="both"/>
              <w:rPr>
                <w:sz w:val="18"/>
                <w:szCs w:val="18"/>
                <w:lang w:val="en-US"/>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CEF8981" w14:textId="19BC399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(0.00119)</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C7ADA4C" w14:textId="401A96A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(0.00130)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0159DE8" w14:textId="63A40F0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(0.00212)</w:t>
            </w:r>
          </w:p>
        </w:tc>
        <w:tc>
          <w:tcPr>
            <w:tcW w:w="1386" w:type="dxa"/>
            <w:tcBorders>
              <w:top w:val="nil"/>
              <w:left w:val="single" w:sz="4" w:space="0" w:color="BFBFBF" w:themeColor="background1" w:themeShade="BF"/>
              <w:bottom w:val="single" w:sz="4" w:space="0" w:color="BFBFBF" w:themeColor="background1" w:themeShade="BF"/>
              <w:right w:val="nil"/>
            </w:tcBorders>
          </w:tcPr>
          <w:p w14:paraId="28579058" w14:textId="73276B0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(0.00240)</w:t>
            </w:r>
          </w:p>
        </w:tc>
      </w:tr>
      <w:tr w:rsidR="0021785A" w:rsidRPr="00731C8B" w14:paraId="19961B54"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108BE875" w14:textId="695B05D4" w:rsidR="0021785A" w:rsidRPr="00A75EE4" w:rsidRDefault="00AA128E" w:rsidP="0021785A">
            <w:pPr>
              <w:pStyle w:val="TableRowHeading"/>
              <w:jc w:val="both"/>
              <w:rPr>
                <w:rFonts w:ascii="Times New Roman" w:eastAsia="Calibri" w:hAnsi="Times New Roman"/>
                <w:sz w:val="18"/>
                <w:szCs w:val="18"/>
              </w:rPr>
            </w:pPr>
            <m:oMathPara>
              <m:oMath>
                <m:sSubSup>
                  <m:sSubSupPr>
                    <m:ctrlPr>
                      <w:rPr>
                        <w:rFonts w:ascii="Cambria Math" w:hAnsi="Cambria Math"/>
                        <w:sz w:val="18"/>
                        <w:szCs w:val="18"/>
                      </w:rPr>
                    </m:ctrlPr>
                  </m:sSubSupPr>
                  <m:e>
                    <m:r>
                      <w:rPr>
                        <w:rFonts w:ascii="Cambria Math" w:hAnsi="Cambria Math"/>
                        <w:sz w:val="18"/>
                        <w:szCs w:val="18"/>
                        <w:lang w:val="en-US"/>
                      </w:rPr>
                      <m:t>y</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gap</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2617990" w14:textId="5D4018A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0.0251***</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08177D5" w14:textId="20AACAD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0.0260***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11DEFD26" w14:textId="1C9BF03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-0.0357**</w:t>
            </w:r>
          </w:p>
        </w:tc>
        <w:tc>
          <w:tcPr>
            <w:tcW w:w="1386" w:type="dxa"/>
            <w:tcBorders>
              <w:top w:val="single" w:sz="4" w:space="0" w:color="BFBFBF" w:themeColor="background1" w:themeShade="BF"/>
              <w:left w:val="single" w:sz="4" w:space="0" w:color="BFBFBF" w:themeColor="background1" w:themeShade="BF"/>
              <w:bottom w:val="nil"/>
              <w:right w:val="nil"/>
            </w:tcBorders>
          </w:tcPr>
          <w:p w14:paraId="32A25B52" w14:textId="63EEF08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-0.0368**</w:t>
            </w:r>
          </w:p>
        </w:tc>
      </w:tr>
      <w:tr w:rsidR="0021785A" w:rsidRPr="00731C8B" w14:paraId="481059EF"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2EA32462"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3B7864A" w14:textId="2DD54A4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(0.00708)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2A791AE" w14:textId="06B6B1F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(0.00733)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18CC762" w14:textId="7BF7399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(0.0134)</w:t>
            </w:r>
          </w:p>
        </w:tc>
        <w:tc>
          <w:tcPr>
            <w:tcW w:w="1386" w:type="dxa"/>
            <w:tcBorders>
              <w:top w:val="nil"/>
              <w:left w:val="single" w:sz="4" w:space="0" w:color="BFBFBF" w:themeColor="background1" w:themeShade="BF"/>
              <w:bottom w:val="single" w:sz="4" w:space="0" w:color="BFBFBF" w:themeColor="background1" w:themeShade="BF"/>
              <w:right w:val="nil"/>
            </w:tcBorders>
          </w:tcPr>
          <w:p w14:paraId="30C9C827" w14:textId="0A21232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(0.0138)</w:t>
            </w:r>
          </w:p>
        </w:tc>
      </w:tr>
      <w:tr w:rsidR="0021785A" w:rsidRPr="00731C8B" w14:paraId="5E82B25C"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3656F087" w14:textId="42BC56AD" w:rsidR="0021785A" w:rsidRPr="00A75EE4" w:rsidRDefault="0021785A" w:rsidP="0021785A">
            <w:pPr>
              <w:pStyle w:val="TableRowHeading"/>
              <w:jc w:val="both"/>
              <w:rPr>
                <w:rFonts w:ascii="Times New Roman" w:eastAsia="Calibri" w:hAnsi="Times New Roman"/>
                <w:sz w:val="18"/>
                <w:szCs w:val="18"/>
              </w:rPr>
            </w:pPr>
            <m:oMathPara>
              <m:oMath>
                <m:r>
                  <w:rPr>
                    <w:rFonts w:ascii="Cambria Math" w:hAnsi="Cambria Math"/>
                    <w:sz w:val="18"/>
                    <w:szCs w:val="18"/>
                  </w:rPr>
                  <m:t>abs</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056488E" w14:textId="63F67B1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-0.0239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92A3D70" w14:textId="0774C1E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-0.0238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483C0F5" w14:textId="270C3AE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0.0582*</w:t>
            </w:r>
          </w:p>
        </w:tc>
        <w:tc>
          <w:tcPr>
            <w:tcW w:w="1386" w:type="dxa"/>
            <w:tcBorders>
              <w:top w:val="single" w:sz="4" w:space="0" w:color="BFBFBF" w:themeColor="background1" w:themeShade="BF"/>
              <w:left w:val="single" w:sz="4" w:space="0" w:color="BFBFBF" w:themeColor="background1" w:themeShade="BF"/>
              <w:bottom w:val="nil"/>
              <w:right w:val="nil"/>
            </w:tcBorders>
          </w:tcPr>
          <w:p w14:paraId="7D8E7DF2" w14:textId="5E56347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0.0576*</w:t>
            </w:r>
          </w:p>
        </w:tc>
      </w:tr>
      <w:tr w:rsidR="0021785A" w:rsidRPr="00731C8B" w14:paraId="4A2D87C9"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57016097" w14:textId="77777777" w:rsidR="0021785A" w:rsidRPr="00A75EE4" w:rsidRDefault="0021785A" w:rsidP="0021785A">
            <w:pPr>
              <w:pStyle w:val="TableRowHeading"/>
              <w:jc w:val="both"/>
              <w:rPr>
                <w:iCs/>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AE373A5" w14:textId="73D623D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(0.0160)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2D86546" w14:textId="398BE37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(0.0167)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2B1EA4C" w14:textId="7972B56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(0.0301)</w:t>
            </w:r>
          </w:p>
        </w:tc>
        <w:tc>
          <w:tcPr>
            <w:tcW w:w="1386" w:type="dxa"/>
            <w:tcBorders>
              <w:top w:val="nil"/>
              <w:left w:val="single" w:sz="4" w:space="0" w:color="BFBFBF" w:themeColor="background1" w:themeShade="BF"/>
              <w:bottom w:val="single" w:sz="4" w:space="0" w:color="BFBFBF" w:themeColor="background1" w:themeShade="BF"/>
              <w:right w:val="nil"/>
            </w:tcBorders>
          </w:tcPr>
          <w:p w14:paraId="6E764477" w14:textId="3D74114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(0.0305)</w:t>
            </w:r>
          </w:p>
        </w:tc>
      </w:tr>
      <w:tr w:rsidR="0021785A" w:rsidRPr="00731C8B" w14:paraId="6781AD5A"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4FBEFBEA" w14:textId="53B6F45A" w:rsidR="0021785A" w:rsidRPr="00A75EE4" w:rsidRDefault="00AA128E" w:rsidP="0021785A">
            <w:pPr>
              <w:pStyle w:val="TableRowHeading"/>
              <w:jc w:val="both"/>
              <w:rPr>
                <w:rFonts w:ascii="Times New Roman" w:eastAsia="Calibri" w:hAnsi="Times New Roman"/>
                <w:sz w:val="18"/>
                <w:szCs w:val="18"/>
              </w:rPr>
            </w:pPr>
            <m:oMathPara>
              <m:oMath>
                <m:sSup>
                  <m:sSupPr>
                    <m:ctrlPr>
                      <w:rPr>
                        <w:rFonts w:ascii="Cambria Math" w:hAnsi="Cambria Math"/>
                        <w:sz w:val="18"/>
                        <w:szCs w:val="18"/>
                      </w:rPr>
                    </m:ctrlPr>
                  </m:sSupPr>
                  <m:e>
                    <m:d>
                      <m:dPr>
                        <m:begChr m:val=""/>
                        <m:endChr m:val=""/>
                        <m:ctrlPr>
                          <w:rPr>
                            <w:rFonts w:ascii="Cambria Math" w:hAnsi="Cambria Math"/>
                            <w:sz w:val="18"/>
                            <w:szCs w:val="18"/>
                          </w:rPr>
                        </m:ctrlPr>
                      </m:dPr>
                      <m:e>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e>
                    </m:d>
                  </m:e>
                  <m:sup>
                    <m:r>
                      <m:rPr>
                        <m:sty m:val="p"/>
                      </m:rPr>
                      <w:rPr>
                        <w:rFonts w:ascii="Cambria Math" w:hAnsi="Cambria Math"/>
                        <w:sz w:val="18"/>
                        <w:szCs w:val="18"/>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6CD32E4D" w14:textId="710312E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-0.00152</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CA42832" w14:textId="0C11D4F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-0.00160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0A6F97B" w14:textId="186ABCE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-0.00957</w:t>
            </w:r>
          </w:p>
        </w:tc>
        <w:tc>
          <w:tcPr>
            <w:tcW w:w="1386" w:type="dxa"/>
            <w:tcBorders>
              <w:top w:val="single" w:sz="4" w:space="0" w:color="BFBFBF" w:themeColor="background1" w:themeShade="BF"/>
              <w:left w:val="single" w:sz="4" w:space="0" w:color="BFBFBF" w:themeColor="background1" w:themeShade="BF"/>
              <w:bottom w:val="nil"/>
              <w:right w:val="nil"/>
            </w:tcBorders>
          </w:tcPr>
          <w:p w14:paraId="60BDAC23" w14:textId="502B0B3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-0.00929</w:t>
            </w:r>
          </w:p>
        </w:tc>
      </w:tr>
      <w:tr w:rsidR="0021785A" w:rsidRPr="00731C8B" w14:paraId="7811A712"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74E45273"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63BF02C" w14:textId="7820501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(0.00361)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479C57D" w14:textId="17E18A7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(0.00350)</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7E9A2FD6" w14:textId="4AB0E9B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(0.00779)</w:t>
            </w:r>
          </w:p>
        </w:tc>
        <w:tc>
          <w:tcPr>
            <w:tcW w:w="1386" w:type="dxa"/>
            <w:tcBorders>
              <w:top w:val="nil"/>
              <w:left w:val="single" w:sz="4" w:space="0" w:color="BFBFBF" w:themeColor="background1" w:themeShade="BF"/>
              <w:bottom w:val="single" w:sz="4" w:space="0" w:color="BFBFBF" w:themeColor="background1" w:themeShade="BF"/>
              <w:right w:val="nil"/>
            </w:tcBorders>
          </w:tcPr>
          <w:p w14:paraId="7C2A2671" w14:textId="27141789"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(0.00765)</w:t>
            </w:r>
          </w:p>
        </w:tc>
      </w:tr>
      <w:tr w:rsidR="0021785A" w:rsidRPr="00731C8B" w14:paraId="6D214026"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58435EA4" w14:textId="36991BEC" w:rsidR="0021785A" w:rsidRPr="00A75EE4" w:rsidRDefault="0021785A" w:rsidP="0021785A">
            <w:pPr>
              <w:pStyle w:val="TableRowHeading"/>
              <w:jc w:val="both"/>
              <w:rPr>
                <w:rFonts w:ascii="Times New Roman" w:eastAsia="Calibri" w:hAnsi="Times New Roman"/>
                <w:sz w:val="18"/>
                <w:szCs w:val="18"/>
              </w:rPr>
            </w:pPr>
            <m:oMathPara>
              <m:oMath>
                <m:r>
                  <w:rPr>
                    <w:rFonts w:ascii="Cambria Math" w:hAnsi="Cambria Math"/>
                    <w:sz w:val="18"/>
                    <w:szCs w:val="18"/>
                  </w:rPr>
                  <m:t>abs</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Δneer</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2B929238" w14:textId="16043C5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-2.084***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100439D" w14:textId="6FCC823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-2.159***</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22EACA2" w14:textId="34F6859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1.578</w:t>
            </w:r>
          </w:p>
        </w:tc>
        <w:tc>
          <w:tcPr>
            <w:tcW w:w="1386" w:type="dxa"/>
            <w:tcBorders>
              <w:top w:val="single" w:sz="4" w:space="0" w:color="BFBFBF" w:themeColor="background1" w:themeShade="BF"/>
              <w:left w:val="single" w:sz="4" w:space="0" w:color="BFBFBF" w:themeColor="background1" w:themeShade="BF"/>
              <w:bottom w:val="nil"/>
              <w:right w:val="nil"/>
            </w:tcBorders>
          </w:tcPr>
          <w:p w14:paraId="03A1B173" w14:textId="1A70B5D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1.704</w:t>
            </w:r>
          </w:p>
        </w:tc>
      </w:tr>
      <w:tr w:rsidR="0021785A" w:rsidRPr="00731C8B" w14:paraId="7C44715C"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2FA6D490" w14:textId="77777777" w:rsidR="0021785A" w:rsidRPr="00A75EE4" w:rsidRDefault="0021785A" w:rsidP="0021785A">
            <w:pPr>
              <w:pStyle w:val="TableRowHeading"/>
              <w:jc w:val="both"/>
              <w:rPr>
                <w:iCs/>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E355B60" w14:textId="4A41DC8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(0.525)</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FFF3B27" w14:textId="740704D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(0.566)</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0D8D39BD" w14:textId="6AA9D368"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(1.649)</w:t>
            </w:r>
          </w:p>
        </w:tc>
        <w:tc>
          <w:tcPr>
            <w:tcW w:w="1386" w:type="dxa"/>
            <w:tcBorders>
              <w:top w:val="nil"/>
              <w:left w:val="single" w:sz="4" w:space="0" w:color="BFBFBF" w:themeColor="background1" w:themeShade="BF"/>
              <w:bottom w:val="single" w:sz="4" w:space="0" w:color="BFBFBF" w:themeColor="background1" w:themeShade="BF"/>
              <w:right w:val="nil"/>
            </w:tcBorders>
          </w:tcPr>
          <w:p w14:paraId="7DECB0B8" w14:textId="3C01ED1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(1.530)</w:t>
            </w:r>
          </w:p>
        </w:tc>
      </w:tr>
      <w:tr w:rsidR="0021785A" w:rsidRPr="00731C8B" w14:paraId="761F8A3E"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68BDD3A0" w14:textId="3085C09C" w:rsidR="0021785A" w:rsidRPr="00A75EE4" w:rsidRDefault="00AA128E" w:rsidP="0021785A">
            <w:pPr>
              <w:pStyle w:val="TableRowHeading"/>
              <w:jc w:val="both"/>
              <w:rPr>
                <w:rFonts w:ascii="Times New Roman" w:eastAsia="Calibri" w:hAnsi="Times New Roman"/>
                <w:sz w:val="18"/>
                <w:szCs w:val="18"/>
              </w:rPr>
            </w:pPr>
            <m:oMathPara>
              <m:oMath>
                <m:d>
                  <m:dPr>
                    <m:begChr m:val=""/>
                    <m:endChr m:val=""/>
                    <m:ctrlPr>
                      <w:rPr>
                        <w:rFonts w:ascii="Cambria Math" w:hAnsi="Cambria Math"/>
                        <w:sz w:val="18"/>
                        <w:szCs w:val="18"/>
                      </w:rPr>
                    </m:ctrlPr>
                  </m:dPr>
                  <m:e>
                    <m:d>
                      <m:dPr>
                        <m:begChr m:val=""/>
                        <m:endChr m:val=""/>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val="en-US"/>
                              </w:rPr>
                              <m:t>i</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e>
                    </m:d>
                  </m:e>
                </m:d>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56C8F0B" w14:textId="0C1917C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-0.0143</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0B884BE" w14:textId="07DAE10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-0.0148</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1C94E82" w14:textId="13A4F52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0.0298**</w:t>
            </w:r>
          </w:p>
        </w:tc>
        <w:tc>
          <w:tcPr>
            <w:tcW w:w="1386" w:type="dxa"/>
            <w:tcBorders>
              <w:top w:val="single" w:sz="4" w:space="0" w:color="BFBFBF" w:themeColor="background1" w:themeShade="BF"/>
              <w:left w:val="single" w:sz="4" w:space="0" w:color="BFBFBF" w:themeColor="background1" w:themeShade="BF"/>
              <w:bottom w:val="nil"/>
              <w:right w:val="nil"/>
            </w:tcBorders>
          </w:tcPr>
          <w:p w14:paraId="22D590C5" w14:textId="2DD8D66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0.0308**</w:t>
            </w:r>
          </w:p>
        </w:tc>
      </w:tr>
      <w:tr w:rsidR="0021785A" w:rsidRPr="00731C8B" w14:paraId="55867070"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3307519A"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AD25C22" w14:textId="0DF7796D"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(0.00943)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325605D" w14:textId="35D1795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(0.00977)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3BEEABB9" w14:textId="23F1BC2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(0.0131)</w:t>
            </w:r>
          </w:p>
        </w:tc>
        <w:tc>
          <w:tcPr>
            <w:tcW w:w="1386" w:type="dxa"/>
            <w:tcBorders>
              <w:top w:val="nil"/>
              <w:left w:val="single" w:sz="4" w:space="0" w:color="BFBFBF" w:themeColor="background1" w:themeShade="BF"/>
              <w:bottom w:val="single" w:sz="4" w:space="0" w:color="BFBFBF" w:themeColor="background1" w:themeShade="BF"/>
              <w:right w:val="nil"/>
            </w:tcBorders>
          </w:tcPr>
          <w:p w14:paraId="4E3EAD2D" w14:textId="59225AF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(0.0139)</w:t>
            </w:r>
          </w:p>
        </w:tc>
      </w:tr>
      <w:tr w:rsidR="0021785A" w:rsidRPr="00731C8B" w14:paraId="010E7443"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21945168" w14:textId="6D75DE9B" w:rsidR="0021785A" w:rsidRPr="00A75EE4" w:rsidRDefault="00AA128E" w:rsidP="0021785A">
            <w:pPr>
              <w:pStyle w:val="TableRowHeading"/>
              <w:jc w:val="both"/>
              <w:rPr>
                <w:rFonts w:ascii="Times New Roman" w:eastAsia="Calibri" w:hAnsi="Times New Roman"/>
                <w:sz w:val="18"/>
                <w:szCs w:val="18"/>
              </w:rPr>
            </w:pPr>
            <m:oMathPara>
              <m:oMath>
                <m:sSup>
                  <m:sSupPr>
                    <m:ctrlPr>
                      <w:rPr>
                        <w:rFonts w:ascii="Cambria Math" w:hAnsi="Cambria Math"/>
                        <w:sz w:val="18"/>
                        <w:szCs w:val="18"/>
                      </w:rPr>
                    </m:ctrlPr>
                  </m:sSupPr>
                  <m:e>
                    <m:sSub>
                      <m:sSubPr>
                        <m:ctrlPr>
                          <w:rPr>
                            <w:rFonts w:ascii="Cambria Math" w:hAnsi="Cambria Math"/>
                            <w:sz w:val="18"/>
                            <w:szCs w:val="18"/>
                          </w:rPr>
                        </m:ctrlPr>
                      </m:sSubPr>
                      <m:e>
                        <m:r>
                          <m:rPr>
                            <m:sty m:val="p"/>
                          </m:rPr>
                          <w:rPr>
                            <w:rFonts w:ascii="Cambria Math" w:hAnsi="Cambria Math"/>
                            <w:sz w:val="18"/>
                            <w:szCs w:val="18"/>
                            <w:lang w:val="en-US"/>
                          </w:rPr>
                          <m:t>(Δ</m:t>
                        </m:r>
                        <m:r>
                          <w:rPr>
                            <w:rFonts w:ascii="Cambria Math" w:hAnsi="Cambria Math"/>
                            <w:sz w:val="18"/>
                            <w:szCs w:val="18"/>
                            <w:lang w:val="en-US"/>
                          </w:rPr>
                          <m:t>i</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r>
                      <m:rPr>
                        <m:sty m:val="p"/>
                      </m:rPr>
                      <w:rPr>
                        <w:rFonts w:ascii="Cambria Math" w:hAnsi="Cambria Math"/>
                        <w:sz w:val="18"/>
                        <w:szCs w:val="18"/>
                      </w:rPr>
                      <m:t>)</m:t>
                    </m:r>
                  </m:e>
                  <m:sup>
                    <m:r>
                      <m:rPr>
                        <m:sty m:val="p"/>
                      </m:rPr>
                      <w:rPr>
                        <w:rFonts w:ascii="Cambria Math" w:hAnsi="Cambria Math"/>
                        <w:sz w:val="18"/>
                        <w:szCs w:val="18"/>
                      </w:rPr>
                      <m:t>2</m:t>
                    </m:r>
                  </m:sup>
                </m:s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5203B8A7" w14:textId="552FF33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-3.71e-06***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3CFCF82" w14:textId="09B95BA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-3.93e-06***</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06589D33" w14:textId="4EF22B8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2.06e-06</w:t>
            </w:r>
          </w:p>
        </w:tc>
        <w:tc>
          <w:tcPr>
            <w:tcW w:w="1386" w:type="dxa"/>
            <w:tcBorders>
              <w:top w:val="single" w:sz="4" w:space="0" w:color="BFBFBF" w:themeColor="background1" w:themeShade="BF"/>
              <w:left w:val="single" w:sz="4" w:space="0" w:color="BFBFBF" w:themeColor="background1" w:themeShade="BF"/>
              <w:bottom w:val="nil"/>
              <w:right w:val="nil"/>
            </w:tcBorders>
          </w:tcPr>
          <w:p w14:paraId="10936175" w14:textId="32F5088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2.31e-06</w:t>
            </w:r>
          </w:p>
        </w:tc>
      </w:tr>
      <w:tr w:rsidR="0021785A" w:rsidRPr="00731C8B" w14:paraId="0E39CB1A"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228EEF01" w14:textId="77777777" w:rsidR="0021785A" w:rsidRPr="00A75EE4" w:rsidRDefault="0021785A" w:rsidP="0021785A">
            <w:pPr>
              <w:pStyle w:val="TableRowHeading"/>
              <w:jc w:val="both"/>
              <w:rPr>
                <w:sz w:val="18"/>
                <w:szCs w:val="18"/>
              </w:rPr>
            </w:pPr>
          </w:p>
        </w:tc>
        <w:tc>
          <w:tcPr>
            <w:tcW w:w="138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073C9D6" w14:textId="23054ED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(8.68e-07)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5512FF3B" w14:textId="6D0F485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(9.16e-07)</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54D64C8E" w14:textId="0AFAC59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(1.50e-06)</w:t>
            </w:r>
          </w:p>
        </w:tc>
        <w:tc>
          <w:tcPr>
            <w:tcW w:w="1386" w:type="dxa"/>
            <w:tcBorders>
              <w:top w:val="nil"/>
              <w:left w:val="single" w:sz="4" w:space="0" w:color="BFBFBF" w:themeColor="background1" w:themeShade="BF"/>
              <w:bottom w:val="single" w:sz="4" w:space="0" w:color="BFBFBF" w:themeColor="background1" w:themeShade="BF"/>
              <w:right w:val="nil"/>
            </w:tcBorders>
          </w:tcPr>
          <w:p w14:paraId="3C43C06C" w14:textId="22AED75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(1.62e-06)</w:t>
            </w:r>
          </w:p>
        </w:tc>
      </w:tr>
      <w:tr w:rsidR="0021785A" w:rsidRPr="00731C8B" w14:paraId="18E65F46"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5A314C15" w14:textId="7096107D" w:rsidR="0021785A" w:rsidRDefault="00AA128E" w:rsidP="0021785A">
            <w:pPr>
              <w:pStyle w:val="TableRowHeading"/>
              <w:jc w:val="both"/>
              <w:rPr>
                <w:sz w:val="18"/>
                <w:szCs w:val="18"/>
              </w:rPr>
            </w:pPr>
            <m:oMathPara>
              <m:oMath>
                <m:sSub>
                  <m:sSubPr>
                    <m:ctrlPr>
                      <w:rPr>
                        <w:rFonts w:ascii="Cambria Math" w:hAnsi="Cambria Math"/>
                        <w:i/>
                        <w:sz w:val="18"/>
                        <w:szCs w:val="18"/>
                        <w:lang w:val="en-US"/>
                      </w:rPr>
                    </m:ctrlPr>
                  </m:sSubPr>
                  <m:e>
                    <m:r>
                      <w:rPr>
                        <w:rFonts w:ascii="Cambria Math" w:hAnsi="Cambria Math"/>
                        <w:sz w:val="18"/>
                        <w:szCs w:val="18"/>
                        <w:lang w:val="en-US"/>
                      </w:rPr>
                      <m:t>recession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0409ED7" w14:textId="74AEE012"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0.00124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A1A7672" w14:textId="1B02AB47"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0.000760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243ED32D" w14:textId="2B09CFCB"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-0.00743</w:t>
            </w:r>
          </w:p>
        </w:tc>
        <w:tc>
          <w:tcPr>
            <w:tcW w:w="1386" w:type="dxa"/>
            <w:tcBorders>
              <w:top w:val="single" w:sz="4" w:space="0" w:color="BFBFBF" w:themeColor="background1" w:themeShade="BF"/>
              <w:left w:val="single" w:sz="4" w:space="0" w:color="BFBFBF" w:themeColor="background1" w:themeShade="BF"/>
              <w:bottom w:val="nil"/>
              <w:right w:val="nil"/>
            </w:tcBorders>
          </w:tcPr>
          <w:p w14:paraId="19381E12" w14:textId="5CCB84C1"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-0.00768</w:t>
            </w:r>
          </w:p>
        </w:tc>
      </w:tr>
      <w:tr w:rsidR="0021785A" w:rsidRPr="00731C8B" w14:paraId="75FC9C54"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58E1C5E3" w14:textId="77777777" w:rsidR="0021785A" w:rsidRDefault="0021785A" w:rsidP="0021785A">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14:paraId="68717DEA" w14:textId="4530D36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(0.0123)</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64F85BCA" w14:textId="1FF4E37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(0.0124)</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6E62FCC" w14:textId="2B60E2D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(0.0165)</w:t>
            </w:r>
          </w:p>
        </w:tc>
        <w:tc>
          <w:tcPr>
            <w:tcW w:w="1386" w:type="dxa"/>
            <w:tcBorders>
              <w:top w:val="nil"/>
              <w:left w:val="single" w:sz="4" w:space="0" w:color="BFBFBF" w:themeColor="background1" w:themeShade="BF"/>
              <w:bottom w:val="single" w:sz="4" w:space="0" w:color="BFBFBF" w:themeColor="background1" w:themeShade="BF"/>
              <w:right w:val="nil"/>
            </w:tcBorders>
          </w:tcPr>
          <w:p w14:paraId="67C46FA9" w14:textId="50409E8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(0.0170)</w:t>
            </w:r>
          </w:p>
        </w:tc>
      </w:tr>
      <w:tr w:rsidR="0021785A" w:rsidRPr="00731C8B" w14:paraId="1E2AEFAD"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77063EF8" w14:textId="49F34483" w:rsidR="0021785A" w:rsidRDefault="00AA128E" w:rsidP="0021785A">
            <w:pPr>
              <w:pStyle w:val="TableRowHeading"/>
              <w:jc w:val="both"/>
              <w:rPr>
                <w:sz w:val="18"/>
                <w:szCs w:val="18"/>
              </w:rPr>
            </w:pPr>
            <m:oMathPara>
              <m:oMath>
                <m:sSub>
                  <m:sSubPr>
                    <m:ctrlPr>
                      <w:rPr>
                        <w:rFonts w:ascii="Cambria Math" w:hAnsi="Cambria Math"/>
                        <w:i/>
                        <w:sz w:val="18"/>
                        <w:szCs w:val="18"/>
                        <w:lang w:val="en-US"/>
                      </w:rPr>
                    </m:ctrlPr>
                  </m:sSubPr>
                  <m:e>
                    <m:r>
                      <w:rPr>
                        <w:rFonts w:ascii="Cambria Math" w:hAnsi="Cambria Math"/>
                        <w:sz w:val="18"/>
                        <w:szCs w:val="18"/>
                        <w:lang w:val="en-US"/>
                      </w:rPr>
                      <m:t>mp_contraction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5AAA50F" w14:textId="6DDC7CE4"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0.0120</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3E8AF8C1" w14:textId="04F1F10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0.0134</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475E8D0" w14:textId="789B4B30"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-0.0409</w:t>
            </w:r>
          </w:p>
        </w:tc>
        <w:tc>
          <w:tcPr>
            <w:tcW w:w="1386" w:type="dxa"/>
            <w:tcBorders>
              <w:top w:val="single" w:sz="4" w:space="0" w:color="BFBFBF" w:themeColor="background1" w:themeShade="BF"/>
              <w:left w:val="single" w:sz="4" w:space="0" w:color="BFBFBF" w:themeColor="background1" w:themeShade="BF"/>
              <w:bottom w:val="nil"/>
              <w:right w:val="nil"/>
            </w:tcBorders>
          </w:tcPr>
          <w:p w14:paraId="6A71788F" w14:textId="3C61C8AC"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-0.0390</w:t>
            </w:r>
          </w:p>
        </w:tc>
      </w:tr>
      <w:tr w:rsidR="0021785A" w:rsidRPr="00731C8B" w14:paraId="204473EC" w14:textId="77777777" w:rsidTr="00760415">
        <w:trPr>
          <w:cantSplit/>
          <w:trHeight w:val="20"/>
        </w:trPr>
        <w:tc>
          <w:tcPr>
            <w:tcW w:w="2311" w:type="dxa"/>
            <w:vMerge/>
            <w:tcBorders>
              <w:left w:val="nil"/>
              <w:bottom w:val="single" w:sz="4" w:space="0" w:color="BFBFBF" w:themeColor="background1" w:themeShade="BF"/>
              <w:right w:val="single" w:sz="4" w:space="0" w:color="BFBFBF" w:themeColor="background1" w:themeShade="BF"/>
            </w:tcBorders>
          </w:tcPr>
          <w:p w14:paraId="70397EA3" w14:textId="77777777" w:rsidR="0021785A" w:rsidRDefault="0021785A" w:rsidP="0021785A">
            <w:pPr>
              <w:pStyle w:val="TableRowHeading"/>
              <w:jc w:val="both"/>
              <w:rPr>
                <w:sz w:val="18"/>
                <w:szCs w:val="18"/>
              </w:rPr>
            </w:pPr>
          </w:p>
        </w:tc>
        <w:tc>
          <w:tcPr>
            <w:tcW w:w="1387" w:type="dxa"/>
            <w:tcBorders>
              <w:top w:val="nil"/>
              <w:left w:val="single" w:sz="4" w:space="0" w:color="BFBFBF" w:themeColor="background1" w:themeShade="BF"/>
              <w:bottom w:val="nil"/>
              <w:right w:val="single" w:sz="4" w:space="0" w:color="BFBFBF" w:themeColor="background1" w:themeShade="BF"/>
            </w:tcBorders>
          </w:tcPr>
          <w:p w14:paraId="68BC154B" w14:textId="01A0943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(0.0198)</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1289D59C" w14:textId="7D1DBAB6"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(0.0191)</w:t>
            </w:r>
          </w:p>
        </w:tc>
        <w:tc>
          <w:tcPr>
            <w:tcW w:w="1386"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4CD482B6" w14:textId="680560C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(0.0299)</w:t>
            </w:r>
          </w:p>
        </w:tc>
        <w:tc>
          <w:tcPr>
            <w:tcW w:w="1386" w:type="dxa"/>
            <w:tcBorders>
              <w:top w:val="nil"/>
              <w:left w:val="single" w:sz="4" w:space="0" w:color="BFBFBF" w:themeColor="background1" w:themeShade="BF"/>
              <w:bottom w:val="single" w:sz="4" w:space="0" w:color="BFBFBF" w:themeColor="background1" w:themeShade="BF"/>
              <w:right w:val="nil"/>
            </w:tcBorders>
          </w:tcPr>
          <w:p w14:paraId="0FA74D12" w14:textId="29ECC045"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(0.0275)</w:t>
            </w:r>
          </w:p>
        </w:tc>
      </w:tr>
      <w:tr w:rsidR="0021785A" w:rsidRPr="00731C8B" w14:paraId="106ABA8D" w14:textId="77777777" w:rsidTr="00760415">
        <w:trPr>
          <w:cantSplit/>
          <w:trHeight w:val="20"/>
        </w:trPr>
        <w:tc>
          <w:tcPr>
            <w:tcW w:w="2311" w:type="dxa"/>
            <w:vMerge w:val="restart"/>
            <w:tcBorders>
              <w:top w:val="single" w:sz="4" w:space="0" w:color="BFBFBF" w:themeColor="background1" w:themeShade="BF"/>
              <w:left w:val="nil"/>
              <w:right w:val="single" w:sz="4" w:space="0" w:color="BFBFBF" w:themeColor="background1" w:themeShade="BF"/>
            </w:tcBorders>
          </w:tcPr>
          <w:p w14:paraId="7D1FEA0A" w14:textId="2B359998" w:rsidR="0021785A" w:rsidRPr="00A75EE4" w:rsidRDefault="00AA128E" w:rsidP="0021785A">
            <w:pPr>
              <w:pStyle w:val="TableRowHeading"/>
              <w:jc w:val="both"/>
              <w:rPr>
                <w:sz w:val="18"/>
                <w:szCs w:val="18"/>
              </w:rPr>
            </w:pPr>
            <m:oMathPara>
              <m:oMath>
                <m:sSubSup>
                  <m:sSubSupPr>
                    <m:ctrlPr>
                      <w:rPr>
                        <w:rFonts w:ascii="Cambria Math" w:hAnsi="Cambria Math"/>
                        <w:sz w:val="18"/>
                        <w:szCs w:val="18"/>
                      </w:rPr>
                    </m:ctrlPr>
                  </m:sSubSupPr>
                  <m:e>
                    <m:r>
                      <w:rPr>
                        <w:rFonts w:ascii="Cambria Math" w:hAnsi="Cambria Math"/>
                        <w:sz w:val="18"/>
                        <w:szCs w:val="18"/>
                        <w:lang w:val="en-US"/>
                      </w:rPr>
                      <m:t>D</m:t>
                    </m: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sub>
                  <m:sup>
                    <m:r>
                      <w:rPr>
                        <w:rFonts w:ascii="Cambria Math" w:hAnsi="Cambria Math"/>
                        <w:sz w:val="18"/>
                        <w:szCs w:val="18"/>
                        <w:lang w:val="en-US"/>
                      </w:rPr>
                      <m:t>defl</m:t>
                    </m:r>
                    <m:r>
                      <m:rPr>
                        <m:sty m:val="p"/>
                      </m:rPr>
                      <w:rPr>
                        <w:rFonts w:ascii="Cambria Math" w:hAnsi="Cambria Math"/>
                        <w:sz w:val="18"/>
                        <w:szCs w:val="18"/>
                        <w:lang w:val="en-US"/>
                      </w:rPr>
                      <m:t xml:space="preserve"> </m:t>
                    </m:r>
                    <m:r>
                      <w:rPr>
                        <w:rFonts w:ascii="Cambria Math" w:hAnsi="Cambria Math"/>
                        <w:sz w:val="18"/>
                        <w:szCs w:val="18"/>
                        <w:lang w:val="en-US"/>
                      </w:rPr>
                      <m:t>long</m:t>
                    </m:r>
                  </m:sup>
                </m:sSubSup>
              </m:oMath>
            </m:oMathPara>
          </w:p>
        </w:tc>
        <w:tc>
          <w:tcPr>
            <w:tcW w:w="1387"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4C628282"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A359F3F" w14:textId="55E0A2AA"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-0.152***</w:t>
            </w:r>
          </w:p>
        </w:tc>
        <w:tc>
          <w:tcPr>
            <w:tcW w:w="1386"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14:paraId="762B34E9"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single" w:sz="4" w:space="0" w:color="BFBFBF" w:themeColor="background1" w:themeShade="BF"/>
              <w:left w:val="single" w:sz="4" w:space="0" w:color="BFBFBF" w:themeColor="background1" w:themeShade="BF"/>
              <w:bottom w:val="nil"/>
              <w:right w:val="nil"/>
            </w:tcBorders>
          </w:tcPr>
          <w:p w14:paraId="7299C6C0" w14:textId="4A69A31E"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0.183*</w:t>
            </w:r>
          </w:p>
        </w:tc>
      </w:tr>
      <w:tr w:rsidR="0021785A" w:rsidRPr="00731C8B" w14:paraId="6C079576" w14:textId="77777777" w:rsidTr="00760415">
        <w:trPr>
          <w:cantSplit/>
          <w:trHeight w:val="20"/>
        </w:trPr>
        <w:tc>
          <w:tcPr>
            <w:tcW w:w="2311" w:type="dxa"/>
            <w:vMerge/>
            <w:tcBorders>
              <w:left w:val="nil"/>
              <w:bottom w:val="single" w:sz="4" w:space="0" w:color="auto"/>
              <w:right w:val="single" w:sz="4" w:space="0" w:color="BFBFBF" w:themeColor="background1" w:themeShade="BF"/>
            </w:tcBorders>
          </w:tcPr>
          <w:p w14:paraId="69835E01" w14:textId="77777777" w:rsidR="0021785A" w:rsidRPr="00F5337A" w:rsidRDefault="0021785A" w:rsidP="0021785A">
            <w:pPr>
              <w:pStyle w:val="TableRowHeading"/>
              <w:jc w:val="both"/>
              <w:rPr>
                <w:rFonts w:ascii="Times New Roman" w:eastAsia="Calibri" w:hAnsi="Times New Roman"/>
              </w:rPr>
            </w:pPr>
          </w:p>
        </w:tc>
        <w:tc>
          <w:tcPr>
            <w:tcW w:w="1387" w:type="dxa"/>
            <w:tcBorders>
              <w:top w:val="nil"/>
              <w:left w:val="single" w:sz="4" w:space="0" w:color="BFBFBF" w:themeColor="background1" w:themeShade="BF"/>
              <w:bottom w:val="single" w:sz="4" w:space="0" w:color="auto"/>
              <w:right w:val="single" w:sz="4" w:space="0" w:color="BFBFBF" w:themeColor="background1" w:themeShade="BF"/>
            </w:tcBorders>
          </w:tcPr>
          <w:p w14:paraId="6FBA41B3"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14:paraId="57775B19" w14:textId="0ADF568F"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(0.0547)</w:t>
            </w:r>
          </w:p>
        </w:tc>
        <w:tc>
          <w:tcPr>
            <w:tcW w:w="1386" w:type="dxa"/>
            <w:tcBorders>
              <w:top w:val="nil"/>
              <w:left w:val="single" w:sz="4" w:space="0" w:color="BFBFBF" w:themeColor="background1" w:themeShade="BF"/>
              <w:bottom w:val="single" w:sz="4" w:space="0" w:color="auto"/>
              <w:right w:val="single" w:sz="4" w:space="0" w:color="BFBFBF" w:themeColor="background1" w:themeShade="BF"/>
            </w:tcBorders>
          </w:tcPr>
          <w:p w14:paraId="18EEBDA7" w14:textId="77777777" w:rsidR="0021785A" w:rsidRPr="0021785A" w:rsidRDefault="0021785A" w:rsidP="0021785A">
            <w:pPr>
              <w:widowControl w:val="0"/>
              <w:autoSpaceDE w:val="0"/>
              <w:autoSpaceDN w:val="0"/>
              <w:adjustRightInd w:val="0"/>
              <w:jc w:val="center"/>
              <w:rPr>
                <w:rFonts w:cs="Segoe UI"/>
                <w:sz w:val="18"/>
                <w:szCs w:val="18"/>
              </w:rPr>
            </w:pPr>
          </w:p>
        </w:tc>
        <w:tc>
          <w:tcPr>
            <w:tcW w:w="1386" w:type="dxa"/>
            <w:tcBorders>
              <w:top w:val="nil"/>
              <w:left w:val="single" w:sz="4" w:space="0" w:color="BFBFBF" w:themeColor="background1" w:themeShade="BF"/>
              <w:bottom w:val="single" w:sz="4" w:space="0" w:color="auto"/>
              <w:right w:val="nil"/>
            </w:tcBorders>
          </w:tcPr>
          <w:p w14:paraId="19EE74E8" w14:textId="1F3B9383" w:rsidR="0021785A" w:rsidRPr="0021785A" w:rsidRDefault="0021785A" w:rsidP="0021785A">
            <w:pPr>
              <w:widowControl w:val="0"/>
              <w:autoSpaceDE w:val="0"/>
              <w:autoSpaceDN w:val="0"/>
              <w:adjustRightInd w:val="0"/>
              <w:jc w:val="center"/>
              <w:rPr>
                <w:rFonts w:cs="Segoe UI"/>
                <w:sz w:val="18"/>
                <w:szCs w:val="18"/>
              </w:rPr>
            </w:pPr>
            <w:r w:rsidRPr="0021785A">
              <w:rPr>
                <w:rFonts w:cs="Segoe UI"/>
                <w:sz w:val="18"/>
                <w:szCs w:val="18"/>
              </w:rPr>
              <w:t>(0.0941)</w:t>
            </w:r>
          </w:p>
        </w:tc>
      </w:tr>
      <w:tr w:rsidR="0021785A" w:rsidRPr="00731C8B" w14:paraId="18A7D029" w14:textId="77777777" w:rsidTr="00760415">
        <w:trPr>
          <w:cantSplit/>
          <w:trHeight w:val="20"/>
        </w:trPr>
        <w:tc>
          <w:tcPr>
            <w:tcW w:w="2311" w:type="dxa"/>
            <w:tcBorders>
              <w:top w:val="single" w:sz="4" w:space="0" w:color="auto"/>
              <w:left w:val="nil"/>
              <w:bottom w:val="single" w:sz="4" w:space="0" w:color="BCBDBC"/>
              <w:right w:val="single" w:sz="4" w:space="0" w:color="BFBFBF" w:themeColor="background1" w:themeShade="BF"/>
            </w:tcBorders>
          </w:tcPr>
          <w:p w14:paraId="79FDBE02" w14:textId="77777777" w:rsidR="0021785A" w:rsidRPr="00F5337A" w:rsidRDefault="0021785A" w:rsidP="0021785A">
            <w:pPr>
              <w:pStyle w:val="TableRowHeading"/>
              <w:jc w:val="both"/>
              <w:rPr>
                <w:rFonts w:ascii="Times New Roman" w:eastAsia="Calibri" w:hAnsi="Times New Roman"/>
              </w:rPr>
            </w:pPr>
            <w:proofErr w:type="spellStart"/>
            <w:r w:rsidRPr="00F5337A">
              <w:rPr>
                <w:rFonts w:ascii="Times New Roman" w:eastAsia="Calibri" w:hAnsi="Times New Roman"/>
              </w:rPr>
              <w:t>Obs</w:t>
            </w:r>
            <w:proofErr w:type="spellEnd"/>
          </w:p>
        </w:tc>
        <w:tc>
          <w:tcPr>
            <w:tcW w:w="1387"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166F5388" w14:textId="4BA96717" w:rsidR="0021785A" w:rsidRPr="0021785A" w:rsidRDefault="0021785A" w:rsidP="0021785A">
            <w:pPr>
              <w:jc w:val="center"/>
              <w:rPr>
                <w:rFonts w:cs="Segoe UI"/>
                <w:sz w:val="18"/>
                <w:szCs w:val="18"/>
              </w:rPr>
            </w:pPr>
            <w:r w:rsidRPr="0021785A">
              <w:rPr>
                <w:rFonts w:cs="Segoe UI"/>
                <w:sz w:val="18"/>
                <w:szCs w:val="18"/>
              </w:rPr>
              <w:t>7,860</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47E4452C" w14:textId="2F76F244" w:rsidR="0021785A" w:rsidRPr="0021785A" w:rsidRDefault="0021785A" w:rsidP="0021785A">
            <w:pPr>
              <w:jc w:val="center"/>
              <w:rPr>
                <w:rFonts w:cs="Segoe UI"/>
                <w:sz w:val="18"/>
                <w:szCs w:val="18"/>
              </w:rPr>
            </w:pPr>
            <w:r w:rsidRPr="0021785A">
              <w:rPr>
                <w:rFonts w:cs="Segoe UI"/>
                <w:sz w:val="18"/>
                <w:szCs w:val="18"/>
              </w:rPr>
              <w:t>7,860</w:t>
            </w:r>
          </w:p>
        </w:tc>
        <w:tc>
          <w:tcPr>
            <w:tcW w:w="1386" w:type="dxa"/>
            <w:tcBorders>
              <w:top w:val="single" w:sz="4" w:space="0" w:color="auto"/>
              <w:left w:val="single" w:sz="4" w:space="0" w:color="BFBFBF" w:themeColor="background1" w:themeShade="BF"/>
              <w:bottom w:val="single" w:sz="4" w:space="0" w:color="BCBDBC"/>
              <w:right w:val="single" w:sz="4" w:space="0" w:color="BFBFBF" w:themeColor="background1" w:themeShade="BF"/>
            </w:tcBorders>
          </w:tcPr>
          <w:p w14:paraId="1B3E8EBD" w14:textId="7E9D6619" w:rsidR="0021785A" w:rsidRPr="0021785A" w:rsidRDefault="0021785A" w:rsidP="0021785A">
            <w:pPr>
              <w:jc w:val="center"/>
              <w:rPr>
                <w:rFonts w:cs="Segoe UI"/>
                <w:sz w:val="18"/>
                <w:szCs w:val="18"/>
              </w:rPr>
            </w:pPr>
            <w:r w:rsidRPr="0021785A">
              <w:rPr>
                <w:rFonts w:cs="Segoe UI"/>
                <w:sz w:val="18"/>
                <w:szCs w:val="18"/>
              </w:rPr>
              <w:t>7,860</w:t>
            </w:r>
          </w:p>
        </w:tc>
        <w:tc>
          <w:tcPr>
            <w:tcW w:w="1386" w:type="dxa"/>
            <w:tcBorders>
              <w:top w:val="single" w:sz="4" w:space="0" w:color="auto"/>
              <w:left w:val="single" w:sz="4" w:space="0" w:color="BFBFBF" w:themeColor="background1" w:themeShade="BF"/>
              <w:bottom w:val="single" w:sz="4" w:space="0" w:color="BCBDBC"/>
              <w:right w:val="nil"/>
            </w:tcBorders>
          </w:tcPr>
          <w:p w14:paraId="49F6B5C3" w14:textId="2583FA22" w:rsidR="0021785A" w:rsidRPr="0021785A" w:rsidRDefault="0021785A" w:rsidP="0021785A">
            <w:pPr>
              <w:jc w:val="center"/>
              <w:rPr>
                <w:rFonts w:cs="Segoe UI"/>
                <w:sz w:val="18"/>
                <w:szCs w:val="18"/>
              </w:rPr>
            </w:pPr>
            <w:r w:rsidRPr="0021785A">
              <w:rPr>
                <w:rFonts w:cs="Segoe UI"/>
                <w:sz w:val="18"/>
                <w:szCs w:val="18"/>
              </w:rPr>
              <w:t>7,860</w:t>
            </w:r>
          </w:p>
        </w:tc>
      </w:tr>
      <w:tr w:rsidR="0021785A" w:rsidRPr="00731C8B" w14:paraId="7F692D1F" w14:textId="77777777" w:rsidTr="00760415">
        <w:trPr>
          <w:cantSplit/>
          <w:trHeight w:val="20"/>
        </w:trPr>
        <w:tc>
          <w:tcPr>
            <w:tcW w:w="2311" w:type="dxa"/>
            <w:tcBorders>
              <w:top w:val="single" w:sz="4" w:space="0" w:color="BCBDBC"/>
              <w:left w:val="nil"/>
              <w:bottom w:val="single" w:sz="4" w:space="0" w:color="auto"/>
              <w:right w:val="single" w:sz="4" w:space="0" w:color="BFBFBF" w:themeColor="background1" w:themeShade="BF"/>
            </w:tcBorders>
          </w:tcPr>
          <w:p w14:paraId="78E971F5" w14:textId="77777777" w:rsidR="0021785A" w:rsidRPr="00F5337A" w:rsidRDefault="0021785A" w:rsidP="0021785A">
            <w:pPr>
              <w:pStyle w:val="TableRowHeading"/>
              <w:jc w:val="both"/>
              <w:rPr>
                <w:rFonts w:ascii="Times New Roman" w:eastAsia="Malgun Gothic" w:hAnsi="Times New Roman"/>
                <w:lang w:eastAsia="ko-KR"/>
              </w:rPr>
            </w:pPr>
            <w:r w:rsidRPr="00F5337A">
              <w:rPr>
                <w:rFonts w:ascii="Times New Roman" w:eastAsia="Malgun Gothic" w:hAnsi="Times New Roman"/>
                <w:lang w:eastAsia="ko-KR"/>
              </w:rPr>
              <w:t>R-squared</w:t>
            </w:r>
          </w:p>
        </w:tc>
        <w:tc>
          <w:tcPr>
            <w:tcW w:w="1387"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2EC5C5A2" w14:textId="0282F6D3" w:rsidR="0021785A" w:rsidRPr="0021785A" w:rsidRDefault="0021785A" w:rsidP="0021785A">
            <w:pPr>
              <w:jc w:val="center"/>
              <w:rPr>
                <w:rFonts w:cs="Segoe UI"/>
                <w:sz w:val="18"/>
                <w:szCs w:val="18"/>
              </w:rPr>
            </w:pPr>
            <w:r w:rsidRPr="0021785A">
              <w:rPr>
                <w:rFonts w:cs="Segoe UI"/>
                <w:sz w:val="18"/>
                <w:szCs w:val="18"/>
              </w:rPr>
              <w:t>0.992</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743B949E" w14:textId="4107F0D1" w:rsidR="0021785A" w:rsidRPr="0021785A" w:rsidRDefault="0021785A" w:rsidP="0021785A">
            <w:pPr>
              <w:jc w:val="center"/>
              <w:rPr>
                <w:rFonts w:cs="Segoe UI"/>
                <w:sz w:val="18"/>
                <w:szCs w:val="18"/>
              </w:rPr>
            </w:pPr>
            <w:r w:rsidRPr="0021785A">
              <w:rPr>
                <w:rFonts w:cs="Segoe UI"/>
                <w:sz w:val="18"/>
                <w:szCs w:val="18"/>
              </w:rPr>
              <w:t>0.992</w:t>
            </w:r>
          </w:p>
        </w:tc>
        <w:tc>
          <w:tcPr>
            <w:tcW w:w="1386" w:type="dxa"/>
            <w:tcBorders>
              <w:top w:val="single" w:sz="4" w:space="0" w:color="BCBDBC"/>
              <w:left w:val="single" w:sz="4" w:space="0" w:color="BFBFBF" w:themeColor="background1" w:themeShade="BF"/>
              <w:bottom w:val="single" w:sz="4" w:space="0" w:color="auto"/>
              <w:right w:val="single" w:sz="4" w:space="0" w:color="BFBFBF" w:themeColor="background1" w:themeShade="BF"/>
            </w:tcBorders>
          </w:tcPr>
          <w:p w14:paraId="2CC15727" w14:textId="0550B0E1" w:rsidR="0021785A" w:rsidRPr="0021785A" w:rsidRDefault="0021785A" w:rsidP="0021785A">
            <w:pPr>
              <w:jc w:val="center"/>
              <w:rPr>
                <w:rFonts w:cs="Segoe UI"/>
                <w:sz w:val="18"/>
                <w:szCs w:val="18"/>
              </w:rPr>
            </w:pPr>
            <w:r w:rsidRPr="0021785A">
              <w:rPr>
                <w:rFonts w:cs="Segoe UI"/>
                <w:sz w:val="18"/>
                <w:szCs w:val="18"/>
              </w:rPr>
              <w:t>0.981</w:t>
            </w:r>
          </w:p>
        </w:tc>
        <w:tc>
          <w:tcPr>
            <w:tcW w:w="1386" w:type="dxa"/>
            <w:tcBorders>
              <w:top w:val="single" w:sz="4" w:space="0" w:color="BCBDBC"/>
              <w:left w:val="single" w:sz="4" w:space="0" w:color="BFBFBF" w:themeColor="background1" w:themeShade="BF"/>
              <w:bottom w:val="single" w:sz="4" w:space="0" w:color="auto"/>
              <w:right w:val="nil"/>
            </w:tcBorders>
          </w:tcPr>
          <w:p w14:paraId="1039406C" w14:textId="6A667DF2" w:rsidR="0021785A" w:rsidRPr="0021785A" w:rsidRDefault="0021785A" w:rsidP="0021785A">
            <w:pPr>
              <w:jc w:val="center"/>
              <w:rPr>
                <w:rFonts w:cs="Segoe UI"/>
                <w:sz w:val="18"/>
                <w:szCs w:val="18"/>
              </w:rPr>
            </w:pPr>
            <w:r w:rsidRPr="0021785A">
              <w:rPr>
                <w:rFonts w:cs="Segoe UI"/>
                <w:sz w:val="18"/>
                <w:szCs w:val="18"/>
              </w:rPr>
              <w:t>0.980</w:t>
            </w:r>
          </w:p>
        </w:tc>
      </w:tr>
    </w:tbl>
    <w:p w14:paraId="00F4FFD1" w14:textId="77777777" w:rsidR="00440784" w:rsidRDefault="00440784" w:rsidP="00440784">
      <w:pPr>
        <w:spacing w:line="480" w:lineRule="auto"/>
        <w:jc w:val="both"/>
      </w:pPr>
    </w:p>
    <w:p w14:paraId="5206AAA6" w14:textId="77777777" w:rsidR="00440784" w:rsidRDefault="00440784" w:rsidP="00440784">
      <w:pPr>
        <w:spacing w:line="480" w:lineRule="auto"/>
        <w:jc w:val="both"/>
      </w:pPr>
    </w:p>
    <w:p w14:paraId="64CD8536" w14:textId="77777777" w:rsidR="00440784" w:rsidRDefault="00440784" w:rsidP="00440784">
      <w:pPr>
        <w:spacing w:line="480" w:lineRule="auto"/>
        <w:jc w:val="both"/>
      </w:pPr>
    </w:p>
    <w:p w14:paraId="3B7C44EE" w14:textId="77777777" w:rsidR="00440784" w:rsidRDefault="00440784" w:rsidP="00440784">
      <w:pPr>
        <w:spacing w:line="480" w:lineRule="auto"/>
        <w:jc w:val="both"/>
      </w:pPr>
    </w:p>
    <w:p w14:paraId="296D2FE9" w14:textId="77777777" w:rsidR="00440784" w:rsidRDefault="00440784" w:rsidP="00440784">
      <w:pPr>
        <w:spacing w:line="480" w:lineRule="auto"/>
        <w:jc w:val="both"/>
      </w:pPr>
    </w:p>
    <w:p w14:paraId="5CD3C221" w14:textId="77777777" w:rsidR="00440784" w:rsidRDefault="00440784" w:rsidP="00440784">
      <w:pPr>
        <w:spacing w:line="480" w:lineRule="auto"/>
        <w:jc w:val="both"/>
      </w:pPr>
    </w:p>
    <w:p w14:paraId="42CB4694" w14:textId="77777777" w:rsidR="00440784" w:rsidRDefault="00440784" w:rsidP="00440784">
      <w:pPr>
        <w:spacing w:line="480" w:lineRule="auto"/>
        <w:jc w:val="both"/>
      </w:pPr>
    </w:p>
    <w:p w14:paraId="0B5F6666" w14:textId="77777777" w:rsidR="00440784" w:rsidRDefault="00440784" w:rsidP="00440784">
      <w:pPr>
        <w:spacing w:line="480" w:lineRule="auto"/>
        <w:jc w:val="both"/>
      </w:pPr>
    </w:p>
    <w:p w14:paraId="65E8073B" w14:textId="77777777" w:rsidR="00440784" w:rsidRDefault="00440784" w:rsidP="00440784">
      <w:pPr>
        <w:spacing w:line="480" w:lineRule="auto"/>
        <w:jc w:val="both"/>
      </w:pPr>
    </w:p>
    <w:p w14:paraId="116A5AC6" w14:textId="77777777" w:rsidR="00440784" w:rsidRDefault="00440784" w:rsidP="00440784">
      <w:pPr>
        <w:spacing w:line="480" w:lineRule="auto"/>
        <w:jc w:val="both"/>
      </w:pPr>
    </w:p>
    <w:p w14:paraId="38290677" w14:textId="77777777" w:rsidR="00440784" w:rsidRDefault="00440784" w:rsidP="00440784">
      <w:pPr>
        <w:spacing w:line="480" w:lineRule="auto"/>
        <w:jc w:val="both"/>
      </w:pPr>
    </w:p>
    <w:p w14:paraId="18E9E756" w14:textId="77777777" w:rsidR="00440784" w:rsidRDefault="00440784" w:rsidP="00440784">
      <w:pPr>
        <w:spacing w:line="480" w:lineRule="auto"/>
        <w:jc w:val="both"/>
      </w:pPr>
    </w:p>
    <w:p w14:paraId="605C9B7E" w14:textId="77777777" w:rsidR="00440784" w:rsidRDefault="00440784" w:rsidP="00440784">
      <w:pPr>
        <w:spacing w:line="480" w:lineRule="auto"/>
        <w:jc w:val="both"/>
      </w:pPr>
    </w:p>
    <w:p w14:paraId="5BC61507" w14:textId="77777777" w:rsidR="00440784" w:rsidRDefault="00440784" w:rsidP="00440784">
      <w:pPr>
        <w:spacing w:line="480" w:lineRule="auto"/>
        <w:jc w:val="both"/>
      </w:pPr>
    </w:p>
    <w:p w14:paraId="592188BB" w14:textId="77777777" w:rsidR="00440784" w:rsidRDefault="00440784" w:rsidP="00440784">
      <w:pPr>
        <w:spacing w:line="480" w:lineRule="auto"/>
        <w:jc w:val="both"/>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440784" w:rsidRPr="006168A0" w14:paraId="2EBD143E" w14:textId="77777777" w:rsidTr="00440784">
        <w:trPr>
          <w:cantSplit/>
          <w:trHeight w:val="57"/>
        </w:trPr>
        <w:tc>
          <w:tcPr>
            <w:tcW w:w="9356" w:type="dxa"/>
            <w:tcBorders>
              <w:top w:val="nil"/>
              <w:left w:val="nil"/>
              <w:bottom w:val="nil"/>
              <w:right w:val="nil"/>
            </w:tcBorders>
          </w:tcPr>
          <w:p w14:paraId="768749F1" w14:textId="77777777" w:rsidR="00440784" w:rsidRPr="0067121D" w:rsidRDefault="00440784" w:rsidP="00440784">
            <w:pPr>
              <w:pStyle w:val="TblNote"/>
              <w:tabs>
                <w:tab w:val="left" w:pos="5532"/>
              </w:tabs>
              <w:spacing w:after="0" w:line="360" w:lineRule="auto"/>
              <w:ind w:left="459"/>
              <w:rPr>
                <w:rFonts w:ascii="Times New Roman" w:eastAsia="Malgun Gothic" w:hAnsi="Times New Roman"/>
                <w:sz w:val="24"/>
                <w:szCs w:val="24"/>
                <w:lang w:eastAsia="ko-KR"/>
              </w:rPr>
            </w:pPr>
            <w:r w:rsidRPr="0067121D">
              <w:rPr>
                <w:rFonts w:ascii="Times New Roman" w:eastAsia="Malgun Gothic" w:hAnsi="Times New Roman"/>
                <w:sz w:val="24"/>
                <w:szCs w:val="24"/>
                <w:lang w:eastAsia="ko-KR"/>
              </w:rPr>
              <w:t xml:space="preserve">Table </w:t>
            </w:r>
            <w:r>
              <w:rPr>
                <w:rFonts w:ascii="Times New Roman" w:eastAsia="Malgun Gothic" w:hAnsi="Times New Roman"/>
                <w:sz w:val="24"/>
                <w:szCs w:val="24"/>
                <w:lang w:eastAsia="ko-KR"/>
              </w:rPr>
              <w:t>3</w:t>
            </w:r>
            <w:r w:rsidRPr="0067121D">
              <w:rPr>
                <w:rFonts w:ascii="Times New Roman" w:eastAsia="Malgun Gothic" w:hAnsi="Times New Roman"/>
                <w:sz w:val="24"/>
                <w:szCs w:val="24"/>
                <w:lang w:eastAsia="ko-KR"/>
              </w:rPr>
              <w:t>: Tails of forecast distribution and deflation</w:t>
            </w:r>
            <w:r>
              <w:rPr>
                <w:rFonts w:ascii="Times New Roman" w:eastAsia="Malgun Gothic" w:hAnsi="Times New Roman"/>
                <w:sz w:val="24"/>
                <w:szCs w:val="24"/>
                <w:lang w:eastAsia="ko-KR"/>
              </w:rPr>
              <w:tab/>
            </w:r>
          </w:p>
          <w:p w14:paraId="3F2CA4DA" w14:textId="3D3BB259" w:rsidR="00440784" w:rsidRPr="006168A0" w:rsidRDefault="00440784" w:rsidP="001A719F">
            <w:pPr>
              <w:pStyle w:val="TblNote"/>
              <w:spacing w:line="480" w:lineRule="auto"/>
              <w:ind w:left="459"/>
              <w:rPr>
                <w:rFonts w:ascii="Times New Roman" w:hAnsi="Times New Roman"/>
                <w:sz w:val="18"/>
                <w:szCs w:val="18"/>
              </w:rPr>
            </w:pPr>
            <w:r w:rsidRPr="006168A0">
              <w:rPr>
                <w:rFonts w:ascii="Times New Roman" w:eastAsia="Malgun Gothic" w:hAnsi="Times New Roman"/>
                <w:i/>
                <w:sz w:val="18"/>
                <w:szCs w:val="18"/>
                <w:lang w:eastAsia="ko-KR"/>
              </w:rPr>
              <w:t>Notes:</w:t>
            </w:r>
            <w:r w:rsidRPr="006168A0">
              <w:rPr>
                <w:rFonts w:ascii="Times New Roman" w:eastAsia="Malgun Gothic" w:hAnsi="Times New Roman"/>
                <w:sz w:val="18"/>
                <w:szCs w:val="18"/>
                <w:lang w:eastAsia="ko-KR"/>
              </w:rPr>
              <w:t xml:space="preserve"> Dependent variable is the </w:t>
            </w:r>
            <w:r w:rsidR="003C3FC3">
              <w:rPr>
                <w:rFonts w:ascii="Times New Roman" w:eastAsia="Malgun Gothic" w:hAnsi="Times New Roman"/>
                <w:sz w:val="18"/>
                <w:szCs w:val="18"/>
                <w:lang w:eastAsia="ko-KR"/>
              </w:rPr>
              <w:t>25</w:t>
            </w:r>
            <w:r w:rsidR="003C3FC3" w:rsidRPr="006168A0">
              <w:rPr>
                <w:rFonts w:ascii="Times New Roman" w:eastAsia="Malgun Gothic" w:hAnsi="Times New Roman"/>
                <w:sz w:val="18"/>
                <w:szCs w:val="18"/>
                <w:lang w:eastAsia="ko-KR"/>
              </w:rPr>
              <w:t xml:space="preserve">th </w:t>
            </w:r>
            <w:r w:rsidRPr="006168A0">
              <w:rPr>
                <w:rFonts w:ascii="Times New Roman" w:eastAsia="Malgun Gothic" w:hAnsi="Times New Roman"/>
                <w:sz w:val="18"/>
                <w:szCs w:val="18"/>
                <w:lang w:eastAsia="ko-KR"/>
              </w:rPr>
              <w:t xml:space="preserve">percentile (Columns (1) </w:t>
            </w:r>
            <w:r>
              <w:rPr>
                <w:rFonts w:ascii="Times New Roman" w:eastAsia="Malgun Gothic" w:hAnsi="Times New Roman"/>
                <w:sz w:val="18"/>
                <w:szCs w:val="18"/>
                <w:lang w:eastAsia="ko-KR"/>
              </w:rPr>
              <w:t>and (2</w:t>
            </w:r>
            <w:r w:rsidRPr="006168A0">
              <w:rPr>
                <w:rFonts w:ascii="Times New Roman" w:eastAsia="Malgun Gothic" w:hAnsi="Times New Roman"/>
                <w:sz w:val="18"/>
                <w:szCs w:val="18"/>
                <w:lang w:eastAsia="ko-KR"/>
              </w:rPr>
              <w:t xml:space="preserve">)) or the </w:t>
            </w:r>
            <w:r w:rsidR="003C3FC3">
              <w:rPr>
                <w:rFonts w:ascii="Times New Roman" w:eastAsia="Malgun Gothic" w:hAnsi="Times New Roman"/>
                <w:sz w:val="18"/>
                <w:szCs w:val="18"/>
                <w:lang w:eastAsia="ko-KR"/>
              </w:rPr>
              <w:t>75</w:t>
            </w:r>
            <w:r w:rsidR="003C3FC3" w:rsidRPr="006168A0">
              <w:rPr>
                <w:rFonts w:ascii="Times New Roman" w:eastAsia="Malgun Gothic" w:hAnsi="Times New Roman"/>
                <w:sz w:val="18"/>
                <w:szCs w:val="18"/>
                <w:lang w:eastAsia="ko-KR"/>
              </w:rPr>
              <w:t xml:space="preserve">th </w:t>
            </w:r>
            <w:r w:rsidRPr="006168A0">
              <w:rPr>
                <w:rFonts w:ascii="Times New Roman" w:eastAsia="Malgun Gothic" w:hAnsi="Times New Roman"/>
                <w:sz w:val="18"/>
                <w:szCs w:val="18"/>
                <w:lang w:eastAsia="ko-KR"/>
              </w:rPr>
              <w:t>percentile of the forecast distribution</w:t>
            </w:r>
            <w:r w:rsidR="009A0B5C">
              <w:rPr>
                <w:rFonts w:ascii="Times New Roman" w:eastAsia="Malgun Gothic" w:hAnsi="Times New Roman"/>
                <w:sz w:val="18"/>
                <w:szCs w:val="18"/>
                <w:lang w:eastAsia="ko-KR"/>
              </w:rPr>
              <w:t xml:space="preserve"> of inflation</w:t>
            </w:r>
            <w:r w:rsidR="00F06BCE">
              <w:rPr>
                <w:rFonts w:ascii="Times New Roman" w:eastAsia="Malgun Gothic" w:hAnsi="Times New Roman"/>
                <w:sz w:val="18"/>
                <w:szCs w:val="18"/>
                <w:lang w:eastAsia="ko-KR"/>
              </w:rPr>
              <w:t xml:space="preserve"> </w:t>
            </w:r>
            <w:r w:rsidR="00F06BCE" w:rsidRPr="00F06BCE">
              <w:rPr>
                <w:rFonts w:ascii="Times New Roman" w:eastAsia="Malgun Gothic" w:hAnsi="Times New Roman"/>
                <w:sz w:val="18"/>
                <w:szCs w:val="18"/>
                <w:lang w:eastAsia="ko-KR"/>
              </w:rPr>
              <w:t>over the next 12 months</w:t>
            </w:r>
            <w:r w:rsidRPr="006168A0">
              <w:rPr>
                <w:rFonts w:ascii="Times New Roman" w:eastAsia="Malgun Gothic" w:hAnsi="Times New Roman"/>
                <w:sz w:val="18"/>
                <w:szCs w:val="18"/>
                <w:lang w:eastAsia="ko-KR"/>
              </w:rPr>
              <w:t xml:space="preserve"> (Columns (</w:t>
            </w:r>
            <w:r>
              <w:rPr>
                <w:rFonts w:ascii="Times New Roman" w:eastAsia="Malgun Gothic" w:hAnsi="Times New Roman"/>
                <w:sz w:val="18"/>
                <w:szCs w:val="18"/>
                <w:lang w:eastAsia="ko-KR"/>
              </w:rPr>
              <w:t>3</w:t>
            </w:r>
            <w:r w:rsidRPr="006168A0">
              <w:rPr>
                <w:rFonts w:ascii="Times New Roman" w:eastAsia="Malgun Gothic" w:hAnsi="Times New Roman"/>
                <w:sz w:val="18"/>
                <w:szCs w:val="18"/>
                <w:lang w:eastAsia="ko-KR"/>
              </w:rPr>
              <w:t>) to (</w:t>
            </w:r>
            <w:r>
              <w:rPr>
                <w:rFonts w:ascii="Times New Roman" w:eastAsia="Malgun Gothic" w:hAnsi="Times New Roman"/>
                <w:sz w:val="18"/>
                <w:szCs w:val="18"/>
                <w:lang w:eastAsia="ko-KR"/>
              </w:rPr>
              <w:t>4</w:t>
            </w:r>
            <w:r w:rsidRPr="006168A0">
              <w:rPr>
                <w:rFonts w:ascii="Times New Roman" w:eastAsia="Malgun Gothic" w:hAnsi="Times New Roman"/>
                <w:sz w:val="18"/>
                <w:szCs w:val="18"/>
                <w:lang w:eastAsia="ko-KR"/>
              </w:rPr>
              <w:t xml:space="preserve">)). Robust standard errors clustered by country and time in parentheses. *, ** and *** denote statistical significance at 10%, 5% and 1% level, respectively. Columns (1) </w:t>
            </w:r>
            <w:r>
              <w:rPr>
                <w:rFonts w:ascii="Times New Roman" w:eastAsia="Malgun Gothic" w:hAnsi="Times New Roman"/>
                <w:sz w:val="18"/>
                <w:szCs w:val="18"/>
                <w:lang w:eastAsia="ko-KR"/>
              </w:rPr>
              <w:t>and (3</w:t>
            </w:r>
            <w:r w:rsidRPr="006168A0">
              <w:rPr>
                <w:rFonts w:ascii="Times New Roman" w:eastAsia="Malgun Gothic" w:hAnsi="Times New Roman"/>
                <w:sz w:val="18"/>
                <w:szCs w:val="18"/>
                <w:lang w:eastAsia="ko-KR"/>
              </w:rPr>
              <w:t>) show results from estimations where the deflation dummy includes all deflations; Columns (</w:t>
            </w:r>
            <w:r>
              <w:rPr>
                <w:rFonts w:ascii="Times New Roman" w:eastAsia="Malgun Gothic" w:hAnsi="Times New Roman"/>
                <w:sz w:val="18"/>
                <w:szCs w:val="18"/>
                <w:lang w:eastAsia="ko-KR"/>
              </w:rPr>
              <w:t>2</w:t>
            </w:r>
            <w:r w:rsidRPr="006168A0">
              <w:rPr>
                <w:rFonts w:ascii="Times New Roman" w:eastAsia="Malgun Gothic" w:hAnsi="Times New Roman"/>
                <w:sz w:val="18"/>
                <w:szCs w:val="18"/>
                <w:lang w:eastAsia="ko-KR"/>
              </w:rPr>
              <w:t>) and (</w:t>
            </w:r>
            <w:r>
              <w:rPr>
                <w:rFonts w:ascii="Times New Roman" w:eastAsia="Malgun Gothic" w:hAnsi="Times New Roman"/>
                <w:sz w:val="18"/>
                <w:szCs w:val="18"/>
                <w:lang w:eastAsia="ko-KR"/>
              </w:rPr>
              <w:t>4</w:t>
            </w:r>
            <w:r w:rsidRPr="006168A0">
              <w:rPr>
                <w:rFonts w:ascii="Times New Roman" w:eastAsia="Malgun Gothic" w:hAnsi="Times New Roman"/>
                <w:sz w:val="18"/>
                <w:szCs w:val="18"/>
                <w:lang w:eastAsia="ko-KR"/>
              </w:rPr>
              <w:t xml:space="preserve">) include only persistent deflations. All models include country and time fixed effects. </w:t>
            </w:r>
          </w:p>
        </w:tc>
      </w:tr>
    </w:tbl>
    <w:p w14:paraId="26BE4838" w14:textId="77777777" w:rsidR="00440784" w:rsidRDefault="00440784" w:rsidP="00440784">
      <w:pPr>
        <w:spacing w:line="480" w:lineRule="auto"/>
        <w:jc w:val="both"/>
      </w:pPr>
    </w:p>
    <w:p w14:paraId="6CE560EF" w14:textId="77777777" w:rsidR="00440784" w:rsidRDefault="00440784">
      <w:r>
        <w:br w:type="page"/>
      </w:r>
    </w:p>
    <w:p w14:paraId="36C4B3CD" w14:textId="77777777" w:rsidR="00440784" w:rsidRDefault="00440784" w:rsidP="00440784">
      <w:pPr>
        <w:spacing w:line="480" w:lineRule="auto"/>
        <w:jc w:val="both"/>
      </w:pPr>
    </w:p>
    <w:tbl>
      <w:tblPr>
        <w:tblpPr w:leftFromText="180" w:rightFromText="180" w:topFromText="120" w:bottomFromText="240" w:vertAnchor="text" w:tblpXSpec="center" w:tblpY="121"/>
        <w:tblOverlap w:val="neve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238"/>
        <w:gridCol w:w="1238"/>
        <w:gridCol w:w="1173"/>
        <w:gridCol w:w="1173"/>
        <w:gridCol w:w="1238"/>
        <w:gridCol w:w="1238"/>
      </w:tblGrid>
      <w:tr w:rsidR="00BD24A7" w:rsidRPr="00731C8B" w14:paraId="28E57ED4" w14:textId="77777777" w:rsidTr="007E65FA">
        <w:trPr>
          <w:cantSplit/>
          <w:trHeight w:val="20"/>
        </w:trPr>
        <w:tc>
          <w:tcPr>
            <w:tcW w:w="1945" w:type="dxa"/>
            <w:tcBorders>
              <w:top w:val="single" w:sz="4" w:space="0" w:color="auto"/>
              <w:left w:val="nil"/>
              <w:bottom w:val="single" w:sz="4" w:space="0" w:color="auto"/>
              <w:right w:val="single" w:sz="4" w:space="0" w:color="BCBDBC"/>
            </w:tcBorders>
            <w:vAlign w:val="center"/>
          </w:tcPr>
          <w:p w14:paraId="156E792B" w14:textId="77777777" w:rsidR="00BD24A7" w:rsidRPr="002D5C47" w:rsidRDefault="00BD24A7" w:rsidP="00BD24A7">
            <w:pPr>
              <w:pStyle w:val="TableColumnHeading"/>
              <w:rPr>
                <w:rFonts w:eastAsia="Malgun Gothic"/>
                <w:lang w:eastAsia="ko-KR"/>
              </w:rPr>
            </w:pPr>
          </w:p>
        </w:tc>
        <w:tc>
          <w:tcPr>
            <w:tcW w:w="1238" w:type="dxa"/>
            <w:tcBorders>
              <w:top w:val="single" w:sz="4" w:space="0" w:color="auto"/>
              <w:left w:val="single" w:sz="4" w:space="0" w:color="BCBDBC"/>
              <w:bottom w:val="single" w:sz="4" w:space="0" w:color="auto"/>
              <w:right w:val="single" w:sz="4" w:space="0" w:color="BCBDBC"/>
            </w:tcBorders>
            <w:vAlign w:val="center"/>
          </w:tcPr>
          <w:p w14:paraId="4A2B1F0B" w14:textId="5FA3358D" w:rsidR="00BD24A7" w:rsidRDefault="00BD24A7" w:rsidP="006B24EA">
            <w:pPr>
              <w:pStyle w:val="TableColumnHeading"/>
            </w:pPr>
            <w:r>
              <w:t>(</w:t>
            </w:r>
            <w:r w:rsidR="006B24EA">
              <w:t>1</w:t>
            </w:r>
            <w:r>
              <w:t>)</w:t>
            </w:r>
          </w:p>
        </w:tc>
        <w:tc>
          <w:tcPr>
            <w:tcW w:w="1238" w:type="dxa"/>
            <w:tcBorders>
              <w:top w:val="single" w:sz="4" w:space="0" w:color="auto"/>
              <w:left w:val="single" w:sz="4" w:space="0" w:color="BCBDBC"/>
              <w:bottom w:val="single" w:sz="4" w:space="0" w:color="auto"/>
              <w:right w:val="single" w:sz="4" w:space="0" w:color="BCBDBC"/>
            </w:tcBorders>
            <w:vAlign w:val="center"/>
          </w:tcPr>
          <w:p w14:paraId="7352BA37" w14:textId="219BA73D" w:rsidR="00BD24A7" w:rsidRDefault="00BD24A7" w:rsidP="00BD24A7">
            <w:pPr>
              <w:pStyle w:val="TableColumnHeading"/>
            </w:pPr>
            <w:r>
              <w:t>(</w:t>
            </w:r>
            <w:r w:rsidR="006B24EA">
              <w:t>2</w:t>
            </w:r>
            <w:r>
              <w:t>)</w:t>
            </w:r>
          </w:p>
        </w:tc>
        <w:tc>
          <w:tcPr>
            <w:tcW w:w="1173" w:type="dxa"/>
            <w:tcBorders>
              <w:top w:val="single" w:sz="4" w:space="0" w:color="auto"/>
              <w:left w:val="single" w:sz="4" w:space="0" w:color="BCBDBC"/>
              <w:bottom w:val="single" w:sz="4" w:space="0" w:color="auto"/>
              <w:right w:val="single" w:sz="4" w:space="0" w:color="BCBDBC"/>
            </w:tcBorders>
            <w:vAlign w:val="center"/>
          </w:tcPr>
          <w:p w14:paraId="47BECC49" w14:textId="6C7E9B66" w:rsidR="00BD24A7" w:rsidRPr="002D5C47" w:rsidRDefault="006B24EA" w:rsidP="00BD24A7">
            <w:pPr>
              <w:pStyle w:val="TableColumnHeading"/>
            </w:pPr>
            <w:r>
              <w:t>(3)</w:t>
            </w:r>
          </w:p>
        </w:tc>
        <w:tc>
          <w:tcPr>
            <w:tcW w:w="1173" w:type="dxa"/>
            <w:tcBorders>
              <w:top w:val="single" w:sz="4" w:space="0" w:color="auto"/>
              <w:left w:val="single" w:sz="4" w:space="0" w:color="BCBDBC"/>
              <w:bottom w:val="single" w:sz="4" w:space="0" w:color="auto"/>
              <w:right w:val="single" w:sz="4" w:space="0" w:color="BCBDBC"/>
            </w:tcBorders>
            <w:vAlign w:val="center"/>
          </w:tcPr>
          <w:p w14:paraId="7DAFF38B" w14:textId="7215C439" w:rsidR="00BD24A7" w:rsidRPr="002D5C47" w:rsidRDefault="00BD24A7" w:rsidP="006B24EA">
            <w:pPr>
              <w:pStyle w:val="TableColumnHeading"/>
            </w:pPr>
            <w:r>
              <w:t>(</w:t>
            </w:r>
            <w:r w:rsidR="006B24EA">
              <w:t>4</w:t>
            </w:r>
            <w:r>
              <w:t>)</w:t>
            </w:r>
          </w:p>
        </w:tc>
        <w:tc>
          <w:tcPr>
            <w:tcW w:w="1238" w:type="dxa"/>
            <w:tcBorders>
              <w:top w:val="single" w:sz="4" w:space="0" w:color="auto"/>
              <w:left w:val="single" w:sz="4" w:space="0" w:color="BCBDBC"/>
              <w:bottom w:val="single" w:sz="4" w:space="0" w:color="auto"/>
              <w:right w:val="single" w:sz="4" w:space="0" w:color="BCBDBC"/>
            </w:tcBorders>
            <w:vAlign w:val="center"/>
          </w:tcPr>
          <w:p w14:paraId="621F1255" w14:textId="047DAB81" w:rsidR="00BD24A7" w:rsidRPr="002D5C47" w:rsidRDefault="00BD24A7" w:rsidP="006B24EA">
            <w:pPr>
              <w:pStyle w:val="TableColumnHeading"/>
            </w:pPr>
            <w:r>
              <w:t>(</w:t>
            </w:r>
            <w:r w:rsidR="006B24EA">
              <w:t>5</w:t>
            </w:r>
            <w:r>
              <w:t>)</w:t>
            </w:r>
          </w:p>
        </w:tc>
        <w:tc>
          <w:tcPr>
            <w:tcW w:w="1238" w:type="dxa"/>
            <w:tcBorders>
              <w:top w:val="single" w:sz="4" w:space="0" w:color="auto"/>
              <w:left w:val="single" w:sz="4" w:space="0" w:color="BCBDBC"/>
              <w:bottom w:val="single" w:sz="4" w:space="0" w:color="auto"/>
              <w:right w:val="nil"/>
            </w:tcBorders>
            <w:vAlign w:val="center"/>
          </w:tcPr>
          <w:p w14:paraId="5D0F2403" w14:textId="17A0BFC2" w:rsidR="00BD24A7" w:rsidRPr="002D5C47" w:rsidRDefault="00BD24A7" w:rsidP="006B24EA">
            <w:pPr>
              <w:pStyle w:val="TableColumnHeading"/>
            </w:pPr>
            <w:r>
              <w:t>(</w:t>
            </w:r>
            <w:r w:rsidR="006B24EA">
              <w:t>6</w:t>
            </w:r>
            <w:r>
              <w:t>)</w:t>
            </w:r>
          </w:p>
        </w:tc>
      </w:tr>
      <w:tr w:rsidR="00BD24A7" w:rsidRPr="00731C8B" w14:paraId="3EF83859" w14:textId="77777777" w:rsidTr="007E65FA">
        <w:trPr>
          <w:cantSplit/>
          <w:trHeight w:val="20"/>
        </w:trPr>
        <w:tc>
          <w:tcPr>
            <w:tcW w:w="1945" w:type="dxa"/>
            <w:tcBorders>
              <w:top w:val="single" w:sz="4" w:space="0" w:color="auto"/>
              <w:left w:val="nil"/>
              <w:bottom w:val="single" w:sz="4" w:space="0" w:color="auto"/>
              <w:right w:val="single" w:sz="4" w:space="0" w:color="BCBDBC"/>
            </w:tcBorders>
            <w:vAlign w:val="center"/>
            <w:hideMark/>
          </w:tcPr>
          <w:p w14:paraId="3332866E" w14:textId="77777777" w:rsidR="00BD24A7" w:rsidRPr="002D5C47" w:rsidRDefault="00BD24A7" w:rsidP="00BD24A7">
            <w:pPr>
              <w:pStyle w:val="TableColumnHeading"/>
              <w:rPr>
                <w:rFonts w:eastAsia="Malgun Gothic"/>
                <w:lang w:eastAsia="ko-KR"/>
              </w:rPr>
            </w:pPr>
            <w:r w:rsidRPr="002D5C47">
              <w:rPr>
                <w:rFonts w:eastAsia="Malgun Gothic"/>
                <w:lang w:eastAsia="ko-KR"/>
              </w:rPr>
              <w:t>Variable</w:t>
            </w:r>
          </w:p>
        </w:tc>
        <w:tc>
          <w:tcPr>
            <w:tcW w:w="1238" w:type="dxa"/>
            <w:tcBorders>
              <w:top w:val="single" w:sz="4" w:space="0" w:color="auto"/>
              <w:left w:val="single" w:sz="4" w:space="0" w:color="BCBDBC"/>
              <w:bottom w:val="single" w:sz="4" w:space="0" w:color="auto"/>
              <w:right w:val="single" w:sz="4" w:space="0" w:color="BCBDBC"/>
            </w:tcBorders>
            <w:vAlign w:val="center"/>
            <w:hideMark/>
          </w:tcPr>
          <w:p w14:paraId="345C0453" w14:textId="0A19E10D" w:rsidR="00BD24A7" w:rsidRPr="002D5C47" w:rsidRDefault="00BD24A7" w:rsidP="00BD24A7">
            <w:pPr>
              <w:pStyle w:val="TableColumnHeading"/>
            </w:pPr>
            <w:r w:rsidRPr="002D5C47">
              <w:t>IT</w:t>
            </w:r>
          </w:p>
        </w:tc>
        <w:tc>
          <w:tcPr>
            <w:tcW w:w="1238" w:type="dxa"/>
            <w:tcBorders>
              <w:top w:val="single" w:sz="4" w:space="0" w:color="auto"/>
              <w:left w:val="single" w:sz="4" w:space="0" w:color="BCBDBC"/>
              <w:bottom w:val="single" w:sz="4" w:space="0" w:color="auto"/>
              <w:right w:val="single" w:sz="4" w:space="0" w:color="BCBDBC"/>
            </w:tcBorders>
            <w:vAlign w:val="center"/>
            <w:hideMark/>
          </w:tcPr>
          <w:p w14:paraId="491EC03D" w14:textId="066AB6D4" w:rsidR="00BD24A7" w:rsidRPr="002D5C47" w:rsidRDefault="00BD24A7" w:rsidP="00BD24A7">
            <w:pPr>
              <w:pStyle w:val="TableColumnHeading"/>
            </w:pPr>
            <w:r w:rsidRPr="002D5C47">
              <w:t>Non-IT</w:t>
            </w:r>
          </w:p>
        </w:tc>
        <w:tc>
          <w:tcPr>
            <w:tcW w:w="1173" w:type="dxa"/>
            <w:tcBorders>
              <w:top w:val="single" w:sz="4" w:space="0" w:color="auto"/>
              <w:left w:val="single" w:sz="4" w:space="0" w:color="BCBDBC"/>
              <w:bottom w:val="single" w:sz="4" w:space="0" w:color="auto"/>
              <w:right w:val="single" w:sz="4" w:space="0" w:color="BCBDBC"/>
            </w:tcBorders>
            <w:vAlign w:val="center"/>
          </w:tcPr>
          <w:p w14:paraId="3BC1C711" w14:textId="329136AD" w:rsidR="00BD24A7" w:rsidRPr="002D5C47" w:rsidRDefault="00BD24A7" w:rsidP="00BD24A7">
            <w:pPr>
              <w:pStyle w:val="TableColumnHeading"/>
            </w:pPr>
            <w:r w:rsidRPr="002D5C47">
              <w:t>IT</w:t>
            </w:r>
          </w:p>
        </w:tc>
        <w:tc>
          <w:tcPr>
            <w:tcW w:w="1173" w:type="dxa"/>
            <w:tcBorders>
              <w:top w:val="single" w:sz="4" w:space="0" w:color="auto"/>
              <w:left w:val="single" w:sz="4" w:space="0" w:color="BCBDBC"/>
              <w:bottom w:val="single" w:sz="4" w:space="0" w:color="auto"/>
              <w:right w:val="single" w:sz="4" w:space="0" w:color="BCBDBC"/>
            </w:tcBorders>
            <w:vAlign w:val="center"/>
            <w:hideMark/>
          </w:tcPr>
          <w:p w14:paraId="13FEA807" w14:textId="6B157608" w:rsidR="00BD24A7" w:rsidRPr="002D5C47" w:rsidRDefault="00BD24A7" w:rsidP="00BD24A7">
            <w:pPr>
              <w:pStyle w:val="TableColumnHeading"/>
            </w:pPr>
            <w:r w:rsidRPr="002D5C47">
              <w:t>Non-IT</w:t>
            </w:r>
          </w:p>
        </w:tc>
        <w:tc>
          <w:tcPr>
            <w:tcW w:w="1238" w:type="dxa"/>
            <w:tcBorders>
              <w:top w:val="single" w:sz="4" w:space="0" w:color="auto"/>
              <w:left w:val="single" w:sz="4" w:space="0" w:color="BCBDBC"/>
              <w:bottom w:val="single" w:sz="4" w:space="0" w:color="auto"/>
              <w:right w:val="single" w:sz="4" w:space="0" w:color="BCBDBC"/>
            </w:tcBorders>
            <w:vAlign w:val="center"/>
          </w:tcPr>
          <w:p w14:paraId="2B80C7A5" w14:textId="6B7FD6A5" w:rsidR="00BD24A7" w:rsidRPr="002D5C47" w:rsidRDefault="00BD24A7" w:rsidP="00BD24A7">
            <w:pPr>
              <w:pStyle w:val="TableColumnHeading"/>
            </w:pPr>
            <w:proofErr w:type="spellStart"/>
            <w:r>
              <w:t>Excl</w:t>
            </w:r>
            <w:proofErr w:type="spellEnd"/>
            <w:r>
              <w:t xml:space="preserve"> ZLB</w:t>
            </w:r>
          </w:p>
        </w:tc>
        <w:tc>
          <w:tcPr>
            <w:tcW w:w="1238" w:type="dxa"/>
            <w:tcBorders>
              <w:top w:val="single" w:sz="4" w:space="0" w:color="auto"/>
              <w:left w:val="single" w:sz="4" w:space="0" w:color="BCBDBC"/>
              <w:bottom w:val="single" w:sz="4" w:space="0" w:color="auto"/>
              <w:right w:val="nil"/>
            </w:tcBorders>
            <w:vAlign w:val="center"/>
          </w:tcPr>
          <w:p w14:paraId="0677DA24" w14:textId="01F409E2" w:rsidR="00BD24A7" w:rsidRDefault="00BD24A7" w:rsidP="00BD24A7">
            <w:pPr>
              <w:pStyle w:val="TableColumnHeading"/>
            </w:pPr>
            <w:proofErr w:type="spellStart"/>
            <w:r>
              <w:t>Excl</w:t>
            </w:r>
            <w:proofErr w:type="spellEnd"/>
            <w:r>
              <w:t xml:space="preserve"> ZLB</w:t>
            </w:r>
          </w:p>
        </w:tc>
      </w:tr>
      <w:tr w:rsidR="00BD24A7" w:rsidRPr="00731C8B" w14:paraId="0449625D" w14:textId="77777777" w:rsidTr="00760415">
        <w:trPr>
          <w:cantSplit/>
          <w:trHeight w:val="20"/>
        </w:trPr>
        <w:tc>
          <w:tcPr>
            <w:tcW w:w="1945" w:type="dxa"/>
            <w:vMerge w:val="restart"/>
            <w:tcBorders>
              <w:top w:val="single" w:sz="4" w:space="0" w:color="auto"/>
              <w:left w:val="nil"/>
              <w:right w:val="single" w:sz="4" w:space="0" w:color="BCBDBC"/>
            </w:tcBorders>
            <w:hideMark/>
          </w:tcPr>
          <w:p w14:paraId="53967AAF" w14:textId="1AD66E24" w:rsidR="00BD24A7" w:rsidRPr="002D5C47" w:rsidRDefault="00AA128E" w:rsidP="00BD24A7">
            <w:pPr>
              <w:pStyle w:val="TableRowHeading"/>
              <w:rPr>
                <w:rFonts w:ascii="Times New Roman" w:eastAsia="Malgun Gothic" w:hAnsi="Times New Roman"/>
                <w:lang w:eastAsia="ko-KR"/>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pos</m:t>
                        </m:r>
                      </m:sup>
                    </m:sSubSup>
                  </m:e>
                </m:d>
              </m:oMath>
            </m:oMathPara>
          </w:p>
        </w:tc>
        <w:tc>
          <w:tcPr>
            <w:tcW w:w="1238" w:type="dxa"/>
            <w:tcBorders>
              <w:top w:val="single" w:sz="4" w:space="0" w:color="auto"/>
              <w:left w:val="single" w:sz="4" w:space="0" w:color="BCBDBC"/>
              <w:bottom w:val="nil"/>
              <w:right w:val="single" w:sz="4" w:space="0" w:color="BCBDBC"/>
            </w:tcBorders>
          </w:tcPr>
          <w:p w14:paraId="4EED68EF" w14:textId="7EA3E96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0.0901***</w:t>
            </w:r>
          </w:p>
        </w:tc>
        <w:tc>
          <w:tcPr>
            <w:tcW w:w="1238" w:type="dxa"/>
            <w:tcBorders>
              <w:top w:val="single" w:sz="4" w:space="0" w:color="auto"/>
              <w:left w:val="single" w:sz="4" w:space="0" w:color="BCBDBC"/>
              <w:bottom w:val="nil"/>
              <w:right w:val="single" w:sz="4" w:space="0" w:color="BCBDBC"/>
            </w:tcBorders>
          </w:tcPr>
          <w:p w14:paraId="04DF7F1B" w14:textId="21AB0EC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0.332**</w:t>
            </w:r>
          </w:p>
        </w:tc>
        <w:tc>
          <w:tcPr>
            <w:tcW w:w="1173" w:type="dxa"/>
            <w:tcBorders>
              <w:top w:val="single" w:sz="4" w:space="0" w:color="auto"/>
              <w:left w:val="single" w:sz="4" w:space="0" w:color="BCBDBC"/>
              <w:bottom w:val="nil"/>
              <w:right w:val="single" w:sz="4" w:space="0" w:color="BCBDBC"/>
            </w:tcBorders>
          </w:tcPr>
          <w:p w14:paraId="0D1BDFF7" w14:textId="595C58F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0.0908***</w:t>
            </w:r>
          </w:p>
        </w:tc>
        <w:tc>
          <w:tcPr>
            <w:tcW w:w="1173" w:type="dxa"/>
            <w:tcBorders>
              <w:top w:val="single" w:sz="4" w:space="0" w:color="auto"/>
              <w:left w:val="single" w:sz="4" w:space="0" w:color="BCBDBC"/>
              <w:bottom w:val="nil"/>
              <w:right w:val="single" w:sz="4" w:space="0" w:color="BCBDBC"/>
            </w:tcBorders>
          </w:tcPr>
          <w:p w14:paraId="016BC034" w14:textId="14140D7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0.321**</w:t>
            </w:r>
          </w:p>
        </w:tc>
        <w:tc>
          <w:tcPr>
            <w:tcW w:w="1238" w:type="dxa"/>
            <w:tcBorders>
              <w:top w:val="single" w:sz="4" w:space="0" w:color="auto"/>
              <w:left w:val="single" w:sz="4" w:space="0" w:color="BCBDBC"/>
              <w:bottom w:val="nil"/>
              <w:right w:val="single" w:sz="4" w:space="0" w:color="BCBDBC"/>
            </w:tcBorders>
          </w:tcPr>
          <w:p w14:paraId="1DB94A95" w14:textId="50E1C5C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0.269**</w:t>
            </w:r>
          </w:p>
        </w:tc>
        <w:tc>
          <w:tcPr>
            <w:tcW w:w="1238" w:type="dxa"/>
            <w:tcBorders>
              <w:top w:val="single" w:sz="4" w:space="0" w:color="auto"/>
              <w:left w:val="single" w:sz="4" w:space="0" w:color="BCBDBC"/>
              <w:bottom w:val="nil"/>
              <w:right w:val="nil"/>
            </w:tcBorders>
          </w:tcPr>
          <w:p w14:paraId="686EF8BD" w14:textId="73A77DE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0.262**</w:t>
            </w:r>
          </w:p>
        </w:tc>
      </w:tr>
      <w:tr w:rsidR="00BD24A7" w:rsidRPr="00731C8B" w14:paraId="260B8CAE" w14:textId="77777777" w:rsidTr="0096517A">
        <w:trPr>
          <w:cantSplit/>
          <w:trHeight w:val="20"/>
        </w:trPr>
        <w:tc>
          <w:tcPr>
            <w:tcW w:w="1945" w:type="dxa"/>
            <w:vMerge/>
            <w:tcBorders>
              <w:left w:val="nil"/>
              <w:bottom w:val="single" w:sz="4" w:space="0" w:color="BFBFBF" w:themeColor="background1" w:themeShade="BF"/>
              <w:right w:val="single" w:sz="4" w:space="0" w:color="BCBDBC"/>
            </w:tcBorders>
          </w:tcPr>
          <w:p w14:paraId="0E4F309A"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0F083ADF" w14:textId="666CE84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(0.0241)</w:t>
            </w:r>
          </w:p>
        </w:tc>
        <w:tc>
          <w:tcPr>
            <w:tcW w:w="1238" w:type="dxa"/>
            <w:tcBorders>
              <w:top w:val="nil"/>
              <w:left w:val="single" w:sz="4" w:space="0" w:color="BCBDBC"/>
              <w:bottom w:val="single" w:sz="4" w:space="0" w:color="BCBDBC"/>
              <w:right w:val="single" w:sz="4" w:space="0" w:color="BCBDBC"/>
            </w:tcBorders>
          </w:tcPr>
          <w:p w14:paraId="49C735F5" w14:textId="045A81F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(0.141)</w:t>
            </w:r>
          </w:p>
        </w:tc>
        <w:tc>
          <w:tcPr>
            <w:tcW w:w="1173" w:type="dxa"/>
            <w:tcBorders>
              <w:top w:val="nil"/>
              <w:left w:val="single" w:sz="4" w:space="0" w:color="BCBDBC"/>
              <w:bottom w:val="single" w:sz="4" w:space="0" w:color="BCBDBC"/>
              <w:right w:val="single" w:sz="4" w:space="0" w:color="BCBDBC"/>
            </w:tcBorders>
          </w:tcPr>
          <w:p w14:paraId="7A6DD3A3" w14:textId="5E65C43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(0.0248)</w:t>
            </w:r>
          </w:p>
        </w:tc>
        <w:tc>
          <w:tcPr>
            <w:tcW w:w="1173" w:type="dxa"/>
            <w:tcBorders>
              <w:top w:val="nil"/>
              <w:left w:val="single" w:sz="4" w:space="0" w:color="BCBDBC"/>
              <w:bottom w:val="single" w:sz="4" w:space="0" w:color="BCBDBC"/>
              <w:right w:val="single" w:sz="4" w:space="0" w:color="BCBDBC"/>
            </w:tcBorders>
          </w:tcPr>
          <w:p w14:paraId="625D1A09" w14:textId="6F92314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(0.138)</w:t>
            </w:r>
          </w:p>
        </w:tc>
        <w:tc>
          <w:tcPr>
            <w:tcW w:w="1238" w:type="dxa"/>
            <w:tcBorders>
              <w:top w:val="nil"/>
              <w:left w:val="single" w:sz="4" w:space="0" w:color="BCBDBC"/>
              <w:bottom w:val="single" w:sz="4" w:space="0" w:color="BCBDBC"/>
              <w:right w:val="single" w:sz="4" w:space="0" w:color="BCBDBC"/>
            </w:tcBorders>
          </w:tcPr>
          <w:p w14:paraId="28BCB4FF" w14:textId="21F8680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(0.104)</w:t>
            </w:r>
          </w:p>
        </w:tc>
        <w:tc>
          <w:tcPr>
            <w:tcW w:w="1238" w:type="dxa"/>
            <w:tcBorders>
              <w:top w:val="nil"/>
              <w:left w:val="single" w:sz="4" w:space="0" w:color="BCBDBC"/>
              <w:bottom w:val="single" w:sz="4" w:space="0" w:color="BCBDBC"/>
              <w:right w:val="nil"/>
            </w:tcBorders>
          </w:tcPr>
          <w:p w14:paraId="6A78596D" w14:textId="28B3308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(0.100)</w:t>
            </w:r>
          </w:p>
        </w:tc>
      </w:tr>
      <w:tr w:rsidR="00BD24A7" w:rsidRPr="00731C8B" w14:paraId="35827AC2" w14:textId="77777777" w:rsidTr="007E65FA">
        <w:trPr>
          <w:cantSplit/>
          <w:trHeight w:val="20"/>
        </w:trPr>
        <w:tc>
          <w:tcPr>
            <w:tcW w:w="1945" w:type="dxa"/>
            <w:vMerge w:val="restart"/>
            <w:tcBorders>
              <w:top w:val="single" w:sz="4" w:space="0" w:color="BFBFBF" w:themeColor="background1" w:themeShade="BF"/>
              <w:left w:val="nil"/>
              <w:right w:val="single" w:sz="4" w:space="0" w:color="BCBDBC"/>
            </w:tcBorders>
          </w:tcPr>
          <w:p w14:paraId="2A1BA5A2" w14:textId="4051E9EC" w:rsidR="00BD24A7" w:rsidRDefault="00AA128E" w:rsidP="00BD24A7">
            <w:pPr>
              <w:pStyle w:val="TableRowHeading"/>
              <w:rPr>
                <w:iCs/>
              </w:rPr>
            </w:pPr>
            <m:oMathPara>
              <m:oMath>
                <m:sSub>
                  <m:sSubPr>
                    <m:ctrlPr>
                      <w:rPr>
                        <w:rFonts w:ascii="Cambria Math" w:hAnsi="Cambria Math"/>
                        <w:sz w:val="18"/>
                        <w:szCs w:val="18"/>
                      </w:rPr>
                    </m:ctrlPr>
                  </m:sSubPr>
                  <m:e>
                    <m:r>
                      <w:rPr>
                        <w:rFonts w:ascii="Cambria Math" w:hAnsi="Cambria Math"/>
                        <w:sz w:val="18"/>
                        <w:szCs w:val="18"/>
                        <w:lang w:val="en-US"/>
                      </w:rPr>
                      <m:t>E</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sub>
                </m:sSub>
                <m:d>
                  <m:dPr>
                    <m:ctrlPr>
                      <w:rPr>
                        <w:rFonts w:ascii="Cambria Math" w:hAnsi="Cambria Math"/>
                        <w:sz w:val="18"/>
                        <w:szCs w:val="18"/>
                      </w:rPr>
                    </m:ctrlPr>
                  </m:dPr>
                  <m:e>
                    <m:sSubSup>
                      <m:sSubSupPr>
                        <m:ctrlPr>
                          <w:rPr>
                            <w:rFonts w:ascii="Cambria Math" w:hAnsi="Cambria Math"/>
                            <w:i/>
                            <w:sz w:val="18"/>
                            <w:szCs w:val="18"/>
                          </w:rPr>
                        </m:ctrlPr>
                      </m:sSubSupPr>
                      <m:e>
                        <m:r>
                          <w:rPr>
                            <w:rFonts w:ascii="Cambria Math" w:hAnsi="Cambria Math"/>
                            <w:sz w:val="18"/>
                            <w:szCs w:val="18"/>
                            <w:lang w:val="en-US"/>
                          </w:rPr>
                          <m:t>π</m:t>
                        </m:r>
                      </m:e>
                      <m:sub>
                        <m:r>
                          <w:rPr>
                            <w:rFonts w:ascii="Cambria Math" w:hAnsi="Cambria Math"/>
                            <w:sz w:val="18"/>
                            <w:szCs w:val="18"/>
                            <w:lang w:val="en-US"/>
                          </w:rPr>
                          <m:t>c</m:t>
                        </m:r>
                        <m:r>
                          <m:rPr>
                            <m:sty m:val="p"/>
                          </m:rPr>
                          <w:rPr>
                            <w:rFonts w:ascii="Cambria Math" w:hAnsi="Cambria Math"/>
                            <w:sz w:val="18"/>
                            <w:szCs w:val="18"/>
                            <w:lang w:val="en-US"/>
                          </w:rPr>
                          <m:t>,</m:t>
                        </m:r>
                        <m:r>
                          <w:rPr>
                            <w:rFonts w:ascii="Cambria Math" w:hAnsi="Cambria Math"/>
                            <w:sz w:val="18"/>
                            <w:szCs w:val="18"/>
                            <w:lang w:val="en-US"/>
                          </w:rPr>
                          <m:t>t</m:t>
                        </m:r>
                        <m:r>
                          <m:rPr>
                            <m:sty m:val="p"/>
                          </m:rPr>
                          <w:rPr>
                            <w:rFonts w:ascii="Cambria Math" w:hAnsi="Cambria Math"/>
                            <w:sz w:val="18"/>
                            <w:szCs w:val="18"/>
                            <w:lang w:val="en-US"/>
                          </w:rPr>
                          <m:t>+</m:t>
                        </m:r>
                        <m:r>
                          <w:rPr>
                            <w:rFonts w:ascii="Cambria Math" w:hAnsi="Cambria Math"/>
                            <w:sz w:val="18"/>
                            <w:szCs w:val="18"/>
                            <w:lang w:val="en-US"/>
                          </w:rPr>
                          <m:t>12</m:t>
                        </m:r>
                      </m:sub>
                      <m:sup>
                        <m:r>
                          <w:rPr>
                            <w:rFonts w:ascii="Cambria Math" w:hAnsi="Cambria Math"/>
                            <w:sz w:val="18"/>
                            <w:szCs w:val="18"/>
                          </w:rPr>
                          <m:t>neg</m:t>
                        </m:r>
                      </m:sup>
                    </m:sSubSup>
                  </m:e>
                </m:d>
              </m:oMath>
            </m:oMathPara>
          </w:p>
        </w:tc>
        <w:tc>
          <w:tcPr>
            <w:tcW w:w="1238" w:type="dxa"/>
            <w:tcBorders>
              <w:top w:val="nil"/>
              <w:left w:val="single" w:sz="4" w:space="0" w:color="BCBDBC"/>
              <w:bottom w:val="nil"/>
              <w:right w:val="single" w:sz="4" w:space="0" w:color="BCBDBC"/>
            </w:tcBorders>
          </w:tcPr>
          <w:p w14:paraId="01AE0EC6" w14:textId="70B8FD6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-0.451*</w:t>
            </w:r>
          </w:p>
        </w:tc>
        <w:tc>
          <w:tcPr>
            <w:tcW w:w="1238" w:type="dxa"/>
            <w:tcBorders>
              <w:top w:val="nil"/>
              <w:left w:val="single" w:sz="4" w:space="0" w:color="BCBDBC"/>
              <w:bottom w:val="nil"/>
              <w:right w:val="single" w:sz="4" w:space="0" w:color="BCBDBC"/>
            </w:tcBorders>
          </w:tcPr>
          <w:p w14:paraId="0D796A05" w14:textId="070B5A2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0.197</w:t>
            </w:r>
          </w:p>
        </w:tc>
        <w:tc>
          <w:tcPr>
            <w:tcW w:w="1173" w:type="dxa"/>
            <w:tcBorders>
              <w:top w:val="nil"/>
              <w:left w:val="single" w:sz="4" w:space="0" w:color="BCBDBC"/>
              <w:bottom w:val="nil"/>
              <w:right w:val="single" w:sz="4" w:space="0" w:color="BCBDBC"/>
            </w:tcBorders>
          </w:tcPr>
          <w:p w14:paraId="05E4FC1E" w14:textId="222FB61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-0.421</w:t>
            </w:r>
          </w:p>
        </w:tc>
        <w:tc>
          <w:tcPr>
            <w:tcW w:w="1173" w:type="dxa"/>
            <w:tcBorders>
              <w:top w:val="nil"/>
              <w:left w:val="single" w:sz="4" w:space="0" w:color="BCBDBC"/>
              <w:bottom w:val="nil"/>
              <w:right w:val="single" w:sz="4" w:space="0" w:color="BCBDBC"/>
            </w:tcBorders>
          </w:tcPr>
          <w:p w14:paraId="3CA8BB27" w14:textId="0B681DA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0.179</w:t>
            </w:r>
          </w:p>
        </w:tc>
        <w:tc>
          <w:tcPr>
            <w:tcW w:w="1238" w:type="dxa"/>
            <w:tcBorders>
              <w:top w:val="nil"/>
              <w:left w:val="single" w:sz="4" w:space="0" w:color="BCBDBC"/>
              <w:bottom w:val="nil"/>
              <w:right w:val="single" w:sz="4" w:space="0" w:color="BCBDBC"/>
            </w:tcBorders>
          </w:tcPr>
          <w:p w14:paraId="3020A01C" w14:textId="0D5A7E1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0.00555</w:t>
            </w:r>
          </w:p>
        </w:tc>
        <w:tc>
          <w:tcPr>
            <w:tcW w:w="1238" w:type="dxa"/>
            <w:tcBorders>
              <w:top w:val="nil"/>
              <w:left w:val="single" w:sz="4" w:space="0" w:color="BCBDBC"/>
              <w:bottom w:val="nil"/>
              <w:right w:val="nil"/>
            </w:tcBorders>
          </w:tcPr>
          <w:p w14:paraId="6EAB1CF3" w14:textId="798DF4D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-0.0211</w:t>
            </w:r>
          </w:p>
        </w:tc>
      </w:tr>
      <w:tr w:rsidR="00BD24A7" w:rsidRPr="00731C8B" w14:paraId="0EB1BB82" w14:textId="77777777" w:rsidTr="007E65FA">
        <w:trPr>
          <w:cantSplit/>
          <w:trHeight w:val="20"/>
        </w:trPr>
        <w:tc>
          <w:tcPr>
            <w:tcW w:w="1945" w:type="dxa"/>
            <w:vMerge/>
            <w:tcBorders>
              <w:left w:val="nil"/>
              <w:bottom w:val="single" w:sz="4" w:space="0" w:color="BCBDBC"/>
              <w:right w:val="single" w:sz="4" w:space="0" w:color="BCBDBC"/>
            </w:tcBorders>
          </w:tcPr>
          <w:p w14:paraId="69AC2E47"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0D7856C7" w14:textId="1ABDEB7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(0.254)</w:t>
            </w:r>
          </w:p>
        </w:tc>
        <w:tc>
          <w:tcPr>
            <w:tcW w:w="1238" w:type="dxa"/>
            <w:tcBorders>
              <w:top w:val="nil"/>
              <w:left w:val="single" w:sz="4" w:space="0" w:color="BCBDBC"/>
              <w:bottom w:val="single" w:sz="4" w:space="0" w:color="BCBDBC"/>
              <w:right w:val="single" w:sz="4" w:space="0" w:color="BCBDBC"/>
            </w:tcBorders>
          </w:tcPr>
          <w:p w14:paraId="5CA5C2DE" w14:textId="00C8101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(0.181)</w:t>
            </w:r>
          </w:p>
        </w:tc>
        <w:tc>
          <w:tcPr>
            <w:tcW w:w="1173" w:type="dxa"/>
            <w:tcBorders>
              <w:top w:val="nil"/>
              <w:left w:val="single" w:sz="4" w:space="0" w:color="BCBDBC"/>
              <w:bottom w:val="single" w:sz="4" w:space="0" w:color="BCBDBC"/>
              <w:right w:val="single" w:sz="4" w:space="0" w:color="BCBDBC"/>
            </w:tcBorders>
          </w:tcPr>
          <w:p w14:paraId="5E31AFCA" w14:textId="2A7D8DF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(0.276)</w:t>
            </w:r>
          </w:p>
        </w:tc>
        <w:tc>
          <w:tcPr>
            <w:tcW w:w="1173" w:type="dxa"/>
            <w:tcBorders>
              <w:top w:val="nil"/>
              <w:left w:val="single" w:sz="4" w:space="0" w:color="BCBDBC"/>
              <w:bottom w:val="single" w:sz="4" w:space="0" w:color="BCBDBC"/>
              <w:right w:val="single" w:sz="4" w:space="0" w:color="BCBDBC"/>
            </w:tcBorders>
          </w:tcPr>
          <w:p w14:paraId="3331BCDD" w14:textId="02E7D2C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(0.162)</w:t>
            </w:r>
          </w:p>
        </w:tc>
        <w:tc>
          <w:tcPr>
            <w:tcW w:w="1238" w:type="dxa"/>
            <w:tcBorders>
              <w:top w:val="nil"/>
              <w:left w:val="single" w:sz="4" w:space="0" w:color="BCBDBC"/>
              <w:bottom w:val="single" w:sz="4" w:space="0" w:color="BCBDBC"/>
              <w:right w:val="single" w:sz="4" w:space="0" w:color="BCBDBC"/>
            </w:tcBorders>
          </w:tcPr>
          <w:p w14:paraId="16273404" w14:textId="1B54D98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(0.150)</w:t>
            </w:r>
          </w:p>
        </w:tc>
        <w:tc>
          <w:tcPr>
            <w:tcW w:w="1238" w:type="dxa"/>
            <w:tcBorders>
              <w:top w:val="nil"/>
              <w:left w:val="single" w:sz="4" w:space="0" w:color="BCBDBC"/>
              <w:bottom w:val="single" w:sz="4" w:space="0" w:color="BCBDBC"/>
              <w:right w:val="nil"/>
            </w:tcBorders>
          </w:tcPr>
          <w:p w14:paraId="79034D19" w14:textId="56EE9D2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(0.113)</w:t>
            </w:r>
          </w:p>
        </w:tc>
      </w:tr>
      <w:tr w:rsidR="00BD24A7" w:rsidRPr="00731C8B" w14:paraId="25E24CA0" w14:textId="77777777" w:rsidTr="00760415">
        <w:trPr>
          <w:cantSplit/>
          <w:trHeight w:val="20"/>
        </w:trPr>
        <w:tc>
          <w:tcPr>
            <w:tcW w:w="1945" w:type="dxa"/>
            <w:vMerge w:val="restart"/>
            <w:tcBorders>
              <w:top w:val="single" w:sz="4" w:space="0" w:color="BCBDBC"/>
              <w:left w:val="nil"/>
              <w:right w:val="single" w:sz="4" w:space="0" w:color="BCBDBC"/>
            </w:tcBorders>
          </w:tcPr>
          <w:p w14:paraId="2420C023" w14:textId="3310E929" w:rsidR="00BD24A7" w:rsidRPr="002D5C47" w:rsidRDefault="00AA128E" w:rsidP="00BD24A7">
            <w:pPr>
              <w:pStyle w:val="TableRowHeading"/>
              <w:rPr>
                <w:rFonts w:ascii="Times New Roman" w:eastAsia="Malgun Gothic" w:hAnsi="Times New Roman"/>
                <w:lang w:eastAsia="ko-KR"/>
              </w:rPr>
            </w:pPr>
            <m:oMathPara>
              <m:oMath>
                <m:sSubSup>
                  <m:sSubSupPr>
                    <m:ctrlPr>
                      <w:rPr>
                        <w:rFonts w:ascii="Cambria Math" w:hAnsi="Cambria Math"/>
                        <w:iCs/>
                      </w:rPr>
                    </m:ctrlPr>
                  </m:sSubSupPr>
                  <m:e>
                    <m:r>
                      <w:rPr>
                        <w:rFonts w:ascii="Cambria Math" w:hAnsi="Cambria Math"/>
                        <w:lang w:val="en-US"/>
                      </w:rPr>
                      <m:t>D</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defl</m:t>
                    </m:r>
                  </m:sup>
                </m:sSubSup>
              </m:oMath>
            </m:oMathPara>
          </w:p>
        </w:tc>
        <w:tc>
          <w:tcPr>
            <w:tcW w:w="1238" w:type="dxa"/>
            <w:tcBorders>
              <w:top w:val="single" w:sz="4" w:space="0" w:color="BCBDBC"/>
              <w:left w:val="single" w:sz="4" w:space="0" w:color="BCBDBC"/>
              <w:bottom w:val="nil"/>
              <w:right w:val="single" w:sz="4" w:space="0" w:color="BCBDBC"/>
            </w:tcBorders>
          </w:tcPr>
          <w:p w14:paraId="1777B8C9" w14:textId="7138823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-0.0119</w:t>
            </w:r>
          </w:p>
        </w:tc>
        <w:tc>
          <w:tcPr>
            <w:tcW w:w="1238" w:type="dxa"/>
            <w:tcBorders>
              <w:top w:val="single" w:sz="4" w:space="0" w:color="BCBDBC"/>
              <w:left w:val="single" w:sz="4" w:space="0" w:color="BCBDBC"/>
              <w:bottom w:val="nil"/>
              <w:right w:val="single" w:sz="4" w:space="0" w:color="BCBDBC"/>
            </w:tcBorders>
          </w:tcPr>
          <w:p w14:paraId="66F8C817" w14:textId="1FE75B8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0.416**</w:t>
            </w:r>
          </w:p>
        </w:tc>
        <w:tc>
          <w:tcPr>
            <w:tcW w:w="1173" w:type="dxa"/>
            <w:tcBorders>
              <w:top w:val="single" w:sz="4" w:space="0" w:color="BCBDBC"/>
              <w:left w:val="single" w:sz="4" w:space="0" w:color="BCBDBC"/>
              <w:bottom w:val="nil"/>
              <w:right w:val="single" w:sz="4" w:space="0" w:color="BCBDBC"/>
            </w:tcBorders>
          </w:tcPr>
          <w:p w14:paraId="712108B9" w14:textId="09AF400F" w:rsidR="00BD24A7" w:rsidRPr="0021785A" w:rsidRDefault="00BD24A7" w:rsidP="00BD24A7">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14:paraId="1B589067" w14:textId="23393626" w:rsidR="00BD24A7" w:rsidRPr="0021785A" w:rsidRDefault="00BD24A7" w:rsidP="00BD24A7">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14:paraId="2FA8882D" w14:textId="1B0F3B8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0.463**</w:t>
            </w:r>
          </w:p>
        </w:tc>
        <w:tc>
          <w:tcPr>
            <w:tcW w:w="1238" w:type="dxa"/>
            <w:tcBorders>
              <w:top w:val="single" w:sz="4" w:space="0" w:color="BCBDBC"/>
              <w:left w:val="single" w:sz="4" w:space="0" w:color="BCBDBC"/>
              <w:bottom w:val="nil"/>
              <w:right w:val="nil"/>
            </w:tcBorders>
          </w:tcPr>
          <w:p w14:paraId="6F7CE822" w14:textId="77777777" w:rsidR="00BD24A7" w:rsidRPr="0021785A" w:rsidRDefault="00BD24A7" w:rsidP="00BD24A7">
            <w:pPr>
              <w:widowControl w:val="0"/>
              <w:autoSpaceDE w:val="0"/>
              <w:autoSpaceDN w:val="0"/>
              <w:adjustRightInd w:val="0"/>
              <w:jc w:val="center"/>
              <w:rPr>
                <w:rFonts w:cs="Segoe UI"/>
                <w:sz w:val="18"/>
                <w:szCs w:val="18"/>
              </w:rPr>
            </w:pPr>
          </w:p>
        </w:tc>
      </w:tr>
      <w:tr w:rsidR="00BD24A7" w:rsidRPr="00731C8B" w14:paraId="63F5DFBA" w14:textId="77777777" w:rsidTr="00760415">
        <w:trPr>
          <w:cantSplit/>
          <w:trHeight w:val="20"/>
        </w:trPr>
        <w:tc>
          <w:tcPr>
            <w:tcW w:w="1945" w:type="dxa"/>
            <w:vMerge/>
            <w:tcBorders>
              <w:left w:val="nil"/>
              <w:bottom w:val="single" w:sz="4" w:space="0" w:color="BCBDBC"/>
              <w:right w:val="single" w:sz="4" w:space="0" w:color="BCBDBC"/>
            </w:tcBorders>
          </w:tcPr>
          <w:p w14:paraId="75A25BBB"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70A60B51" w14:textId="5DFD4B4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(0.0517)</w:t>
            </w:r>
          </w:p>
        </w:tc>
        <w:tc>
          <w:tcPr>
            <w:tcW w:w="1238" w:type="dxa"/>
            <w:tcBorders>
              <w:top w:val="nil"/>
              <w:left w:val="single" w:sz="4" w:space="0" w:color="BCBDBC"/>
              <w:bottom w:val="single" w:sz="4" w:space="0" w:color="BCBDBC"/>
              <w:right w:val="single" w:sz="4" w:space="0" w:color="BCBDBC"/>
            </w:tcBorders>
          </w:tcPr>
          <w:p w14:paraId="2D0D2254" w14:textId="593CDAF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(0.175)</w:t>
            </w:r>
          </w:p>
        </w:tc>
        <w:tc>
          <w:tcPr>
            <w:tcW w:w="1173" w:type="dxa"/>
            <w:tcBorders>
              <w:top w:val="nil"/>
              <w:left w:val="single" w:sz="4" w:space="0" w:color="BCBDBC"/>
              <w:bottom w:val="single" w:sz="4" w:space="0" w:color="BCBDBC"/>
              <w:right w:val="single" w:sz="4" w:space="0" w:color="BCBDBC"/>
            </w:tcBorders>
          </w:tcPr>
          <w:p w14:paraId="6BEACCC0" w14:textId="0EA86A0E" w:rsidR="00BD24A7" w:rsidRPr="0021785A" w:rsidRDefault="00BD24A7" w:rsidP="00BD24A7">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14:paraId="29BDD298" w14:textId="6DF96364" w:rsidR="00BD24A7" w:rsidRPr="0021785A" w:rsidRDefault="00BD24A7" w:rsidP="00BD24A7">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14:paraId="7244D9F9" w14:textId="326C896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(0.202)</w:t>
            </w:r>
          </w:p>
        </w:tc>
        <w:tc>
          <w:tcPr>
            <w:tcW w:w="1238" w:type="dxa"/>
            <w:tcBorders>
              <w:top w:val="nil"/>
              <w:left w:val="single" w:sz="4" w:space="0" w:color="BCBDBC"/>
              <w:bottom w:val="single" w:sz="4" w:space="0" w:color="BCBDBC"/>
              <w:right w:val="nil"/>
            </w:tcBorders>
          </w:tcPr>
          <w:p w14:paraId="566B0D9B" w14:textId="77777777" w:rsidR="00BD24A7" w:rsidRPr="0021785A" w:rsidRDefault="00BD24A7" w:rsidP="00BD24A7">
            <w:pPr>
              <w:widowControl w:val="0"/>
              <w:autoSpaceDE w:val="0"/>
              <w:autoSpaceDN w:val="0"/>
              <w:adjustRightInd w:val="0"/>
              <w:jc w:val="center"/>
              <w:rPr>
                <w:rFonts w:cs="Segoe UI"/>
                <w:sz w:val="18"/>
                <w:szCs w:val="18"/>
              </w:rPr>
            </w:pPr>
          </w:p>
        </w:tc>
      </w:tr>
      <w:tr w:rsidR="00BD24A7" w:rsidRPr="00731C8B" w14:paraId="36ED772F" w14:textId="77777777" w:rsidTr="00760415">
        <w:trPr>
          <w:cantSplit/>
          <w:trHeight w:val="20"/>
        </w:trPr>
        <w:tc>
          <w:tcPr>
            <w:tcW w:w="1945" w:type="dxa"/>
            <w:vMerge w:val="restart"/>
            <w:tcBorders>
              <w:top w:val="single" w:sz="4" w:space="0" w:color="BCBDBC"/>
              <w:left w:val="nil"/>
              <w:right w:val="single" w:sz="4" w:space="0" w:color="BCBDBC"/>
            </w:tcBorders>
          </w:tcPr>
          <w:p w14:paraId="6A94DC67" w14:textId="2A0FE303" w:rsidR="00BD24A7" w:rsidRPr="002D5C47" w:rsidRDefault="00AA128E" w:rsidP="00BD24A7">
            <w:pPr>
              <w:pStyle w:val="TableRowHeading"/>
              <w:rPr>
                <w:rFonts w:ascii="Times New Roman" w:eastAsia="Malgun Gothic" w:hAnsi="Times New Roman"/>
                <w:lang w:eastAsia="ko-KR"/>
              </w:rPr>
            </w:pPr>
            <m:oMathPara>
              <m:oMath>
                <m:sSubSup>
                  <m:sSubSupPr>
                    <m:ctrlPr>
                      <w:rPr>
                        <w:rFonts w:ascii="Cambria Math" w:hAnsi="Cambria Math"/>
                        <w:iCs/>
                      </w:rPr>
                    </m:ctrlPr>
                  </m:sSubSupPr>
                  <m:e>
                    <m:r>
                      <w:rPr>
                        <w:rFonts w:ascii="Cambria Math" w:hAnsi="Cambria Math"/>
                        <w:lang w:val="en-US"/>
                      </w:rPr>
                      <m:t>D</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High</m:t>
                    </m:r>
                    <m:r>
                      <m:rPr>
                        <m:sty m:val="p"/>
                      </m:rPr>
                      <w:rPr>
                        <w:rFonts w:ascii="Cambria Math" w:hAnsi="Cambria Math"/>
                        <w:lang w:val="en-US"/>
                      </w:rPr>
                      <m:t xml:space="preserve"> </m:t>
                    </m:r>
                    <m:r>
                      <w:rPr>
                        <w:rFonts w:ascii="Cambria Math" w:hAnsi="Cambria Math"/>
                        <w:lang w:val="en-US"/>
                      </w:rPr>
                      <m:t>infl</m:t>
                    </m:r>
                  </m:sup>
                </m:sSubSup>
              </m:oMath>
            </m:oMathPara>
          </w:p>
        </w:tc>
        <w:tc>
          <w:tcPr>
            <w:tcW w:w="1238" w:type="dxa"/>
            <w:tcBorders>
              <w:top w:val="single" w:sz="4" w:space="0" w:color="BCBDBC"/>
              <w:left w:val="single" w:sz="4" w:space="0" w:color="BCBDBC"/>
              <w:bottom w:val="nil"/>
              <w:right w:val="single" w:sz="4" w:space="0" w:color="BCBDBC"/>
            </w:tcBorders>
          </w:tcPr>
          <w:p w14:paraId="6BD84298" w14:textId="6B7A898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-0.00188</w:t>
            </w:r>
          </w:p>
        </w:tc>
        <w:tc>
          <w:tcPr>
            <w:tcW w:w="1238" w:type="dxa"/>
            <w:tcBorders>
              <w:top w:val="single" w:sz="4" w:space="0" w:color="BCBDBC"/>
              <w:left w:val="single" w:sz="4" w:space="0" w:color="BCBDBC"/>
              <w:bottom w:val="nil"/>
              <w:right w:val="single" w:sz="4" w:space="0" w:color="BCBDBC"/>
            </w:tcBorders>
          </w:tcPr>
          <w:p w14:paraId="627F9FA0" w14:textId="042342F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-0.628*</w:t>
            </w:r>
          </w:p>
        </w:tc>
        <w:tc>
          <w:tcPr>
            <w:tcW w:w="1173" w:type="dxa"/>
            <w:tcBorders>
              <w:top w:val="single" w:sz="4" w:space="0" w:color="BCBDBC"/>
              <w:left w:val="single" w:sz="4" w:space="0" w:color="BCBDBC"/>
              <w:bottom w:val="nil"/>
              <w:right w:val="single" w:sz="4" w:space="0" w:color="BCBDBC"/>
            </w:tcBorders>
          </w:tcPr>
          <w:p w14:paraId="551BB83B" w14:textId="0EE6330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-0.00319</w:t>
            </w:r>
          </w:p>
        </w:tc>
        <w:tc>
          <w:tcPr>
            <w:tcW w:w="1173" w:type="dxa"/>
            <w:tcBorders>
              <w:top w:val="single" w:sz="4" w:space="0" w:color="BCBDBC"/>
              <w:left w:val="single" w:sz="4" w:space="0" w:color="BCBDBC"/>
              <w:bottom w:val="nil"/>
              <w:right w:val="single" w:sz="4" w:space="0" w:color="BCBDBC"/>
            </w:tcBorders>
          </w:tcPr>
          <w:p w14:paraId="237799FC" w14:textId="3451E78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-0.630*</w:t>
            </w:r>
          </w:p>
        </w:tc>
        <w:tc>
          <w:tcPr>
            <w:tcW w:w="1238" w:type="dxa"/>
            <w:tcBorders>
              <w:top w:val="single" w:sz="4" w:space="0" w:color="BCBDBC"/>
              <w:left w:val="single" w:sz="4" w:space="0" w:color="BCBDBC"/>
              <w:bottom w:val="nil"/>
              <w:right w:val="single" w:sz="4" w:space="0" w:color="BCBDBC"/>
            </w:tcBorders>
          </w:tcPr>
          <w:p w14:paraId="3E5B1743" w14:textId="782A89B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-0.296*</w:t>
            </w:r>
          </w:p>
        </w:tc>
        <w:tc>
          <w:tcPr>
            <w:tcW w:w="1238" w:type="dxa"/>
            <w:tcBorders>
              <w:top w:val="single" w:sz="4" w:space="0" w:color="BCBDBC"/>
              <w:left w:val="single" w:sz="4" w:space="0" w:color="BCBDBC"/>
              <w:bottom w:val="nil"/>
              <w:right w:val="nil"/>
            </w:tcBorders>
          </w:tcPr>
          <w:p w14:paraId="47984074" w14:textId="0622FE2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-0.302*</w:t>
            </w:r>
          </w:p>
        </w:tc>
      </w:tr>
      <w:tr w:rsidR="00BD24A7" w:rsidRPr="00731C8B" w14:paraId="420B1238" w14:textId="77777777" w:rsidTr="00760415">
        <w:trPr>
          <w:cantSplit/>
          <w:trHeight w:val="20"/>
        </w:trPr>
        <w:tc>
          <w:tcPr>
            <w:tcW w:w="1945" w:type="dxa"/>
            <w:vMerge/>
            <w:tcBorders>
              <w:left w:val="nil"/>
              <w:bottom w:val="single" w:sz="4" w:space="0" w:color="BCBDBC"/>
              <w:right w:val="single" w:sz="4" w:space="0" w:color="BCBDBC"/>
            </w:tcBorders>
          </w:tcPr>
          <w:p w14:paraId="4F022622"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207DBAF3" w14:textId="3AE35BE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(0.0280)</w:t>
            </w:r>
          </w:p>
        </w:tc>
        <w:tc>
          <w:tcPr>
            <w:tcW w:w="1238" w:type="dxa"/>
            <w:tcBorders>
              <w:top w:val="nil"/>
              <w:left w:val="single" w:sz="4" w:space="0" w:color="BCBDBC"/>
              <w:bottom w:val="single" w:sz="4" w:space="0" w:color="BCBDBC"/>
              <w:right w:val="single" w:sz="4" w:space="0" w:color="BCBDBC"/>
            </w:tcBorders>
          </w:tcPr>
          <w:p w14:paraId="1279B287" w14:textId="15DD162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(0.322)</w:t>
            </w:r>
          </w:p>
        </w:tc>
        <w:tc>
          <w:tcPr>
            <w:tcW w:w="1173" w:type="dxa"/>
            <w:tcBorders>
              <w:top w:val="nil"/>
              <w:left w:val="single" w:sz="4" w:space="0" w:color="BCBDBC"/>
              <w:bottom w:val="single" w:sz="4" w:space="0" w:color="BCBDBC"/>
              <w:right w:val="single" w:sz="4" w:space="0" w:color="BCBDBC"/>
            </w:tcBorders>
          </w:tcPr>
          <w:p w14:paraId="61C2AC00" w14:textId="17DB564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(0.0264)</w:t>
            </w:r>
          </w:p>
        </w:tc>
        <w:tc>
          <w:tcPr>
            <w:tcW w:w="1173" w:type="dxa"/>
            <w:tcBorders>
              <w:top w:val="nil"/>
              <w:left w:val="single" w:sz="4" w:space="0" w:color="BCBDBC"/>
              <w:bottom w:val="single" w:sz="4" w:space="0" w:color="BCBDBC"/>
              <w:right w:val="single" w:sz="4" w:space="0" w:color="BCBDBC"/>
            </w:tcBorders>
          </w:tcPr>
          <w:p w14:paraId="044D565E" w14:textId="5CBABE7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(0.332)</w:t>
            </w:r>
          </w:p>
        </w:tc>
        <w:tc>
          <w:tcPr>
            <w:tcW w:w="1238" w:type="dxa"/>
            <w:tcBorders>
              <w:top w:val="nil"/>
              <w:left w:val="single" w:sz="4" w:space="0" w:color="BCBDBC"/>
              <w:bottom w:val="single" w:sz="4" w:space="0" w:color="BCBDBC"/>
              <w:right w:val="single" w:sz="4" w:space="0" w:color="BCBDBC"/>
            </w:tcBorders>
          </w:tcPr>
          <w:p w14:paraId="25F709E0" w14:textId="5D54F82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(0.150)</w:t>
            </w:r>
          </w:p>
        </w:tc>
        <w:tc>
          <w:tcPr>
            <w:tcW w:w="1238" w:type="dxa"/>
            <w:tcBorders>
              <w:top w:val="nil"/>
              <w:left w:val="single" w:sz="4" w:space="0" w:color="BCBDBC"/>
              <w:bottom w:val="single" w:sz="4" w:space="0" w:color="BCBDBC"/>
              <w:right w:val="nil"/>
            </w:tcBorders>
          </w:tcPr>
          <w:p w14:paraId="114292EC" w14:textId="4237DEB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(0.155)</w:t>
            </w:r>
          </w:p>
        </w:tc>
      </w:tr>
      <w:tr w:rsidR="00BD24A7" w:rsidRPr="00731C8B" w14:paraId="46C66D4C" w14:textId="77777777" w:rsidTr="00760415">
        <w:trPr>
          <w:cantSplit/>
          <w:trHeight w:val="20"/>
        </w:trPr>
        <w:tc>
          <w:tcPr>
            <w:tcW w:w="1945" w:type="dxa"/>
            <w:vMerge w:val="restart"/>
            <w:tcBorders>
              <w:top w:val="single" w:sz="4" w:space="0" w:color="BCBDBC"/>
              <w:left w:val="nil"/>
              <w:right w:val="single" w:sz="4" w:space="0" w:color="BCBDBC"/>
            </w:tcBorders>
          </w:tcPr>
          <w:p w14:paraId="3DC6C7CF" w14:textId="5C6318C9" w:rsidR="00BD24A7" w:rsidRPr="002D5C47" w:rsidRDefault="00AA128E" w:rsidP="00BD24A7">
            <w:pPr>
              <w:pStyle w:val="TableRowHeading"/>
              <w:rPr>
                <w:rFonts w:ascii="Times New Roman" w:eastAsia="Malgun Gothic" w:hAnsi="Times New Roman"/>
                <w:lang w:eastAsia="ko-KR"/>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pos</m:t>
                    </m:r>
                  </m:sup>
                </m:sSubSup>
              </m:oMath>
            </m:oMathPara>
          </w:p>
        </w:tc>
        <w:tc>
          <w:tcPr>
            <w:tcW w:w="1238" w:type="dxa"/>
            <w:tcBorders>
              <w:top w:val="single" w:sz="4" w:space="0" w:color="BCBDBC"/>
              <w:left w:val="single" w:sz="4" w:space="0" w:color="BCBDBC"/>
              <w:bottom w:val="nil"/>
              <w:right w:val="single" w:sz="4" w:space="0" w:color="BCBDBC"/>
            </w:tcBorders>
          </w:tcPr>
          <w:p w14:paraId="0DEC2565" w14:textId="6DB61784"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-0.0343*</w:t>
            </w:r>
          </w:p>
        </w:tc>
        <w:tc>
          <w:tcPr>
            <w:tcW w:w="1238" w:type="dxa"/>
            <w:tcBorders>
              <w:top w:val="single" w:sz="4" w:space="0" w:color="BCBDBC"/>
              <w:left w:val="single" w:sz="4" w:space="0" w:color="BCBDBC"/>
              <w:bottom w:val="nil"/>
              <w:right w:val="single" w:sz="4" w:space="0" w:color="BCBDBC"/>
            </w:tcBorders>
          </w:tcPr>
          <w:p w14:paraId="37635B53" w14:textId="0E540D2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0.0907*</w:t>
            </w:r>
          </w:p>
        </w:tc>
        <w:tc>
          <w:tcPr>
            <w:tcW w:w="1173" w:type="dxa"/>
            <w:tcBorders>
              <w:top w:val="single" w:sz="4" w:space="0" w:color="BCBDBC"/>
              <w:left w:val="single" w:sz="4" w:space="0" w:color="BCBDBC"/>
              <w:bottom w:val="nil"/>
              <w:right w:val="single" w:sz="4" w:space="0" w:color="BCBDBC"/>
            </w:tcBorders>
          </w:tcPr>
          <w:p w14:paraId="79B34B80" w14:textId="39846A4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-0.0333*</w:t>
            </w:r>
          </w:p>
        </w:tc>
        <w:tc>
          <w:tcPr>
            <w:tcW w:w="1173" w:type="dxa"/>
            <w:tcBorders>
              <w:top w:val="single" w:sz="4" w:space="0" w:color="BCBDBC"/>
              <w:left w:val="single" w:sz="4" w:space="0" w:color="BCBDBC"/>
              <w:bottom w:val="nil"/>
              <w:right w:val="single" w:sz="4" w:space="0" w:color="BCBDBC"/>
            </w:tcBorders>
          </w:tcPr>
          <w:p w14:paraId="6E647139" w14:textId="543A40A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0.0961*</w:t>
            </w:r>
          </w:p>
        </w:tc>
        <w:tc>
          <w:tcPr>
            <w:tcW w:w="1238" w:type="dxa"/>
            <w:tcBorders>
              <w:top w:val="single" w:sz="4" w:space="0" w:color="BCBDBC"/>
              <w:left w:val="single" w:sz="4" w:space="0" w:color="BCBDBC"/>
              <w:bottom w:val="nil"/>
              <w:right w:val="single" w:sz="4" w:space="0" w:color="BCBDBC"/>
            </w:tcBorders>
          </w:tcPr>
          <w:p w14:paraId="1E587E23" w14:textId="5548D04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0.0297*</w:t>
            </w:r>
          </w:p>
        </w:tc>
        <w:tc>
          <w:tcPr>
            <w:tcW w:w="1238" w:type="dxa"/>
            <w:tcBorders>
              <w:top w:val="single" w:sz="4" w:space="0" w:color="BCBDBC"/>
              <w:left w:val="single" w:sz="4" w:space="0" w:color="BCBDBC"/>
              <w:bottom w:val="nil"/>
              <w:right w:val="nil"/>
            </w:tcBorders>
          </w:tcPr>
          <w:p w14:paraId="43EBC3E1" w14:textId="53C0B68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0.0395**</w:t>
            </w:r>
          </w:p>
        </w:tc>
      </w:tr>
      <w:tr w:rsidR="00BD24A7" w:rsidRPr="00731C8B" w14:paraId="2600CE23" w14:textId="77777777" w:rsidTr="00F24679">
        <w:trPr>
          <w:cantSplit/>
          <w:trHeight w:val="20"/>
        </w:trPr>
        <w:tc>
          <w:tcPr>
            <w:tcW w:w="1945" w:type="dxa"/>
            <w:vMerge/>
            <w:tcBorders>
              <w:left w:val="nil"/>
              <w:bottom w:val="single" w:sz="4" w:space="0" w:color="BFBFBF" w:themeColor="background1" w:themeShade="BF"/>
              <w:right w:val="single" w:sz="4" w:space="0" w:color="BCBDBC"/>
            </w:tcBorders>
          </w:tcPr>
          <w:p w14:paraId="455BDF4A" w14:textId="77777777" w:rsidR="00BD24A7" w:rsidRDefault="00BD24A7" w:rsidP="00BD24A7">
            <w:pPr>
              <w:pStyle w:val="TableRowHeading"/>
              <w:rPr>
                <w:lang w:val="en-US"/>
              </w:rPr>
            </w:pPr>
          </w:p>
        </w:tc>
        <w:tc>
          <w:tcPr>
            <w:tcW w:w="1238" w:type="dxa"/>
            <w:tcBorders>
              <w:top w:val="nil"/>
              <w:left w:val="single" w:sz="4" w:space="0" w:color="BCBDBC"/>
              <w:bottom w:val="single" w:sz="4" w:space="0" w:color="BCBDBC"/>
              <w:right w:val="single" w:sz="4" w:space="0" w:color="BCBDBC"/>
            </w:tcBorders>
          </w:tcPr>
          <w:p w14:paraId="7091FC30" w14:textId="74A42C0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(0.0181)</w:t>
            </w:r>
          </w:p>
        </w:tc>
        <w:tc>
          <w:tcPr>
            <w:tcW w:w="1238" w:type="dxa"/>
            <w:tcBorders>
              <w:top w:val="nil"/>
              <w:left w:val="single" w:sz="4" w:space="0" w:color="BCBDBC"/>
              <w:bottom w:val="single" w:sz="4" w:space="0" w:color="BCBDBC"/>
              <w:right w:val="single" w:sz="4" w:space="0" w:color="BCBDBC"/>
            </w:tcBorders>
          </w:tcPr>
          <w:p w14:paraId="2B84A344" w14:textId="024B8B4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(0.0519)</w:t>
            </w:r>
          </w:p>
        </w:tc>
        <w:tc>
          <w:tcPr>
            <w:tcW w:w="1173" w:type="dxa"/>
            <w:tcBorders>
              <w:top w:val="nil"/>
              <w:left w:val="single" w:sz="4" w:space="0" w:color="BCBDBC"/>
              <w:bottom w:val="single" w:sz="4" w:space="0" w:color="BCBDBC"/>
              <w:right w:val="single" w:sz="4" w:space="0" w:color="BCBDBC"/>
            </w:tcBorders>
          </w:tcPr>
          <w:p w14:paraId="1A783BDA" w14:textId="23AF64E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(0.0164)</w:t>
            </w:r>
          </w:p>
        </w:tc>
        <w:tc>
          <w:tcPr>
            <w:tcW w:w="1173" w:type="dxa"/>
            <w:tcBorders>
              <w:top w:val="nil"/>
              <w:left w:val="single" w:sz="4" w:space="0" w:color="BCBDBC"/>
              <w:bottom w:val="single" w:sz="4" w:space="0" w:color="BCBDBC"/>
              <w:right w:val="single" w:sz="4" w:space="0" w:color="BCBDBC"/>
            </w:tcBorders>
          </w:tcPr>
          <w:p w14:paraId="119CCD00" w14:textId="2A27A34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(0.0519)</w:t>
            </w:r>
          </w:p>
        </w:tc>
        <w:tc>
          <w:tcPr>
            <w:tcW w:w="1238" w:type="dxa"/>
            <w:tcBorders>
              <w:top w:val="nil"/>
              <w:left w:val="single" w:sz="4" w:space="0" w:color="BCBDBC"/>
              <w:bottom w:val="single" w:sz="4" w:space="0" w:color="BCBDBC"/>
              <w:right w:val="single" w:sz="4" w:space="0" w:color="BCBDBC"/>
            </w:tcBorders>
          </w:tcPr>
          <w:p w14:paraId="47713252" w14:textId="192F75C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(0.0164)</w:t>
            </w:r>
          </w:p>
        </w:tc>
        <w:tc>
          <w:tcPr>
            <w:tcW w:w="1238" w:type="dxa"/>
            <w:tcBorders>
              <w:top w:val="nil"/>
              <w:left w:val="single" w:sz="4" w:space="0" w:color="BCBDBC"/>
              <w:bottom w:val="single" w:sz="4" w:space="0" w:color="BCBDBC"/>
              <w:right w:val="nil"/>
            </w:tcBorders>
          </w:tcPr>
          <w:p w14:paraId="5CA44BE7" w14:textId="6357CCB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(0.0183)</w:t>
            </w:r>
          </w:p>
        </w:tc>
      </w:tr>
      <w:tr w:rsidR="00BD24A7" w:rsidRPr="00731C8B" w14:paraId="1F7DE1CF" w14:textId="77777777" w:rsidTr="00F24679">
        <w:trPr>
          <w:cantSplit/>
          <w:trHeight w:val="20"/>
        </w:trPr>
        <w:tc>
          <w:tcPr>
            <w:tcW w:w="1945" w:type="dxa"/>
            <w:vMerge w:val="restart"/>
            <w:tcBorders>
              <w:top w:val="single" w:sz="4" w:space="0" w:color="BFBFBF" w:themeColor="background1" w:themeShade="BF"/>
              <w:left w:val="nil"/>
              <w:right w:val="single" w:sz="4" w:space="0" w:color="BCBDBC"/>
            </w:tcBorders>
          </w:tcPr>
          <w:p w14:paraId="659B8776" w14:textId="60BABE45" w:rsidR="00BD24A7" w:rsidRDefault="00AA128E" w:rsidP="00BD24A7">
            <w:pPr>
              <w:pStyle w:val="TableRowHeading"/>
              <w:rPr>
                <w:lang w:val="en-US"/>
              </w:rPr>
            </w:pPr>
            <m:oMathPara>
              <m:oMath>
                <m:sSubSup>
                  <m:sSubSupPr>
                    <m:ctrlPr>
                      <w:rPr>
                        <w:rFonts w:ascii="Cambria Math" w:hAnsi="Cambria Math"/>
                        <w:sz w:val="18"/>
                        <w:szCs w:val="18"/>
                        <w:lang w:val="en-US"/>
                      </w:rPr>
                    </m:ctrlPr>
                  </m:sSubSupPr>
                  <m:e>
                    <m:r>
                      <w:rPr>
                        <w:rFonts w:ascii="Cambria Math" w:hAnsi="Cambria Math"/>
                        <w:sz w:val="18"/>
                        <w:szCs w:val="18"/>
                        <w:lang w:val="en-US"/>
                      </w:rPr>
                      <m:t>infl</m:t>
                    </m:r>
                    <m:r>
                      <m:rPr>
                        <m:sty m:val="p"/>
                      </m:rPr>
                      <w:rPr>
                        <w:rFonts w:ascii="Cambria Math" w:hAnsi="Cambria Math"/>
                        <w:sz w:val="18"/>
                        <w:szCs w:val="18"/>
                        <w:lang w:val="en-US"/>
                      </w:rPr>
                      <m:t xml:space="preserve"> </m:t>
                    </m:r>
                    <m:r>
                      <w:rPr>
                        <w:rFonts w:ascii="Cambria Math" w:hAnsi="Cambria Math"/>
                        <w:sz w:val="18"/>
                        <w:szCs w:val="18"/>
                        <w:lang w:val="en-US"/>
                      </w:rPr>
                      <m:t>gap</m:t>
                    </m:r>
                  </m:e>
                  <m:sub>
                    <m:r>
                      <w:rPr>
                        <w:rFonts w:ascii="Cambria Math" w:hAnsi="Cambria Math"/>
                        <w:sz w:val="18"/>
                        <w:szCs w:val="18"/>
                        <w:lang w:val="en-US"/>
                      </w:rPr>
                      <m:t>c, t</m:t>
                    </m:r>
                  </m:sub>
                  <m:sup>
                    <m:r>
                      <w:rPr>
                        <w:rFonts w:ascii="Cambria Math" w:hAnsi="Cambria Math"/>
                        <w:sz w:val="18"/>
                        <w:szCs w:val="18"/>
                        <w:lang w:val="en-US"/>
                      </w:rPr>
                      <m:t>neg</m:t>
                    </m:r>
                  </m:sup>
                </m:sSubSup>
              </m:oMath>
            </m:oMathPara>
          </w:p>
        </w:tc>
        <w:tc>
          <w:tcPr>
            <w:tcW w:w="1238" w:type="dxa"/>
            <w:tcBorders>
              <w:top w:val="nil"/>
              <w:left w:val="single" w:sz="4" w:space="0" w:color="BCBDBC"/>
              <w:bottom w:val="nil"/>
              <w:right w:val="single" w:sz="4" w:space="0" w:color="BCBDBC"/>
            </w:tcBorders>
          </w:tcPr>
          <w:p w14:paraId="1AA8A1B8" w14:textId="513F8A8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-0.0353</w:t>
            </w:r>
          </w:p>
        </w:tc>
        <w:tc>
          <w:tcPr>
            <w:tcW w:w="1238" w:type="dxa"/>
            <w:tcBorders>
              <w:top w:val="nil"/>
              <w:left w:val="single" w:sz="4" w:space="0" w:color="BCBDBC"/>
              <w:bottom w:val="nil"/>
              <w:right w:val="single" w:sz="4" w:space="0" w:color="BCBDBC"/>
            </w:tcBorders>
          </w:tcPr>
          <w:p w14:paraId="5250E03E" w14:textId="32D22B64"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-0.226**</w:t>
            </w:r>
          </w:p>
        </w:tc>
        <w:tc>
          <w:tcPr>
            <w:tcW w:w="1173" w:type="dxa"/>
            <w:tcBorders>
              <w:top w:val="nil"/>
              <w:left w:val="single" w:sz="4" w:space="0" w:color="BCBDBC"/>
              <w:bottom w:val="nil"/>
              <w:right w:val="single" w:sz="4" w:space="0" w:color="BCBDBC"/>
            </w:tcBorders>
          </w:tcPr>
          <w:p w14:paraId="03B7808C" w14:textId="37B7725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-0.0341</w:t>
            </w:r>
          </w:p>
        </w:tc>
        <w:tc>
          <w:tcPr>
            <w:tcW w:w="1173" w:type="dxa"/>
            <w:tcBorders>
              <w:top w:val="nil"/>
              <w:left w:val="single" w:sz="4" w:space="0" w:color="BCBDBC"/>
              <w:bottom w:val="nil"/>
              <w:right w:val="single" w:sz="4" w:space="0" w:color="BCBDBC"/>
            </w:tcBorders>
          </w:tcPr>
          <w:p w14:paraId="31CB1C0E" w14:textId="7D3D954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-0.261***</w:t>
            </w:r>
          </w:p>
        </w:tc>
        <w:tc>
          <w:tcPr>
            <w:tcW w:w="1238" w:type="dxa"/>
            <w:tcBorders>
              <w:top w:val="nil"/>
              <w:left w:val="single" w:sz="4" w:space="0" w:color="BCBDBC"/>
              <w:bottom w:val="nil"/>
              <w:right w:val="single" w:sz="4" w:space="0" w:color="BCBDBC"/>
            </w:tcBorders>
          </w:tcPr>
          <w:p w14:paraId="58000A78" w14:textId="1C6A19B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-0.109***</w:t>
            </w:r>
          </w:p>
        </w:tc>
        <w:tc>
          <w:tcPr>
            <w:tcW w:w="1238" w:type="dxa"/>
            <w:tcBorders>
              <w:top w:val="nil"/>
              <w:left w:val="single" w:sz="4" w:space="0" w:color="BCBDBC"/>
              <w:bottom w:val="nil"/>
              <w:right w:val="nil"/>
            </w:tcBorders>
          </w:tcPr>
          <w:p w14:paraId="149E7F14" w14:textId="1563BCD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-0.137***</w:t>
            </w:r>
          </w:p>
        </w:tc>
      </w:tr>
      <w:tr w:rsidR="00BD24A7" w:rsidRPr="00731C8B" w14:paraId="12A4BD9C" w14:textId="77777777" w:rsidTr="00F24679">
        <w:trPr>
          <w:cantSplit/>
          <w:trHeight w:val="20"/>
        </w:trPr>
        <w:tc>
          <w:tcPr>
            <w:tcW w:w="1945" w:type="dxa"/>
            <w:vMerge/>
            <w:tcBorders>
              <w:left w:val="nil"/>
              <w:bottom w:val="single" w:sz="4" w:space="0" w:color="BCBDBC"/>
              <w:right w:val="single" w:sz="4" w:space="0" w:color="BCBDBC"/>
            </w:tcBorders>
          </w:tcPr>
          <w:p w14:paraId="3B4C76E0" w14:textId="77777777" w:rsidR="00BD24A7" w:rsidRDefault="00BD24A7" w:rsidP="00BD24A7">
            <w:pPr>
              <w:pStyle w:val="TableRowHeading"/>
              <w:rPr>
                <w:lang w:val="en-US"/>
              </w:rPr>
            </w:pPr>
          </w:p>
        </w:tc>
        <w:tc>
          <w:tcPr>
            <w:tcW w:w="1238" w:type="dxa"/>
            <w:tcBorders>
              <w:top w:val="nil"/>
              <w:left w:val="single" w:sz="4" w:space="0" w:color="BCBDBC"/>
              <w:bottom w:val="single" w:sz="4" w:space="0" w:color="BCBDBC"/>
              <w:right w:val="single" w:sz="4" w:space="0" w:color="BCBDBC"/>
            </w:tcBorders>
          </w:tcPr>
          <w:p w14:paraId="7F793D72" w14:textId="45E3F73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(0.0238)</w:t>
            </w:r>
          </w:p>
        </w:tc>
        <w:tc>
          <w:tcPr>
            <w:tcW w:w="1238" w:type="dxa"/>
            <w:tcBorders>
              <w:top w:val="nil"/>
              <w:left w:val="single" w:sz="4" w:space="0" w:color="BCBDBC"/>
              <w:bottom w:val="single" w:sz="4" w:space="0" w:color="BCBDBC"/>
              <w:right w:val="single" w:sz="4" w:space="0" w:color="BCBDBC"/>
            </w:tcBorders>
          </w:tcPr>
          <w:p w14:paraId="693748F4" w14:textId="6CBF003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(0.0828)</w:t>
            </w:r>
          </w:p>
        </w:tc>
        <w:tc>
          <w:tcPr>
            <w:tcW w:w="1173" w:type="dxa"/>
            <w:tcBorders>
              <w:top w:val="nil"/>
              <w:left w:val="single" w:sz="4" w:space="0" w:color="BCBDBC"/>
              <w:bottom w:val="single" w:sz="4" w:space="0" w:color="BCBDBC"/>
              <w:right w:val="single" w:sz="4" w:space="0" w:color="BCBDBC"/>
            </w:tcBorders>
          </w:tcPr>
          <w:p w14:paraId="08F6B34D" w14:textId="60F590C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(0.0229)</w:t>
            </w:r>
          </w:p>
        </w:tc>
        <w:tc>
          <w:tcPr>
            <w:tcW w:w="1173" w:type="dxa"/>
            <w:tcBorders>
              <w:top w:val="nil"/>
              <w:left w:val="single" w:sz="4" w:space="0" w:color="BCBDBC"/>
              <w:bottom w:val="single" w:sz="4" w:space="0" w:color="BCBDBC"/>
              <w:right w:val="single" w:sz="4" w:space="0" w:color="BCBDBC"/>
            </w:tcBorders>
          </w:tcPr>
          <w:p w14:paraId="7B4951B5" w14:textId="44DDCEA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(0.0898)</w:t>
            </w:r>
          </w:p>
        </w:tc>
        <w:tc>
          <w:tcPr>
            <w:tcW w:w="1238" w:type="dxa"/>
            <w:tcBorders>
              <w:top w:val="nil"/>
              <w:left w:val="single" w:sz="4" w:space="0" w:color="BCBDBC"/>
              <w:bottom w:val="single" w:sz="4" w:space="0" w:color="BCBDBC"/>
              <w:right w:val="single" w:sz="4" w:space="0" w:color="BCBDBC"/>
            </w:tcBorders>
          </w:tcPr>
          <w:p w14:paraId="46D08A8F" w14:textId="3038590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(0.0374)</w:t>
            </w:r>
          </w:p>
        </w:tc>
        <w:tc>
          <w:tcPr>
            <w:tcW w:w="1238" w:type="dxa"/>
            <w:tcBorders>
              <w:top w:val="nil"/>
              <w:left w:val="single" w:sz="4" w:space="0" w:color="BCBDBC"/>
              <w:bottom w:val="single" w:sz="4" w:space="0" w:color="BCBDBC"/>
              <w:right w:val="nil"/>
            </w:tcBorders>
          </w:tcPr>
          <w:p w14:paraId="496068E4" w14:textId="5A3F474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(0.0454)</w:t>
            </w:r>
          </w:p>
        </w:tc>
      </w:tr>
      <w:tr w:rsidR="00BD24A7" w:rsidRPr="00731C8B" w14:paraId="03E84924" w14:textId="77777777" w:rsidTr="00760415">
        <w:trPr>
          <w:cantSplit/>
          <w:trHeight w:val="20"/>
        </w:trPr>
        <w:tc>
          <w:tcPr>
            <w:tcW w:w="1945" w:type="dxa"/>
            <w:vMerge w:val="restart"/>
            <w:tcBorders>
              <w:top w:val="single" w:sz="4" w:space="0" w:color="BCBDBC"/>
              <w:left w:val="nil"/>
              <w:right w:val="single" w:sz="4" w:space="0" w:color="BCBDBC"/>
            </w:tcBorders>
          </w:tcPr>
          <w:p w14:paraId="07F0D9CD" w14:textId="598D8F5C" w:rsidR="00BD24A7" w:rsidRPr="002D5C47" w:rsidRDefault="00AA128E" w:rsidP="00BD24A7">
            <w:pPr>
              <w:pStyle w:val="TableRowHeading"/>
              <w:rPr>
                <w:rFonts w:ascii="Times New Roman" w:eastAsia="Malgun Gothic" w:hAnsi="Times New Roman"/>
                <w:lang w:eastAsia="ko-KR"/>
              </w:rPr>
            </w:pPr>
            <m:oMathPara>
              <m:oMath>
                <m:sSup>
                  <m:sSupPr>
                    <m:ctrlPr>
                      <w:rPr>
                        <w:rFonts w:ascii="Cambria Math" w:hAnsi="Cambria Math"/>
                        <w:lang w:val="en-US"/>
                      </w:rPr>
                    </m:ctrlPr>
                  </m:sSupPr>
                  <m:e>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infl</m:t>
                        </m:r>
                        <m:r>
                          <m:rPr>
                            <m:sty m:val="p"/>
                          </m:rPr>
                          <w:rPr>
                            <w:rFonts w:ascii="Cambria Math" w:hAnsi="Cambria Math"/>
                            <w:lang w:val="en-US"/>
                          </w:rPr>
                          <m:t xml:space="preserve"> </m:t>
                        </m:r>
                        <m:r>
                          <w:rPr>
                            <w:rFonts w:ascii="Cambria Math" w:hAnsi="Cambria Math"/>
                            <w:lang w:val="en-US"/>
                          </w:rPr>
                          <m:t>gap</m:t>
                        </m:r>
                        <m:ctrlPr>
                          <w:rPr>
                            <w:rFonts w:ascii="Cambria Math" w:hAnsi="Cambria Math"/>
                            <w:iCs/>
                          </w:rPr>
                        </m:ctrlP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ctrlPr>
                          <w:rPr>
                            <w:rFonts w:ascii="Cambria Math" w:hAnsi="Cambria Math"/>
                            <w:iCs/>
                          </w:rPr>
                        </m:ctrlPr>
                      </m:sub>
                    </m:sSub>
                    <m:r>
                      <m:rPr>
                        <m:sty m:val="p"/>
                      </m:rPr>
                      <w:rPr>
                        <w:rFonts w:ascii="Cambria Math" w:hAnsi="Cambria Math"/>
                      </w:rPr>
                      <m:t>)</m:t>
                    </m:r>
                  </m:e>
                  <m:sup>
                    <m:r>
                      <m:rPr>
                        <m:sty m:val="p"/>
                      </m:rPr>
                      <w:rPr>
                        <w:rFonts w:ascii="Cambria Math" w:hAnsi="Cambria Math"/>
                        <w:lang w:val="en-US"/>
                      </w:rPr>
                      <m:t>2</m:t>
                    </m:r>
                  </m:sup>
                </m:sSup>
              </m:oMath>
            </m:oMathPara>
          </w:p>
        </w:tc>
        <w:tc>
          <w:tcPr>
            <w:tcW w:w="1238" w:type="dxa"/>
            <w:tcBorders>
              <w:top w:val="single" w:sz="4" w:space="0" w:color="BCBDBC"/>
              <w:left w:val="single" w:sz="4" w:space="0" w:color="BCBDBC"/>
              <w:bottom w:val="nil"/>
              <w:right w:val="single" w:sz="4" w:space="0" w:color="BCBDBC"/>
            </w:tcBorders>
          </w:tcPr>
          <w:p w14:paraId="3DE05315" w14:textId="0EC9476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0.00839**</w:t>
            </w:r>
          </w:p>
        </w:tc>
        <w:tc>
          <w:tcPr>
            <w:tcW w:w="1238" w:type="dxa"/>
            <w:tcBorders>
              <w:top w:val="single" w:sz="4" w:space="0" w:color="BCBDBC"/>
              <w:left w:val="single" w:sz="4" w:space="0" w:color="BCBDBC"/>
              <w:bottom w:val="nil"/>
              <w:right w:val="single" w:sz="4" w:space="0" w:color="BCBDBC"/>
            </w:tcBorders>
          </w:tcPr>
          <w:p w14:paraId="61E01CA7" w14:textId="38BA46C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-0.00941**</w:t>
            </w:r>
          </w:p>
        </w:tc>
        <w:tc>
          <w:tcPr>
            <w:tcW w:w="1173" w:type="dxa"/>
            <w:tcBorders>
              <w:top w:val="single" w:sz="4" w:space="0" w:color="BCBDBC"/>
              <w:left w:val="single" w:sz="4" w:space="0" w:color="BCBDBC"/>
              <w:bottom w:val="nil"/>
              <w:right w:val="single" w:sz="4" w:space="0" w:color="BCBDBC"/>
            </w:tcBorders>
          </w:tcPr>
          <w:p w14:paraId="6DB80C34" w14:textId="2E59269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0.00811***</w:t>
            </w:r>
          </w:p>
        </w:tc>
        <w:tc>
          <w:tcPr>
            <w:tcW w:w="1173" w:type="dxa"/>
            <w:tcBorders>
              <w:top w:val="single" w:sz="4" w:space="0" w:color="BCBDBC"/>
              <w:left w:val="single" w:sz="4" w:space="0" w:color="BCBDBC"/>
              <w:bottom w:val="nil"/>
              <w:right w:val="single" w:sz="4" w:space="0" w:color="BCBDBC"/>
            </w:tcBorders>
          </w:tcPr>
          <w:p w14:paraId="48B9296A" w14:textId="228AEF1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-0.0110**</w:t>
            </w:r>
          </w:p>
        </w:tc>
        <w:tc>
          <w:tcPr>
            <w:tcW w:w="1238" w:type="dxa"/>
            <w:tcBorders>
              <w:top w:val="single" w:sz="4" w:space="0" w:color="BCBDBC"/>
              <w:left w:val="single" w:sz="4" w:space="0" w:color="BCBDBC"/>
              <w:bottom w:val="nil"/>
              <w:right w:val="single" w:sz="4" w:space="0" w:color="BCBDBC"/>
            </w:tcBorders>
          </w:tcPr>
          <w:p w14:paraId="0276B189" w14:textId="12F5306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-0.00408**</w:t>
            </w:r>
          </w:p>
        </w:tc>
        <w:tc>
          <w:tcPr>
            <w:tcW w:w="1238" w:type="dxa"/>
            <w:tcBorders>
              <w:top w:val="single" w:sz="4" w:space="0" w:color="BCBDBC"/>
              <w:left w:val="single" w:sz="4" w:space="0" w:color="BCBDBC"/>
              <w:bottom w:val="nil"/>
              <w:right w:val="nil"/>
            </w:tcBorders>
          </w:tcPr>
          <w:p w14:paraId="1E858912" w14:textId="7ABC616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-0.00531***</w:t>
            </w:r>
          </w:p>
        </w:tc>
      </w:tr>
      <w:tr w:rsidR="00BD24A7" w:rsidRPr="00731C8B" w14:paraId="3535671A" w14:textId="77777777" w:rsidTr="00760415">
        <w:trPr>
          <w:cantSplit/>
          <w:trHeight w:val="20"/>
        </w:trPr>
        <w:tc>
          <w:tcPr>
            <w:tcW w:w="1945" w:type="dxa"/>
            <w:vMerge/>
            <w:tcBorders>
              <w:left w:val="nil"/>
              <w:bottom w:val="single" w:sz="4" w:space="0" w:color="BCBDBC"/>
              <w:right w:val="single" w:sz="4" w:space="0" w:color="BCBDBC"/>
            </w:tcBorders>
          </w:tcPr>
          <w:p w14:paraId="014AAD25" w14:textId="77777777" w:rsidR="00BD24A7" w:rsidRDefault="00BD24A7" w:rsidP="00BD24A7">
            <w:pPr>
              <w:pStyle w:val="TableRowHeading"/>
              <w:rPr>
                <w:lang w:val="en-US"/>
              </w:rPr>
            </w:pPr>
          </w:p>
        </w:tc>
        <w:tc>
          <w:tcPr>
            <w:tcW w:w="1238" w:type="dxa"/>
            <w:tcBorders>
              <w:top w:val="nil"/>
              <w:left w:val="single" w:sz="4" w:space="0" w:color="BCBDBC"/>
              <w:bottom w:val="single" w:sz="4" w:space="0" w:color="BCBDBC"/>
              <w:right w:val="single" w:sz="4" w:space="0" w:color="BCBDBC"/>
            </w:tcBorders>
          </w:tcPr>
          <w:p w14:paraId="28E1075C" w14:textId="029F2AE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(0.00304)</w:t>
            </w:r>
          </w:p>
        </w:tc>
        <w:tc>
          <w:tcPr>
            <w:tcW w:w="1238" w:type="dxa"/>
            <w:tcBorders>
              <w:top w:val="nil"/>
              <w:left w:val="single" w:sz="4" w:space="0" w:color="BCBDBC"/>
              <w:bottom w:val="single" w:sz="4" w:space="0" w:color="BCBDBC"/>
              <w:right w:val="single" w:sz="4" w:space="0" w:color="BCBDBC"/>
            </w:tcBorders>
          </w:tcPr>
          <w:p w14:paraId="5BE420A0" w14:textId="72FCE03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(0.00373)</w:t>
            </w:r>
          </w:p>
        </w:tc>
        <w:tc>
          <w:tcPr>
            <w:tcW w:w="1173" w:type="dxa"/>
            <w:tcBorders>
              <w:top w:val="nil"/>
              <w:left w:val="single" w:sz="4" w:space="0" w:color="BCBDBC"/>
              <w:bottom w:val="single" w:sz="4" w:space="0" w:color="BCBDBC"/>
              <w:right w:val="single" w:sz="4" w:space="0" w:color="BCBDBC"/>
            </w:tcBorders>
          </w:tcPr>
          <w:p w14:paraId="59C4750D" w14:textId="5D03BDE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(0.00286)</w:t>
            </w:r>
          </w:p>
        </w:tc>
        <w:tc>
          <w:tcPr>
            <w:tcW w:w="1173" w:type="dxa"/>
            <w:tcBorders>
              <w:top w:val="nil"/>
              <w:left w:val="single" w:sz="4" w:space="0" w:color="BCBDBC"/>
              <w:bottom w:val="single" w:sz="4" w:space="0" w:color="BCBDBC"/>
              <w:right w:val="single" w:sz="4" w:space="0" w:color="BCBDBC"/>
            </w:tcBorders>
          </w:tcPr>
          <w:p w14:paraId="60CB4A7D" w14:textId="560E92B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(0.00406)</w:t>
            </w:r>
          </w:p>
        </w:tc>
        <w:tc>
          <w:tcPr>
            <w:tcW w:w="1238" w:type="dxa"/>
            <w:tcBorders>
              <w:top w:val="nil"/>
              <w:left w:val="single" w:sz="4" w:space="0" w:color="BCBDBC"/>
              <w:bottom w:val="single" w:sz="4" w:space="0" w:color="BCBDBC"/>
              <w:right w:val="single" w:sz="4" w:space="0" w:color="BCBDBC"/>
            </w:tcBorders>
          </w:tcPr>
          <w:p w14:paraId="71F58449" w14:textId="5DCE0E3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(0.00165)</w:t>
            </w:r>
          </w:p>
        </w:tc>
        <w:tc>
          <w:tcPr>
            <w:tcW w:w="1238" w:type="dxa"/>
            <w:tcBorders>
              <w:top w:val="nil"/>
              <w:left w:val="single" w:sz="4" w:space="0" w:color="BCBDBC"/>
              <w:bottom w:val="single" w:sz="4" w:space="0" w:color="BCBDBC"/>
              <w:right w:val="nil"/>
            </w:tcBorders>
          </w:tcPr>
          <w:p w14:paraId="72E0CD6B" w14:textId="4171C0C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(0.00195)</w:t>
            </w:r>
          </w:p>
        </w:tc>
      </w:tr>
      <w:tr w:rsidR="00BD24A7" w:rsidRPr="00731C8B" w14:paraId="1F19F773" w14:textId="77777777" w:rsidTr="00760415">
        <w:trPr>
          <w:cantSplit/>
          <w:trHeight w:val="20"/>
        </w:trPr>
        <w:tc>
          <w:tcPr>
            <w:tcW w:w="1945" w:type="dxa"/>
            <w:vMerge w:val="restart"/>
            <w:tcBorders>
              <w:top w:val="single" w:sz="4" w:space="0" w:color="BCBDBC"/>
              <w:left w:val="nil"/>
              <w:right w:val="single" w:sz="4" w:space="0" w:color="BCBDBC"/>
            </w:tcBorders>
          </w:tcPr>
          <w:p w14:paraId="5CC11334" w14:textId="6DFB437C" w:rsidR="00BD24A7" w:rsidRPr="002D5C47" w:rsidRDefault="00AA128E" w:rsidP="00BD24A7">
            <w:pPr>
              <w:pStyle w:val="TableRowHeading"/>
              <w:rPr>
                <w:rFonts w:ascii="Times New Roman" w:eastAsia="Calibri" w:hAnsi="Times New Roman"/>
                <w:iCs/>
              </w:rPr>
            </w:pPr>
            <m:oMathPara>
              <m:oMath>
                <m:sSubSup>
                  <m:sSubSupPr>
                    <m:ctrlPr>
                      <w:rPr>
                        <w:rFonts w:ascii="Cambria Math" w:hAnsi="Cambria Math"/>
                        <w:iCs/>
                      </w:rPr>
                    </m:ctrlPr>
                  </m:sSubSupPr>
                  <m:e>
                    <m:r>
                      <w:rPr>
                        <w:rFonts w:ascii="Cambria Math" w:hAnsi="Cambria Math"/>
                        <w:lang w:val="en-US"/>
                      </w:rPr>
                      <m:t>y</m:t>
                    </m:r>
                  </m:e>
                  <m:sub>
                    <m:r>
                      <w:rPr>
                        <w:rFonts w:ascii="Cambria Math" w:hAnsi="Cambria Math"/>
                        <w:lang w:val="en-US"/>
                      </w:rPr>
                      <m:t>c</m:t>
                    </m:r>
                    <m:r>
                      <m:rPr>
                        <m:sty m:val="p"/>
                      </m:rPr>
                      <w:rPr>
                        <w:rFonts w:ascii="Cambria Math" w:hAnsi="Cambria Math"/>
                        <w:lang w:val="en-US"/>
                      </w:rPr>
                      <m:t>, </m:t>
                    </m:r>
                    <m:r>
                      <w:rPr>
                        <w:rFonts w:ascii="Cambria Math" w:hAnsi="Cambria Math"/>
                        <w:lang w:val="en-US"/>
                      </w:rPr>
                      <m:t>t</m:t>
                    </m:r>
                  </m:sub>
                  <m:sup>
                    <m:r>
                      <w:rPr>
                        <w:rFonts w:ascii="Cambria Math" w:hAnsi="Cambria Math"/>
                        <w:lang w:val="en-US"/>
                      </w:rPr>
                      <m:t>gap</m:t>
                    </m:r>
                  </m:sup>
                </m:sSubSup>
              </m:oMath>
            </m:oMathPara>
          </w:p>
        </w:tc>
        <w:tc>
          <w:tcPr>
            <w:tcW w:w="1238" w:type="dxa"/>
            <w:tcBorders>
              <w:top w:val="single" w:sz="4" w:space="0" w:color="BCBDBC"/>
              <w:left w:val="single" w:sz="4" w:space="0" w:color="BCBDBC"/>
              <w:bottom w:val="nil"/>
              <w:right w:val="single" w:sz="4" w:space="0" w:color="BCBDBC"/>
            </w:tcBorders>
          </w:tcPr>
          <w:p w14:paraId="760AAC05" w14:textId="0EE99AA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-0.0126</w:t>
            </w:r>
          </w:p>
        </w:tc>
        <w:tc>
          <w:tcPr>
            <w:tcW w:w="1238" w:type="dxa"/>
            <w:tcBorders>
              <w:top w:val="single" w:sz="4" w:space="0" w:color="BCBDBC"/>
              <w:left w:val="single" w:sz="4" w:space="0" w:color="BCBDBC"/>
              <w:bottom w:val="nil"/>
              <w:right w:val="single" w:sz="4" w:space="0" w:color="BCBDBC"/>
            </w:tcBorders>
          </w:tcPr>
          <w:p w14:paraId="12763EDE" w14:textId="0D43592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-0.0586***</w:t>
            </w:r>
          </w:p>
        </w:tc>
        <w:tc>
          <w:tcPr>
            <w:tcW w:w="1173" w:type="dxa"/>
            <w:tcBorders>
              <w:top w:val="single" w:sz="4" w:space="0" w:color="BCBDBC"/>
              <w:left w:val="single" w:sz="4" w:space="0" w:color="BCBDBC"/>
              <w:bottom w:val="nil"/>
              <w:right w:val="single" w:sz="4" w:space="0" w:color="BCBDBC"/>
            </w:tcBorders>
          </w:tcPr>
          <w:p w14:paraId="5D5698A6" w14:textId="67462ED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-0.0129</w:t>
            </w:r>
          </w:p>
        </w:tc>
        <w:tc>
          <w:tcPr>
            <w:tcW w:w="1173" w:type="dxa"/>
            <w:tcBorders>
              <w:top w:val="single" w:sz="4" w:space="0" w:color="BCBDBC"/>
              <w:left w:val="single" w:sz="4" w:space="0" w:color="BCBDBC"/>
              <w:bottom w:val="nil"/>
              <w:right w:val="single" w:sz="4" w:space="0" w:color="BCBDBC"/>
            </w:tcBorders>
          </w:tcPr>
          <w:p w14:paraId="5E2AF584" w14:textId="6B25048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-0.0607***</w:t>
            </w:r>
          </w:p>
        </w:tc>
        <w:tc>
          <w:tcPr>
            <w:tcW w:w="1238" w:type="dxa"/>
            <w:tcBorders>
              <w:top w:val="single" w:sz="4" w:space="0" w:color="BCBDBC"/>
              <w:left w:val="single" w:sz="4" w:space="0" w:color="BCBDBC"/>
              <w:bottom w:val="nil"/>
              <w:right w:val="single" w:sz="4" w:space="0" w:color="BCBDBC"/>
            </w:tcBorders>
          </w:tcPr>
          <w:p w14:paraId="3119A14B" w14:textId="06175B6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-0.0410***</w:t>
            </w:r>
          </w:p>
        </w:tc>
        <w:tc>
          <w:tcPr>
            <w:tcW w:w="1238" w:type="dxa"/>
            <w:tcBorders>
              <w:top w:val="single" w:sz="4" w:space="0" w:color="BCBDBC"/>
              <w:left w:val="single" w:sz="4" w:space="0" w:color="BCBDBC"/>
              <w:bottom w:val="nil"/>
              <w:right w:val="nil"/>
            </w:tcBorders>
          </w:tcPr>
          <w:p w14:paraId="3F4D9A01" w14:textId="1DF04C74"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-0.0432***</w:t>
            </w:r>
          </w:p>
        </w:tc>
      </w:tr>
      <w:tr w:rsidR="00BD24A7" w:rsidRPr="00731C8B" w14:paraId="0B32CCFB" w14:textId="77777777" w:rsidTr="00760415">
        <w:trPr>
          <w:cantSplit/>
          <w:trHeight w:val="20"/>
        </w:trPr>
        <w:tc>
          <w:tcPr>
            <w:tcW w:w="1945" w:type="dxa"/>
            <w:vMerge/>
            <w:tcBorders>
              <w:left w:val="nil"/>
              <w:bottom w:val="single" w:sz="4" w:space="0" w:color="BCBDBC"/>
              <w:right w:val="single" w:sz="4" w:space="0" w:color="BCBDBC"/>
            </w:tcBorders>
          </w:tcPr>
          <w:p w14:paraId="4236BD83"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4911100C" w14:textId="2F9643C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(0.0144)</w:t>
            </w:r>
          </w:p>
        </w:tc>
        <w:tc>
          <w:tcPr>
            <w:tcW w:w="1238" w:type="dxa"/>
            <w:tcBorders>
              <w:top w:val="nil"/>
              <w:left w:val="single" w:sz="4" w:space="0" w:color="BCBDBC"/>
              <w:bottom w:val="single" w:sz="4" w:space="0" w:color="BCBDBC"/>
              <w:right w:val="single" w:sz="4" w:space="0" w:color="BCBDBC"/>
            </w:tcBorders>
          </w:tcPr>
          <w:p w14:paraId="2EA184D0" w14:textId="0FAA475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(0.0180)</w:t>
            </w:r>
          </w:p>
        </w:tc>
        <w:tc>
          <w:tcPr>
            <w:tcW w:w="1173" w:type="dxa"/>
            <w:tcBorders>
              <w:top w:val="nil"/>
              <w:left w:val="single" w:sz="4" w:space="0" w:color="BCBDBC"/>
              <w:bottom w:val="single" w:sz="4" w:space="0" w:color="BCBDBC"/>
              <w:right w:val="single" w:sz="4" w:space="0" w:color="BCBDBC"/>
            </w:tcBorders>
          </w:tcPr>
          <w:p w14:paraId="0570DAFC" w14:textId="2A590AE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(0.0145)</w:t>
            </w:r>
          </w:p>
        </w:tc>
        <w:tc>
          <w:tcPr>
            <w:tcW w:w="1173" w:type="dxa"/>
            <w:tcBorders>
              <w:top w:val="nil"/>
              <w:left w:val="single" w:sz="4" w:space="0" w:color="BCBDBC"/>
              <w:bottom w:val="single" w:sz="4" w:space="0" w:color="BCBDBC"/>
              <w:right w:val="single" w:sz="4" w:space="0" w:color="BCBDBC"/>
            </w:tcBorders>
          </w:tcPr>
          <w:p w14:paraId="558DAA98" w14:textId="5286187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(0.0179)</w:t>
            </w:r>
          </w:p>
        </w:tc>
        <w:tc>
          <w:tcPr>
            <w:tcW w:w="1238" w:type="dxa"/>
            <w:tcBorders>
              <w:top w:val="nil"/>
              <w:left w:val="single" w:sz="4" w:space="0" w:color="BCBDBC"/>
              <w:bottom w:val="single" w:sz="4" w:space="0" w:color="BCBDBC"/>
              <w:right w:val="single" w:sz="4" w:space="0" w:color="BCBDBC"/>
            </w:tcBorders>
          </w:tcPr>
          <w:p w14:paraId="36D67A23" w14:textId="0DD77F7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(0.0139)</w:t>
            </w:r>
          </w:p>
        </w:tc>
        <w:tc>
          <w:tcPr>
            <w:tcW w:w="1238" w:type="dxa"/>
            <w:tcBorders>
              <w:top w:val="nil"/>
              <w:left w:val="single" w:sz="4" w:space="0" w:color="BCBDBC"/>
              <w:bottom w:val="single" w:sz="4" w:space="0" w:color="BCBDBC"/>
              <w:right w:val="nil"/>
            </w:tcBorders>
          </w:tcPr>
          <w:p w14:paraId="5D18604A" w14:textId="297B39A4"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(0.0148)</w:t>
            </w:r>
          </w:p>
        </w:tc>
      </w:tr>
      <w:tr w:rsidR="00BD24A7" w:rsidRPr="00731C8B" w14:paraId="1B89ED9F" w14:textId="77777777" w:rsidTr="00760415">
        <w:trPr>
          <w:cantSplit/>
          <w:trHeight w:val="20"/>
        </w:trPr>
        <w:tc>
          <w:tcPr>
            <w:tcW w:w="1945" w:type="dxa"/>
            <w:vMerge w:val="restart"/>
            <w:tcBorders>
              <w:top w:val="single" w:sz="4" w:space="0" w:color="BCBDBC"/>
              <w:left w:val="nil"/>
              <w:right w:val="single" w:sz="4" w:space="0" w:color="BCBDBC"/>
            </w:tcBorders>
          </w:tcPr>
          <w:p w14:paraId="36EE6159" w14:textId="7CEACAE3" w:rsidR="00BD24A7" w:rsidRPr="002D5C47" w:rsidRDefault="00BD24A7" w:rsidP="00BD24A7">
            <w:pPr>
              <w:pStyle w:val="TableRowHeading"/>
              <w:rPr>
                <w:rFonts w:ascii="Times New Roman" w:eastAsia="Calibri" w:hAnsi="Times New Roman"/>
                <w:iCs/>
              </w:rPr>
            </w:pPr>
            <m:oMathPara>
              <m:oMath>
                <m:r>
                  <w:rPr>
                    <w:rFonts w:ascii="Cambria Math" w:hAnsi="Cambria Math"/>
                  </w:rPr>
                  <m:t>abs</m:t>
                </m:r>
                <m:d>
                  <m:dPr>
                    <m:ctrlPr>
                      <w:rPr>
                        <w:rFonts w:ascii="Cambria Math" w:hAnsi="Cambria Math"/>
                        <w:iCs/>
                      </w:rPr>
                    </m:ctrlPr>
                  </m:dPr>
                  <m:e>
                    <m:sSub>
                      <m:sSubPr>
                        <m:ctrlPr>
                          <w:rPr>
                            <w:rFonts w:ascii="Cambria Math" w:hAnsi="Cambria Math"/>
                            <w:iCs/>
                          </w:rPr>
                        </m:ctrlPr>
                      </m:sSubPr>
                      <m:e>
                        <m:r>
                          <w:rPr>
                            <w:rFonts w:ascii="Cambria Math" w:hAnsi="Cambria Math"/>
                            <w:lang w:val="en-US"/>
                          </w:rPr>
                          <m:t>Δπ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oMath>
            </m:oMathPara>
          </w:p>
        </w:tc>
        <w:tc>
          <w:tcPr>
            <w:tcW w:w="1238" w:type="dxa"/>
            <w:tcBorders>
              <w:top w:val="single" w:sz="4" w:space="0" w:color="BCBDBC"/>
              <w:left w:val="single" w:sz="4" w:space="0" w:color="BCBDBC"/>
              <w:bottom w:val="nil"/>
              <w:right w:val="single" w:sz="4" w:space="0" w:color="BCBDBC"/>
            </w:tcBorders>
          </w:tcPr>
          <w:p w14:paraId="72195498" w14:textId="56279F0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0.0692***</w:t>
            </w:r>
          </w:p>
        </w:tc>
        <w:tc>
          <w:tcPr>
            <w:tcW w:w="1238" w:type="dxa"/>
            <w:tcBorders>
              <w:top w:val="single" w:sz="4" w:space="0" w:color="BCBDBC"/>
              <w:left w:val="single" w:sz="4" w:space="0" w:color="BCBDBC"/>
              <w:bottom w:val="nil"/>
              <w:right w:val="single" w:sz="4" w:space="0" w:color="BCBDBC"/>
            </w:tcBorders>
          </w:tcPr>
          <w:p w14:paraId="50CF2D13" w14:textId="7B37201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0.0840</w:t>
            </w:r>
          </w:p>
        </w:tc>
        <w:tc>
          <w:tcPr>
            <w:tcW w:w="1173" w:type="dxa"/>
            <w:tcBorders>
              <w:top w:val="single" w:sz="4" w:space="0" w:color="BCBDBC"/>
              <w:left w:val="single" w:sz="4" w:space="0" w:color="BCBDBC"/>
              <w:bottom w:val="nil"/>
              <w:right w:val="single" w:sz="4" w:space="0" w:color="BCBDBC"/>
            </w:tcBorders>
          </w:tcPr>
          <w:p w14:paraId="3701146F" w14:textId="38B7FB9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0.0690***</w:t>
            </w:r>
          </w:p>
        </w:tc>
        <w:tc>
          <w:tcPr>
            <w:tcW w:w="1173" w:type="dxa"/>
            <w:tcBorders>
              <w:top w:val="single" w:sz="4" w:space="0" w:color="BCBDBC"/>
              <w:left w:val="single" w:sz="4" w:space="0" w:color="BCBDBC"/>
              <w:bottom w:val="nil"/>
              <w:right w:val="single" w:sz="4" w:space="0" w:color="BCBDBC"/>
            </w:tcBorders>
          </w:tcPr>
          <w:p w14:paraId="3F79BAB2" w14:textId="5310F4C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0.0757</w:t>
            </w:r>
          </w:p>
        </w:tc>
        <w:tc>
          <w:tcPr>
            <w:tcW w:w="1238" w:type="dxa"/>
            <w:tcBorders>
              <w:top w:val="single" w:sz="4" w:space="0" w:color="BCBDBC"/>
              <w:left w:val="single" w:sz="4" w:space="0" w:color="BCBDBC"/>
              <w:bottom w:val="nil"/>
              <w:right w:val="single" w:sz="4" w:space="0" w:color="BCBDBC"/>
            </w:tcBorders>
          </w:tcPr>
          <w:p w14:paraId="3BFC065F" w14:textId="1781970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0.0431</w:t>
            </w:r>
          </w:p>
        </w:tc>
        <w:tc>
          <w:tcPr>
            <w:tcW w:w="1238" w:type="dxa"/>
            <w:tcBorders>
              <w:top w:val="single" w:sz="4" w:space="0" w:color="BCBDBC"/>
              <w:left w:val="single" w:sz="4" w:space="0" w:color="BCBDBC"/>
              <w:bottom w:val="nil"/>
              <w:right w:val="nil"/>
            </w:tcBorders>
          </w:tcPr>
          <w:p w14:paraId="4E8D3DD5" w14:textId="21766BB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0.0403</w:t>
            </w:r>
          </w:p>
        </w:tc>
      </w:tr>
      <w:tr w:rsidR="00BD24A7" w:rsidRPr="00731C8B" w14:paraId="7AA5F789" w14:textId="77777777" w:rsidTr="00760415">
        <w:trPr>
          <w:cantSplit/>
          <w:trHeight w:val="20"/>
        </w:trPr>
        <w:tc>
          <w:tcPr>
            <w:tcW w:w="1945" w:type="dxa"/>
            <w:vMerge/>
            <w:tcBorders>
              <w:left w:val="nil"/>
              <w:bottom w:val="single" w:sz="4" w:space="0" w:color="BCBDBC"/>
              <w:right w:val="single" w:sz="4" w:space="0" w:color="BCBDBC"/>
            </w:tcBorders>
          </w:tcPr>
          <w:p w14:paraId="156DAD0E"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2B949FB8" w14:textId="7631DA3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(0.0210)</w:t>
            </w:r>
          </w:p>
        </w:tc>
        <w:tc>
          <w:tcPr>
            <w:tcW w:w="1238" w:type="dxa"/>
            <w:tcBorders>
              <w:top w:val="nil"/>
              <w:left w:val="single" w:sz="4" w:space="0" w:color="BCBDBC"/>
              <w:bottom w:val="single" w:sz="4" w:space="0" w:color="BCBDBC"/>
              <w:right w:val="single" w:sz="4" w:space="0" w:color="BCBDBC"/>
            </w:tcBorders>
          </w:tcPr>
          <w:p w14:paraId="7FC02111" w14:textId="08DF920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(0.0681)</w:t>
            </w:r>
          </w:p>
        </w:tc>
        <w:tc>
          <w:tcPr>
            <w:tcW w:w="1173" w:type="dxa"/>
            <w:tcBorders>
              <w:top w:val="nil"/>
              <w:left w:val="single" w:sz="4" w:space="0" w:color="BCBDBC"/>
              <w:bottom w:val="single" w:sz="4" w:space="0" w:color="BCBDBC"/>
              <w:right w:val="single" w:sz="4" w:space="0" w:color="BCBDBC"/>
            </w:tcBorders>
          </w:tcPr>
          <w:p w14:paraId="08C19778" w14:textId="440F551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(0.0206)</w:t>
            </w:r>
          </w:p>
        </w:tc>
        <w:tc>
          <w:tcPr>
            <w:tcW w:w="1173" w:type="dxa"/>
            <w:tcBorders>
              <w:top w:val="nil"/>
              <w:left w:val="single" w:sz="4" w:space="0" w:color="BCBDBC"/>
              <w:bottom w:val="single" w:sz="4" w:space="0" w:color="BCBDBC"/>
              <w:right w:val="single" w:sz="4" w:space="0" w:color="BCBDBC"/>
            </w:tcBorders>
          </w:tcPr>
          <w:p w14:paraId="05DC87AD" w14:textId="13BA629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(0.0665)</w:t>
            </w:r>
          </w:p>
        </w:tc>
        <w:tc>
          <w:tcPr>
            <w:tcW w:w="1238" w:type="dxa"/>
            <w:tcBorders>
              <w:top w:val="nil"/>
              <w:left w:val="single" w:sz="4" w:space="0" w:color="BCBDBC"/>
              <w:bottom w:val="single" w:sz="4" w:space="0" w:color="BCBDBC"/>
              <w:right w:val="single" w:sz="4" w:space="0" w:color="BCBDBC"/>
            </w:tcBorders>
          </w:tcPr>
          <w:p w14:paraId="784DAA59" w14:textId="7124BF0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(0.0338)</w:t>
            </w:r>
          </w:p>
        </w:tc>
        <w:tc>
          <w:tcPr>
            <w:tcW w:w="1238" w:type="dxa"/>
            <w:tcBorders>
              <w:top w:val="nil"/>
              <w:left w:val="single" w:sz="4" w:space="0" w:color="BCBDBC"/>
              <w:bottom w:val="single" w:sz="4" w:space="0" w:color="BCBDBC"/>
              <w:right w:val="nil"/>
            </w:tcBorders>
          </w:tcPr>
          <w:p w14:paraId="568D0281" w14:textId="0F1972A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(0.0355)</w:t>
            </w:r>
          </w:p>
        </w:tc>
      </w:tr>
      <w:tr w:rsidR="00BD24A7" w:rsidRPr="00731C8B" w14:paraId="1727B9C0" w14:textId="77777777" w:rsidTr="00760415">
        <w:trPr>
          <w:cantSplit/>
          <w:trHeight w:val="20"/>
        </w:trPr>
        <w:tc>
          <w:tcPr>
            <w:tcW w:w="1945" w:type="dxa"/>
            <w:vMerge w:val="restart"/>
            <w:tcBorders>
              <w:top w:val="single" w:sz="4" w:space="0" w:color="BCBDBC"/>
              <w:left w:val="nil"/>
              <w:right w:val="single" w:sz="4" w:space="0" w:color="BCBDBC"/>
            </w:tcBorders>
          </w:tcPr>
          <w:p w14:paraId="4C163975" w14:textId="185E93A9" w:rsidR="00BD24A7" w:rsidRPr="002D5C47" w:rsidRDefault="00AA128E" w:rsidP="00BD24A7">
            <w:pPr>
              <w:pStyle w:val="TableRowHeading"/>
              <w:rPr>
                <w:rFonts w:ascii="Times New Roman" w:eastAsia="Calibri" w:hAnsi="Times New Roman"/>
                <w:iCs/>
              </w:rPr>
            </w:pPr>
            <m:oMathPara>
              <m:oMath>
                <m:sSup>
                  <m:sSupPr>
                    <m:ctrlPr>
                      <w:rPr>
                        <w:rFonts w:ascii="Cambria Math" w:hAnsi="Cambria Math"/>
                        <w:iCs/>
                      </w:rPr>
                    </m:ctrlPr>
                  </m:sSupPr>
                  <m:e>
                    <m:d>
                      <m:dPr>
                        <m:begChr m:val=""/>
                        <m:endChr m:val=""/>
                        <m:ctrlPr>
                          <w:rPr>
                            <w:rFonts w:ascii="Cambria Math" w:hAnsi="Cambria Math"/>
                            <w:iCs/>
                          </w:rPr>
                        </m:ctrlPr>
                      </m:dPr>
                      <m:e>
                        <m:d>
                          <m:dPr>
                            <m:ctrlPr>
                              <w:rPr>
                                <w:rFonts w:ascii="Cambria Math" w:hAnsi="Cambria Math"/>
                                <w:iCs/>
                              </w:rPr>
                            </m:ctrlPr>
                          </m:dPr>
                          <m:e>
                            <m:sSub>
                              <m:sSubPr>
                                <m:ctrlPr>
                                  <w:rPr>
                                    <w:rFonts w:ascii="Cambria Math" w:hAnsi="Cambria Math"/>
                                    <w:iCs/>
                                  </w:rPr>
                                </m:ctrlPr>
                              </m:sSubPr>
                              <m:e>
                                <m:r>
                                  <w:rPr>
                                    <w:rFonts w:ascii="Cambria Math" w:hAnsi="Cambria Math"/>
                                    <w:lang w:val="en-US"/>
                                  </w:rPr>
                                  <m:t>Δπ</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e>
                  <m:sup>
                    <m:r>
                      <m:rPr>
                        <m:sty m:val="p"/>
                      </m:rPr>
                      <w:rPr>
                        <w:rFonts w:ascii="Cambria Math" w:hAnsi="Cambria Math"/>
                      </w:rPr>
                      <m:t>2</m:t>
                    </m:r>
                  </m:sup>
                </m:sSup>
              </m:oMath>
            </m:oMathPara>
          </w:p>
        </w:tc>
        <w:tc>
          <w:tcPr>
            <w:tcW w:w="1238" w:type="dxa"/>
            <w:tcBorders>
              <w:top w:val="single" w:sz="4" w:space="0" w:color="BCBDBC"/>
              <w:left w:val="single" w:sz="4" w:space="0" w:color="BCBDBC"/>
              <w:bottom w:val="nil"/>
              <w:right w:val="single" w:sz="4" w:space="0" w:color="BCBDBC"/>
            </w:tcBorders>
          </w:tcPr>
          <w:p w14:paraId="0BA70C8F" w14:textId="7960600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-0.0111***</w:t>
            </w:r>
          </w:p>
        </w:tc>
        <w:tc>
          <w:tcPr>
            <w:tcW w:w="1238" w:type="dxa"/>
            <w:tcBorders>
              <w:top w:val="single" w:sz="4" w:space="0" w:color="BCBDBC"/>
              <w:left w:val="single" w:sz="4" w:space="0" w:color="BCBDBC"/>
              <w:bottom w:val="nil"/>
              <w:right w:val="single" w:sz="4" w:space="0" w:color="BCBDBC"/>
            </w:tcBorders>
          </w:tcPr>
          <w:p w14:paraId="22996F44" w14:textId="319B8CF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-0.00997</w:t>
            </w:r>
          </w:p>
        </w:tc>
        <w:tc>
          <w:tcPr>
            <w:tcW w:w="1173" w:type="dxa"/>
            <w:tcBorders>
              <w:top w:val="single" w:sz="4" w:space="0" w:color="BCBDBC"/>
              <w:left w:val="single" w:sz="4" w:space="0" w:color="BCBDBC"/>
              <w:bottom w:val="nil"/>
              <w:right w:val="single" w:sz="4" w:space="0" w:color="BCBDBC"/>
            </w:tcBorders>
          </w:tcPr>
          <w:p w14:paraId="734E48B6" w14:textId="4D948C7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-0.0111***</w:t>
            </w:r>
          </w:p>
        </w:tc>
        <w:tc>
          <w:tcPr>
            <w:tcW w:w="1173" w:type="dxa"/>
            <w:tcBorders>
              <w:top w:val="single" w:sz="4" w:space="0" w:color="BCBDBC"/>
              <w:left w:val="single" w:sz="4" w:space="0" w:color="BCBDBC"/>
              <w:bottom w:val="nil"/>
              <w:right w:val="single" w:sz="4" w:space="0" w:color="BCBDBC"/>
            </w:tcBorders>
          </w:tcPr>
          <w:p w14:paraId="1D48531F" w14:textId="2BCE76E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-0.00907</w:t>
            </w:r>
          </w:p>
        </w:tc>
        <w:tc>
          <w:tcPr>
            <w:tcW w:w="1238" w:type="dxa"/>
            <w:tcBorders>
              <w:top w:val="single" w:sz="4" w:space="0" w:color="BCBDBC"/>
              <w:left w:val="single" w:sz="4" w:space="0" w:color="BCBDBC"/>
              <w:bottom w:val="nil"/>
              <w:right w:val="single" w:sz="4" w:space="0" w:color="BCBDBC"/>
            </w:tcBorders>
          </w:tcPr>
          <w:p w14:paraId="7AA9A067" w14:textId="21E094B4"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-0.00341</w:t>
            </w:r>
          </w:p>
        </w:tc>
        <w:tc>
          <w:tcPr>
            <w:tcW w:w="1238" w:type="dxa"/>
            <w:tcBorders>
              <w:top w:val="single" w:sz="4" w:space="0" w:color="BCBDBC"/>
              <w:left w:val="single" w:sz="4" w:space="0" w:color="BCBDBC"/>
              <w:bottom w:val="nil"/>
              <w:right w:val="nil"/>
            </w:tcBorders>
          </w:tcPr>
          <w:p w14:paraId="587B8EF2" w14:textId="3412E8A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-0.00286</w:t>
            </w:r>
          </w:p>
        </w:tc>
      </w:tr>
      <w:tr w:rsidR="00BD24A7" w:rsidRPr="00731C8B" w14:paraId="77CE78A0" w14:textId="77777777" w:rsidTr="00760415">
        <w:trPr>
          <w:cantSplit/>
          <w:trHeight w:val="20"/>
        </w:trPr>
        <w:tc>
          <w:tcPr>
            <w:tcW w:w="1945" w:type="dxa"/>
            <w:vMerge/>
            <w:tcBorders>
              <w:left w:val="nil"/>
              <w:bottom w:val="single" w:sz="4" w:space="0" w:color="BCBDBC"/>
              <w:right w:val="single" w:sz="4" w:space="0" w:color="BCBDBC"/>
            </w:tcBorders>
          </w:tcPr>
          <w:p w14:paraId="6A0DBA70"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2BB643AA" w14:textId="5FBB8E2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(0.00370)</w:t>
            </w:r>
          </w:p>
        </w:tc>
        <w:tc>
          <w:tcPr>
            <w:tcW w:w="1238" w:type="dxa"/>
            <w:tcBorders>
              <w:top w:val="nil"/>
              <w:left w:val="single" w:sz="4" w:space="0" w:color="BCBDBC"/>
              <w:bottom w:val="single" w:sz="4" w:space="0" w:color="BCBDBC"/>
              <w:right w:val="single" w:sz="4" w:space="0" w:color="BCBDBC"/>
            </w:tcBorders>
          </w:tcPr>
          <w:p w14:paraId="0A4E9698" w14:textId="4019281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(0.0142)</w:t>
            </w:r>
          </w:p>
        </w:tc>
        <w:tc>
          <w:tcPr>
            <w:tcW w:w="1173" w:type="dxa"/>
            <w:tcBorders>
              <w:top w:val="nil"/>
              <w:left w:val="single" w:sz="4" w:space="0" w:color="BCBDBC"/>
              <w:bottom w:val="single" w:sz="4" w:space="0" w:color="BCBDBC"/>
              <w:right w:val="single" w:sz="4" w:space="0" w:color="BCBDBC"/>
            </w:tcBorders>
          </w:tcPr>
          <w:p w14:paraId="03F403CA" w14:textId="3A84F844"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(0.00366)</w:t>
            </w:r>
          </w:p>
        </w:tc>
        <w:tc>
          <w:tcPr>
            <w:tcW w:w="1173" w:type="dxa"/>
            <w:tcBorders>
              <w:top w:val="nil"/>
              <w:left w:val="single" w:sz="4" w:space="0" w:color="BCBDBC"/>
              <w:bottom w:val="single" w:sz="4" w:space="0" w:color="BCBDBC"/>
              <w:right w:val="single" w:sz="4" w:space="0" w:color="BCBDBC"/>
            </w:tcBorders>
          </w:tcPr>
          <w:p w14:paraId="43420332" w14:textId="01C8F3B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(0.0138)</w:t>
            </w:r>
          </w:p>
        </w:tc>
        <w:tc>
          <w:tcPr>
            <w:tcW w:w="1238" w:type="dxa"/>
            <w:tcBorders>
              <w:top w:val="nil"/>
              <w:left w:val="single" w:sz="4" w:space="0" w:color="BCBDBC"/>
              <w:bottom w:val="single" w:sz="4" w:space="0" w:color="BCBDBC"/>
              <w:right w:val="single" w:sz="4" w:space="0" w:color="BCBDBC"/>
            </w:tcBorders>
          </w:tcPr>
          <w:p w14:paraId="56817273" w14:textId="691150A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(0.00978)</w:t>
            </w:r>
          </w:p>
        </w:tc>
        <w:tc>
          <w:tcPr>
            <w:tcW w:w="1238" w:type="dxa"/>
            <w:tcBorders>
              <w:top w:val="nil"/>
              <w:left w:val="single" w:sz="4" w:space="0" w:color="BCBDBC"/>
              <w:bottom w:val="single" w:sz="4" w:space="0" w:color="BCBDBC"/>
              <w:right w:val="nil"/>
            </w:tcBorders>
          </w:tcPr>
          <w:p w14:paraId="3F108516" w14:textId="12A724E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(0.00944)</w:t>
            </w:r>
          </w:p>
        </w:tc>
      </w:tr>
      <w:tr w:rsidR="00BD24A7" w:rsidRPr="00731C8B" w14:paraId="6254F293" w14:textId="77777777" w:rsidTr="00760415">
        <w:trPr>
          <w:cantSplit/>
          <w:trHeight w:val="20"/>
        </w:trPr>
        <w:tc>
          <w:tcPr>
            <w:tcW w:w="1945" w:type="dxa"/>
            <w:vMerge w:val="restart"/>
            <w:tcBorders>
              <w:top w:val="single" w:sz="4" w:space="0" w:color="BCBDBC"/>
              <w:left w:val="nil"/>
              <w:right w:val="single" w:sz="4" w:space="0" w:color="BCBDBC"/>
            </w:tcBorders>
          </w:tcPr>
          <w:p w14:paraId="46F697F2" w14:textId="3F826BFC" w:rsidR="00BD24A7" w:rsidRPr="002D5C47" w:rsidRDefault="00BD24A7" w:rsidP="00BD24A7">
            <w:pPr>
              <w:pStyle w:val="TableRowHeading"/>
              <w:rPr>
                <w:rFonts w:ascii="Times New Roman" w:eastAsia="Calibri" w:hAnsi="Times New Roman"/>
                <w:iCs/>
              </w:rPr>
            </w:pPr>
            <m:oMathPara>
              <m:oMath>
                <m:r>
                  <w:rPr>
                    <w:rFonts w:ascii="Cambria Math" w:hAnsi="Cambria Math"/>
                  </w:rPr>
                  <m:t>abs</m:t>
                </m:r>
                <m:d>
                  <m:dPr>
                    <m:ctrlPr>
                      <w:rPr>
                        <w:rFonts w:ascii="Cambria Math" w:hAnsi="Cambria Math"/>
                        <w:iCs/>
                      </w:rPr>
                    </m:ctrlPr>
                  </m:dPr>
                  <m:e>
                    <m:sSub>
                      <m:sSubPr>
                        <m:ctrlPr>
                          <w:rPr>
                            <w:rFonts w:ascii="Cambria Math" w:hAnsi="Cambria Math"/>
                            <w:iCs/>
                          </w:rPr>
                        </m:ctrlPr>
                      </m:sSubPr>
                      <m:e>
                        <m:r>
                          <w:rPr>
                            <w:rFonts w:ascii="Cambria Math" w:hAnsi="Cambria Math"/>
                            <w:lang w:val="en-US"/>
                          </w:rPr>
                          <m:t>Δneer</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oMath>
            </m:oMathPara>
          </w:p>
        </w:tc>
        <w:tc>
          <w:tcPr>
            <w:tcW w:w="1238" w:type="dxa"/>
            <w:tcBorders>
              <w:top w:val="single" w:sz="4" w:space="0" w:color="BCBDBC"/>
              <w:left w:val="single" w:sz="4" w:space="0" w:color="BCBDBC"/>
              <w:bottom w:val="nil"/>
              <w:right w:val="single" w:sz="4" w:space="0" w:color="BCBDBC"/>
            </w:tcBorders>
          </w:tcPr>
          <w:p w14:paraId="7D3008A2" w14:textId="66C131B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1.033</w:t>
            </w:r>
          </w:p>
        </w:tc>
        <w:tc>
          <w:tcPr>
            <w:tcW w:w="1238" w:type="dxa"/>
            <w:tcBorders>
              <w:top w:val="single" w:sz="4" w:space="0" w:color="BCBDBC"/>
              <w:left w:val="single" w:sz="4" w:space="0" w:color="BCBDBC"/>
              <w:bottom w:val="nil"/>
              <w:right w:val="single" w:sz="4" w:space="0" w:color="BCBDBC"/>
            </w:tcBorders>
          </w:tcPr>
          <w:p w14:paraId="36C83A5E" w14:textId="3A86051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2.849</w:t>
            </w:r>
          </w:p>
        </w:tc>
        <w:tc>
          <w:tcPr>
            <w:tcW w:w="1173" w:type="dxa"/>
            <w:tcBorders>
              <w:top w:val="single" w:sz="4" w:space="0" w:color="BCBDBC"/>
              <w:left w:val="single" w:sz="4" w:space="0" w:color="BCBDBC"/>
              <w:bottom w:val="nil"/>
              <w:right w:val="single" w:sz="4" w:space="0" w:color="BCBDBC"/>
            </w:tcBorders>
          </w:tcPr>
          <w:p w14:paraId="3A740A61" w14:textId="1CBA16A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1.034</w:t>
            </w:r>
          </w:p>
        </w:tc>
        <w:tc>
          <w:tcPr>
            <w:tcW w:w="1173" w:type="dxa"/>
            <w:tcBorders>
              <w:top w:val="single" w:sz="4" w:space="0" w:color="BCBDBC"/>
              <w:left w:val="single" w:sz="4" w:space="0" w:color="BCBDBC"/>
              <w:bottom w:val="nil"/>
              <w:right w:val="single" w:sz="4" w:space="0" w:color="BCBDBC"/>
            </w:tcBorders>
          </w:tcPr>
          <w:p w14:paraId="10BF0A1A" w14:textId="09C85B0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3.120</w:t>
            </w:r>
          </w:p>
        </w:tc>
        <w:tc>
          <w:tcPr>
            <w:tcW w:w="1238" w:type="dxa"/>
            <w:tcBorders>
              <w:top w:val="single" w:sz="4" w:space="0" w:color="BCBDBC"/>
              <w:left w:val="single" w:sz="4" w:space="0" w:color="BCBDBC"/>
              <w:bottom w:val="nil"/>
              <w:right w:val="single" w:sz="4" w:space="0" w:color="BCBDBC"/>
            </w:tcBorders>
          </w:tcPr>
          <w:p w14:paraId="0BF33947" w14:textId="6ADC25E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4.023***</w:t>
            </w:r>
          </w:p>
        </w:tc>
        <w:tc>
          <w:tcPr>
            <w:tcW w:w="1238" w:type="dxa"/>
            <w:tcBorders>
              <w:top w:val="single" w:sz="4" w:space="0" w:color="BCBDBC"/>
              <w:left w:val="single" w:sz="4" w:space="0" w:color="BCBDBC"/>
              <w:bottom w:val="nil"/>
              <w:right w:val="nil"/>
            </w:tcBorders>
          </w:tcPr>
          <w:p w14:paraId="0CE90441" w14:textId="43503FD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4.187***</w:t>
            </w:r>
          </w:p>
        </w:tc>
      </w:tr>
      <w:tr w:rsidR="00BD24A7" w:rsidRPr="00731C8B" w14:paraId="3E711668" w14:textId="77777777" w:rsidTr="00760415">
        <w:trPr>
          <w:cantSplit/>
          <w:trHeight w:val="20"/>
        </w:trPr>
        <w:tc>
          <w:tcPr>
            <w:tcW w:w="1945" w:type="dxa"/>
            <w:vMerge/>
            <w:tcBorders>
              <w:left w:val="nil"/>
              <w:bottom w:val="single" w:sz="4" w:space="0" w:color="BCBDBC"/>
              <w:right w:val="single" w:sz="4" w:space="0" w:color="BCBDBC"/>
            </w:tcBorders>
          </w:tcPr>
          <w:p w14:paraId="6FEADDBF"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2049DB41" w14:textId="0C521AE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(0.755)</w:t>
            </w:r>
          </w:p>
        </w:tc>
        <w:tc>
          <w:tcPr>
            <w:tcW w:w="1238" w:type="dxa"/>
            <w:tcBorders>
              <w:top w:val="nil"/>
              <w:left w:val="single" w:sz="4" w:space="0" w:color="BCBDBC"/>
              <w:bottom w:val="single" w:sz="4" w:space="0" w:color="BCBDBC"/>
              <w:right w:val="single" w:sz="4" w:space="0" w:color="BCBDBC"/>
            </w:tcBorders>
          </w:tcPr>
          <w:p w14:paraId="4C6D119F" w14:textId="5921FCE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(4.173)</w:t>
            </w:r>
          </w:p>
        </w:tc>
        <w:tc>
          <w:tcPr>
            <w:tcW w:w="1173" w:type="dxa"/>
            <w:tcBorders>
              <w:top w:val="nil"/>
              <w:left w:val="single" w:sz="4" w:space="0" w:color="BCBDBC"/>
              <w:bottom w:val="single" w:sz="4" w:space="0" w:color="BCBDBC"/>
              <w:right w:val="single" w:sz="4" w:space="0" w:color="BCBDBC"/>
            </w:tcBorders>
          </w:tcPr>
          <w:p w14:paraId="0F49E5C5" w14:textId="116D49A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(0.755)</w:t>
            </w:r>
          </w:p>
        </w:tc>
        <w:tc>
          <w:tcPr>
            <w:tcW w:w="1173" w:type="dxa"/>
            <w:tcBorders>
              <w:top w:val="nil"/>
              <w:left w:val="single" w:sz="4" w:space="0" w:color="BCBDBC"/>
              <w:bottom w:val="single" w:sz="4" w:space="0" w:color="BCBDBC"/>
              <w:right w:val="single" w:sz="4" w:space="0" w:color="BCBDBC"/>
            </w:tcBorders>
          </w:tcPr>
          <w:p w14:paraId="2100645A" w14:textId="7F319EF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(3.986)</w:t>
            </w:r>
          </w:p>
        </w:tc>
        <w:tc>
          <w:tcPr>
            <w:tcW w:w="1238" w:type="dxa"/>
            <w:tcBorders>
              <w:top w:val="nil"/>
              <w:left w:val="single" w:sz="4" w:space="0" w:color="BCBDBC"/>
              <w:bottom w:val="single" w:sz="4" w:space="0" w:color="BCBDBC"/>
              <w:right w:val="single" w:sz="4" w:space="0" w:color="BCBDBC"/>
            </w:tcBorders>
          </w:tcPr>
          <w:p w14:paraId="27168380" w14:textId="4C3A81C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(1.373)</w:t>
            </w:r>
          </w:p>
        </w:tc>
        <w:tc>
          <w:tcPr>
            <w:tcW w:w="1238" w:type="dxa"/>
            <w:tcBorders>
              <w:top w:val="nil"/>
              <w:left w:val="single" w:sz="4" w:space="0" w:color="BCBDBC"/>
              <w:bottom w:val="single" w:sz="4" w:space="0" w:color="BCBDBC"/>
              <w:right w:val="nil"/>
            </w:tcBorders>
          </w:tcPr>
          <w:p w14:paraId="25BF7ED2" w14:textId="13D1ADE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(1.314)</w:t>
            </w:r>
          </w:p>
        </w:tc>
      </w:tr>
      <w:tr w:rsidR="00BD24A7" w:rsidRPr="00731C8B" w14:paraId="51A731B0" w14:textId="77777777" w:rsidTr="00760415">
        <w:trPr>
          <w:cantSplit/>
          <w:trHeight w:val="20"/>
        </w:trPr>
        <w:tc>
          <w:tcPr>
            <w:tcW w:w="1945" w:type="dxa"/>
            <w:vMerge w:val="restart"/>
            <w:tcBorders>
              <w:top w:val="single" w:sz="4" w:space="0" w:color="BCBDBC"/>
              <w:left w:val="nil"/>
              <w:right w:val="single" w:sz="4" w:space="0" w:color="BCBDBC"/>
            </w:tcBorders>
          </w:tcPr>
          <w:p w14:paraId="13755EA3" w14:textId="7ACFF808" w:rsidR="00BD24A7" w:rsidRPr="002D5C47" w:rsidRDefault="00AA128E" w:rsidP="00BD24A7">
            <w:pPr>
              <w:pStyle w:val="TableRowHeading"/>
              <w:rPr>
                <w:rFonts w:ascii="Times New Roman" w:eastAsia="Calibri" w:hAnsi="Times New Roman"/>
                <w:iCs/>
              </w:rPr>
            </w:pPr>
            <m:oMathPara>
              <m:oMath>
                <m:d>
                  <m:dPr>
                    <m:begChr m:val=""/>
                    <m:endChr m:val=""/>
                    <m:ctrlPr>
                      <w:rPr>
                        <w:rFonts w:ascii="Cambria Math" w:hAnsi="Cambria Math"/>
                        <w:iCs/>
                      </w:rPr>
                    </m:ctrlPr>
                  </m:dPr>
                  <m:e>
                    <m:d>
                      <m:dPr>
                        <m:begChr m:val=""/>
                        <m:endChr m:val=""/>
                        <m:ctrlPr>
                          <w:rPr>
                            <w:rFonts w:ascii="Cambria Math" w:hAnsi="Cambria Math"/>
                            <w:iCs/>
                          </w:rPr>
                        </m:ctrlPr>
                      </m:dPr>
                      <m:e>
                        <m:sSub>
                          <m:sSubPr>
                            <m:ctrlPr>
                              <w:rPr>
                                <w:rFonts w:ascii="Cambria Math" w:hAnsi="Cambria Math"/>
                                <w:iCs/>
                              </w:rPr>
                            </m:ctrlPr>
                          </m:sSubPr>
                          <m:e>
                            <m:r>
                              <w:rPr>
                                <w:rFonts w:ascii="Cambria Math" w:hAnsi="Cambria Math"/>
                                <w:lang w:val="en-US"/>
                              </w:rPr>
                              <m:t>i</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e>
                    </m:d>
                  </m:e>
                </m:d>
              </m:oMath>
            </m:oMathPara>
          </w:p>
        </w:tc>
        <w:tc>
          <w:tcPr>
            <w:tcW w:w="1238" w:type="dxa"/>
            <w:tcBorders>
              <w:top w:val="single" w:sz="4" w:space="0" w:color="BCBDBC"/>
              <w:left w:val="single" w:sz="4" w:space="0" w:color="BCBDBC"/>
              <w:bottom w:val="nil"/>
              <w:right w:val="single" w:sz="4" w:space="0" w:color="BCBDBC"/>
            </w:tcBorders>
          </w:tcPr>
          <w:p w14:paraId="18BC584D" w14:textId="20F9E4C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0.00311</w:t>
            </w:r>
          </w:p>
        </w:tc>
        <w:tc>
          <w:tcPr>
            <w:tcW w:w="1238" w:type="dxa"/>
            <w:tcBorders>
              <w:top w:val="single" w:sz="4" w:space="0" w:color="BCBDBC"/>
              <w:left w:val="single" w:sz="4" w:space="0" w:color="BCBDBC"/>
              <w:bottom w:val="nil"/>
              <w:right w:val="single" w:sz="4" w:space="0" w:color="BCBDBC"/>
            </w:tcBorders>
          </w:tcPr>
          <w:p w14:paraId="0C944796" w14:textId="559562F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0.0626***</w:t>
            </w:r>
          </w:p>
        </w:tc>
        <w:tc>
          <w:tcPr>
            <w:tcW w:w="1173" w:type="dxa"/>
            <w:tcBorders>
              <w:top w:val="single" w:sz="4" w:space="0" w:color="BCBDBC"/>
              <w:left w:val="single" w:sz="4" w:space="0" w:color="BCBDBC"/>
              <w:bottom w:val="nil"/>
              <w:right w:val="single" w:sz="4" w:space="0" w:color="BCBDBC"/>
            </w:tcBorders>
          </w:tcPr>
          <w:p w14:paraId="2F8AEF27" w14:textId="67D7FDD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0.00314</w:t>
            </w:r>
          </w:p>
        </w:tc>
        <w:tc>
          <w:tcPr>
            <w:tcW w:w="1173" w:type="dxa"/>
            <w:tcBorders>
              <w:top w:val="single" w:sz="4" w:space="0" w:color="BCBDBC"/>
              <w:left w:val="single" w:sz="4" w:space="0" w:color="BCBDBC"/>
              <w:bottom w:val="nil"/>
              <w:right w:val="single" w:sz="4" w:space="0" w:color="BCBDBC"/>
            </w:tcBorders>
          </w:tcPr>
          <w:p w14:paraId="000584B6" w14:textId="1767D8E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0.0641**</w:t>
            </w:r>
          </w:p>
        </w:tc>
        <w:tc>
          <w:tcPr>
            <w:tcW w:w="1238" w:type="dxa"/>
            <w:tcBorders>
              <w:top w:val="single" w:sz="4" w:space="0" w:color="BCBDBC"/>
              <w:left w:val="single" w:sz="4" w:space="0" w:color="BCBDBC"/>
              <w:bottom w:val="nil"/>
              <w:right w:val="single" w:sz="4" w:space="0" w:color="BCBDBC"/>
            </w:tcBorders>
          </w:tcPr>
          <w:p w14:paraId="6EC0EFEA" w14:textId="4F4D36B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-0.0286*</w:t>
            </w:r>
          </w:p>
        </w:tc>
        <w:tc>
          <w:tcPr>
            <w:tcW w:w="1238" w:type="dxa"/>
            <w:tcBorders>
              <w:top w:val="single" w:sz="4" w:space="0" w:color="BCBDBC"/>
              <w:left w:val="single" w:sz="4" w:space="0" w:color="BCBDBC"/>
              <w:bottom w:val="nil"/>
              <w:right w:val="nil"/>
            </w:tcBorders>
          </w:tcPr>
          <w:p w14:paraId="7AC0CDE1" w14:textId="08CB9CB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-0.0268</w:t>
            </w:r>
          </w:p>
        </w:tc>
      </w:tr>
      <w:tr w:rsidR="00BD24A7" w:rsidRPr="00731C8B" w14:paraId="4E67A734" w14:textId="77777777" w:rsidTr="00760415">
        <w:trPr>
          <w:cantSplit/>
          <w:trHeight w:val="20"/>
        </w:trPr>
        <w:tc>
          <w:tcPr>
            <w:tcW w:w="1945" w:type="dxa"/>
            <w:vMerge/>
            <w:tcBorders>
              <w:left w:val="nil"/>
              <w:bottom w:val="single" w:sz="4" w:space="0" w:color="BCBDBC"/>
              <w:right w:val="single" w:sz="4" w:space="0" w:color="BCBDBC"/>
            </w:tcBorders>
          </w:tcPr>
          <w:p w14:paraId="162A1E02" w14:textId="77777777" w:rsidR="00BD24A7" w:rsidRDefault="00BD24A7" w:rsidP="00BD24A7">
            <w:pPr>
              <w:pStyle w:val="TableRowHeading"/>
              <w:rPr>
                <w:iCs/>
              </w:rPr>
            </w:pPr>
          </w:p>
        </w:tc>
        <w:tc>
          <w:tcPr>
            <w:tcW w:w="1238" w:type="dxa"/>
            <w:tcBorders>
              <w:top w:val="nil"/>
              <w:left w:val="single" w:sz="4" w:space="0" w:color="BCBDBC"/>
              <w:bottom w:val="single" w:sz="4" w:space="0" w:color="BCBDBC"/>
              <w:right w:val="single" w:sz="4" w:space="0" w:color="BCBDBC"/>
            </w:tcBorders>
          </w:tcPr>
          <w:p w14:paraId="68CDE9DF" w14:textId="4BE489E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(0.00880)</w:t>
            </w:r>
          </w:p>
        </w:tc>
        <w:tc>
          <w:tcPr>
            <w:tcW w:w="1238" w:type="dxa"/>
            <w:tcBorders>
              <w:top w:val="nil"/>
              <w:left w:val="single" w:sz="4" w:space="0" w:color="BCBDBC"/>
              <w:bottom w:val="single" w:sz="4" w:space="0" w:color="BCBDBC"/>
              <w:right w:val="single" w:sz="4" w:space="0" w:color="BCBDBC"/>
            </w:tcBorders>
          </w:tcPr>
          <w:p w14:paraId="3E92043A" w14:textId="1654AC2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(0.0222)</w:t>
            </w:r>
          </w:p>
        </w:tc>
        <w:tc>
          <w:tcPr>
            <w:tcW w:w="1173" w:type="dxa"/>
            <w:tcBorders>
              <w:top w:val="nil"/>
              <w:left w:val="single" w:sz="4" w:space="0" w:color="BCBDBC"/>
              <w:bottom w:val="single" w:sz="4" w:space="0" w:color="BCBDBC"/>
              <w:right w:val="single" w:sz="4" w:space="0" w:color="BCBDBC"/>
            </w:tcBorders>
          </w:tcPr>
          <w:p w14:paraId="02B8F459" w14:textId="3EB1282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(0.00885)</w:t>
            </w:r>
          </w:p>
        </w:tc>
        <w:tc>
          <w:tcPr>
            <w:tcW w:w="1173" w:type="dxa"/>
            <w:tcBorders>
              <w:top w:val="nil"/>
              <w:left w:val="single" w:sz="4" w:space="0" w:color="BCBDBC"/>
              <w:bottom w:val="single" w:sz="4" w:space="0" w:color="BCBDBC"/>
              <w:right w:val="single" w:sz="4" w:space="0" w:color="BCBDBC"/>
            </w:tcBorders>
          </w:tcPr>
          <w:p w14:paraId="0C82B48E" w14:textId="6E85B34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(0.0237)</w:t>
            </w:r>
          </w:p>
        </w:tc>
        <w:tc>
          <w:tcPr>
            <w:tcW w:w="1238" w:type="dxa"/>
            <w:tcBorders>
              <w:top w:val="nil"/>
              <w:left w:val="single" w:sz="4" w:space="0" w:color="BCBDBC"/>
              <w:bottom w:val="single" w:sz="4" w:space="0" w:color="BCBDBC"/>
              <w:right w:val="single" w:sz="4" w:space="0" w:color="BCBDBC"/>
            </w:tcBorders>
          </w:tcPr>
          <w:p w14:paraId="0D55643D" w14:textId="700842F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(0.0166)</w:t>
            </w:r>
          </w:p>
        </w:tc>
        <w:tc>
          <w:tcPr>
            <w:tcW w:w="1238" w:type="dxa"/>
            <w:tcBorders>
              <w:top w:val="nil"/>
              <w:left w:val="single" w:sz="4" w:space="0" w:color="BCBDBC"/>
              <w:bottom w:val="single" w:sz="4" w:space="0" w:color="BCBDBC"/>
              <w:right w:val="nil"/>
            </w:tcBorders>
          </w:tcPr>
          <w:p w14:paraId="1FF3288F" w14:textId="3B16D11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(0.0161)</w:t>
            </w:r>
          </w:p>
        </w:tc>
      </w:tr>
      <w:tr w:rsidR="00BD24A7" w:rsidRPr="00731C8B" w14:paraId="6683ADA4" w14:textId="77777777" w:rsidTr="00760415">
        <w:trPr>
          <w:cantSplit/>
          <w:trHeight w:val="20"/>
        </w:trPr>
        <w:tc>
          <w:tcPr>
            <w:tcW w:w="1945" w:type="dxa"/>
            <w:vMerge w:val="restart"/>
            <w:tcBorders>
              <w:top w:val="single" w:sz="4" w:space="0" w:color="BCBDBC"/>
              <w:left w:val="nil"/>
              <w:right w:val="single" w:sz="4" w:space="0" w:color="BCBDBC"/>
            </w:tcBorders>
          </w:tcPr>
          <w:p w14:paraId="7986641B" w14:textId="081C5AB8" w:rsidR="00BD24A7" w:rsidRDefault="00AA128E" w:rsidP="00BD24A7">
            <w:pPr>
              <w:pStyle w:val="TableRowHeading"/>
              <w:rPr>
                <w:iCs/>
              </w:rPr>
            </w:pPr>
            <m:oMathPara>
              <m:oMath>
                <m:sSup>
                  <m:sSupPr>
                    <m:ctrlPr>
                      <w:rPr>
                        <w:rFonts w:ascii="Cambria Math" w:hAnsi="Cambria Math"/>
                        <w:iCs/>
                      </w:rPr>
                    </m:ctrlPr>
                  </m:sSupPr>
                  <m:e>
                    <m:sSub>
                      <m:sSubPr>
                        <m:ctrlPr>
                          <w:rPr>
                            <w:rFonts w:ascii="Cambria Math" w:hAnsi="Cambria Math"/>
                            <w:iCs/>
                          </w:rPr>
                        </m:ctrlPr>
                      </m:sSubPr>
                      <m:e>
                        <m:r>
                          <m:rPr>
                            <m:sty m:val="p"/>
                          </m:rPr>
                          <w:rPr>
                            <w:rFonts w:ascii="Cambria Math" w:hAnsi="Cambria Math"/>
                            <w:lang w:val="en-US"/>
                          </w:rPr>
                          <m:t>(Δ</m:t>
                        </m:r>
                        <m:r>
                          <w:rPr>
                            <w:rFonts w:ascii="Cambria Math" w:hAnsi="Cambria Math"/>
                            <w:lang w:val="en-US"/>
                          </w:rPr>
                          <m:t>i</m:t>
                        </m:r>
                      </m:e>
                      <m:sub>
                        <m:r>
                          <w:rPr>
                            <w:rFonts w:ascii="Cambria Math" w:hAnsi="Cambria Math"/>
                            <w:lang w:val="en-US"/>
                          </w:rPr>
                          <m:t>c</m:t>
                        </m:r>
                        <m:r>
                          <m:rPr>
                            <m:sty m:val="p"/>
                          </m:rPr>
                          <w:rPr>
                            <w:rFonts w:ascii="Cambria Math" w:hAnsi="Cambria Math"/>
                            <w:lang w:val="en-US"/>
                          </w:rPr>
                          <m:t>,</m:t>
                        </m:r>
                        <m:r>
                          <w:rPr>
                            <w:rFonts w:ascii="Cambria Math" w:hAnsi="Cambria Math"/>
                            <w:lang w:val="en-US"/>
                          </w:rPr>
                          <m:t>t</m:t>
                        </m:r>
                      </m:sub>
                    </m:sSub>
                    <m:r>
                      <m:rPr>
                        <m:sty m:val="p"/>
                      </m:rPr>
                      <w:rPr>
                        <w:rFonts w:ascii="Cambria Math" w:hAnsi="Cambria Math"/>
                      </w:rPr>
                      <m:t>)</m:t>
                    </m:r>
                  </m:e>
                  <m:sup>
                    <m:r>
                      <m:rPr>
                        <m:sty m:val="p"/>
                      </m:rPr>
                      <w:rPr>
                        <w:rFonts w:ascii="Cambria Math" w:hAnsi="Cambria Math"/>
                      </w:rPr>
                      <m:t>2</m:t>
                    </m:r>
                  </m:sup>
                </m:sSup>
              </m:oMath>
            </m:oMathPara>
          </w:p>
        </w:tc>
        <w:tc>
          <w:tcPr>
            <w:tcW w:w="1238" w:type="dxa"/>
            <w:tcBorders>
              <w:top w:val="single" w:sz="4" w:space="0" w:color="BCBDBC"/>
              <w:left w:val="single" w:sz="4" w:space="0" w:color="BCBDBC"/>
              <w:bottom w:val="nil"/>
              <w:right w:val="single" w:sz="4" w:space="0" w:color="BCBDBC"/>
            </w:tcBorders>
          </w:tcPr>
          <w:p w14:paraId="33BB676E" w14:textId="03712D0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0.0147</w:t>
            </w:r>
          </w:p>
        </w:tc>
        <w:tc>
          <w:tcPr>
            <w:tcW w:w="1238" w:type="dxa"/>
            <w:tcBorders>
              <w:top w:val="single" w:sz="4" w:space="0" w:color="BCBDBC"/>
              <w:left w:val="single" w:sz="4" w:space="0" w:color="BCBDBC"/>
              <w:bottom w:val="nil"/>
              <w:right w:val="single" w:sz="4" w:space="0" w:color="BCBDBC"/>
            </w:tcBorders>
          </w:tcPr>
          <w:p w14:paraId="377BB81C" w14:textId="56416EA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6.01e-06***</w:t>
            </w:r>
          </w:p>
        </w:tc>
        <w:tc>
          <w:tcPr>
            <w:tcW w:w="1173" w:type="dxa"/>
            <w:tcBorders>
              <w:top w:val="single" w:sz="4" w:space="0" w:color="BCBDBC"/>
              <w:left w:val="single" w:sz="4" w:space="0" w:color="BCBDBC"/>
              <w:bottom w:val="nil"/>
              <w:right w:val="single" w:sz="4" w:space="0" w:color="BCBDBC"/>
            </w:tcBorders>
          </w:tcPr>
          <w:p w14:paraId="2052D926" w14:textId="537E5A6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0.0147</w:t>
            </w:r>
          </w:p>
        </w:tc>
        <w:tc>
          <w:tcPr>
            <w:tcW w:w="1173" w:type="dxa"/>
            <w:tcBorders>
              <w:top w:val="single" w:sz="4" w:space="0" w:color="BCBDBC"/>
              <w:left w:val="single" w:sz="4" w:space="0" w:color="BCBDBC"/>
              <w:bottom w:val="nil"/>
              <w:right w:val="single" w:sz="4" w:space="0" w:color="BCBDBC"/>
            </w:tcBorders>
          </w:tcPr>
          <w:p w14:paraId="25614B84" w14:textId="7D59401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6.44e-06***</w:t>
            </w:r>
          </w:p>
        </w:tc>
        <w:tc>
          <w:tcPr>
            <w:tcW w:w="1238" w:type="dxa"/>
            <w:tcBorders>
              <w:top w:val="single" w:sz="4" w:space="0" w:color="BCBDBC"/>
              <w:left w:val="single" w:sz="4" w:space="0" w:color="BCBDBC"/>
              <w:bottom w:val="nil"/>
              <w:right w:val="single" w:sz="4" w:space="0" w:color="BCBDBC"/>
            </w:tcBorders>
          </w:tcPr>
          <w:p w14:paraId="209AD016" w14:textId="2D86EED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0.00477***</w:t>
            </w:r>
          </w:p>
        </w:tc>
        <w:tc>
          <w:tcPr>
            <w:tcW w:w="1238" w:type="dxa"/>
            <w:tcBorders>
              <w:top w:val="single" w:sz="4" w:space="0" w:color="BCBDBC"/>
              <w:left w:val="single" w:sz="4" w:space="0" w:color="BCBDBC"/>
              <w:bottom w:val="nil"/>
              <w:right w:val="nil"/>
            </w:tcBorders>
          </w:tcPr>
          <w:p w14:paraId="6E2D9A41" w14:textId="6C9F683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0.00482***</w:t>
            </w:r>
          </w:p>
        </w:tc>
      </w:tr>
      <w:tr w:rsidR="00BD24A7" w:rsidRPr="00731C8B" w14:paraId="45770093" w14:textId="77777777" w:rsidTr="00760415">
        <w:trPr>
          <w:cantSplit/>
          <w:trHeight w:val="20"/>
        </w:trPr>
        <w:tc>
          <w:tcPr>
            <w:tcW w:w="1945" w:type="dxa"/>
            <w:vMerge/>
            <w:tcBorders>
              <w:left w:val="nil"/>
              <w:bottom w:val="single" w:sz="4" w:space="0" w:color="BFBFBF" w:themeColor="background1" w:themeShade="BF"/>
              <w:right w:val="single" w:sz="4" w:space="0" w:color="BCBDBC"/>
            </w:tcBorders>
          </w:tcPr>
          <w:p w14:paraId="64A95A7F" w14:textId="77777777" w:rsidR="00BD24A7" w:rsidRPr="002D5C47" w:rsidRDefault="00BD24A7" w:rsidP="00BD24A7">
            <w:pPr>
              <w:pStyle w:val="TableRowHeading"/>
              <w:rPr>
                <w:rFonts w:ascii="Times New Roman" w:eastAsia="Calibri" w:hAnsi="Times New Roman"/>
                <w:iCs/>
              </w:rPr>
            </w:pPr>
          </w:p>
        </w:tc>
        <w:tc>
          <w:tcPr>
            <w:tcW w:w="1238" w:type="dxa"/>
            <w:tcBorders>
              <w:top w:val="nil"/>
              <w:left w:val="single" w:sz="4" w:space="0" w:color="BCBDBC"/>
              <w:bottom w:val="single" w:sz="4" w:space="0" w:color="BCBDBC"/>
              <w:right w:val="single" w:sz="4" w:space="0" w:color="BCBDBC"/>
            </w:tcBorders>
          </w:tcPr>
          <w:p w14:paraId="5001A5E2" w14:textId="038B6C9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(0.0139)</w:t>
            </w:r>
          </w:p>
        </w:tc>
        <w:tc>
          <w:tcPr>
            <w:tcW w:w="1238" w:type="dxa"/>
            <w:tcBorders>
              <w:top w:val="nil"/>
              <w:left w:val="single" w:sz="4" w:space="0" w:color="BCBDBC"/>
              <w:bottom w:val="single" w:sz="4" w:space="0" w:color="BCBDBC"/>
              <w:right w:val="single" w:sz="4" w:space="0" w:color="BCBDBC"/>
            </w:tcBorders>
          </w:tcPr>
          <w:p w14:paraId="6A45B095" w14:textId="19ECDAE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(2.18e-06)</w:t>
            </w:r>
          </w:p>
        </w:tc>
        <w:tc>
          <w:tcPr>
            <w:tcW w:w="1173" w:type="dxa"/>
            <w:tcBorders>
              <w:top w:val="nil"/>
              <w:left w:val="single" w:sz="4" w:space="0" w:color="BCBDBC"/>
              <w:bottom w:val="single" w:sz="4" w:space="0" w:color="BCBDBC"/>
              <w:right w:val="single" w:sz="4" w:space="0" w:color="BCBDBC"/>
            </w:tcBorders>
          </w:tcPr>
          <w:p w14:paraId="0E942A09" w14:textId="004CEE8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(0.0139)</w:t>
            </w:r>
          </w:p>
        </w:tc>
        <w:tc>
          <w:tcPr>
            <w:tcW w:w="1173" w:type="dxa"/>
            <w:tcBorders>
              <w:top w:val="nil"/>
              <w:left w:val="single" w:sz="4" w:space="0" w:color="BCBDBC"/>
              <w:bottom w:val="single" w:sz="4" w:space="0" w:color="BCBDBC"/>
              <w:right w:val="single" w:sz="4" w:space="0" w:color="BCBDBC"/>
            </w:tcBorders>
          </w:tcPr>
          <w:p w14:paraId="651D4FF1" w14:textId="4EEA59B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(2.33e-06)</w:t>
            </w:r>
          </w:p>
        </w:tc>
        <w:tc>
          <w:tcPr>
            <w:tcW w:w="1238" w:type="dxa"/>
            <w:tcBorders>
              <w:top w:val="nil"/>
              <w:left w:val="single" w:sz="4" w:space="0" w:color="BCBDBC"/>
              <w:bottom w:val="single" w:sz="4" w:space="0" w:color="BCBDBC"/>
              <w:right w:val="single" w:sz="4" w:space="0" w:color="BCBDBC"/>
            </w:tcBorders>
          </w:tcPr>
          <w:p w14:paraId="3090C4FE" w14:textId="27B124B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(0.000893)</w:t>
            </w:r>
          </w:p>
        </w:tc>
        <w:tc>
          <w:tcPr>
            <w:tcW w:w="1238" w:type="dxa"/>
            <w:tcBorders>
              <w:top w:val="nil"/>
              <w:left w:val="single" w:sz="4" w:space="0" w:color="BCBDBC"/>
              <w:bottom w:val="single" w:sz="4" w:space="0" w:color="BCBDBC"/>
              <w:right w:val="nil"/>
            </w:tcBorders>
          </w:tcPr>
          <w:p w14:paraId="3CE20217" w14:textId="168CD3D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(0.000898)</w:t>
            </w:r>
          </w:p>
        </w:tc>
      </w:tr>
      <w:tr w:rsidR="00BD24A7" w:rsidRPr="00731C8B" w14:paraId="4DDEDF1E" w14:textId="77777777" w:rsidTr="00760415">
        <w:trPr>
          <w:cantSplit/>
          <w:trHeight w:val="20"/>
        </w:trPr>
        <w:tc>
          <w:tcPr>
            <w:tcW w:w="1945" w:type="dxa"/>
            <w:vMerge w:val="restart"/>
            <w:tcBorders>
              <w:top w:val="single" w:sz="4" w:space="0" w:color="BFBFBF" w:themeColor="background1" w:themeShade="BF"/>
              <w:left w:val="nil"/>
              <w:right w:val="single" w:sz="4" w:space="0" w:color="BCBDBC"/>
            </w:tcBorders>
          </w:tcPr>
          <w:p w14:paraId="015DE78A" w14:textId="657457BA" w:rsidR="00BD24A7" w:rsidRPr="002D5C47" w:rsidRDefault="00AA128E" w:rsidP="00BD24A7">
            <w:pPr>
              <w:pStyle w:val="TableRowHeading"/>
              <w:rPr>
                <w:rFonts w:ascii="Times New Roman" w:eastAsia="Calibri" w:hAnsi="Times New Roman"/>
                <w:iCs/>
              </w:rPr>
            </w:pPr>
            <m:oMathPara>
              <m:oMath>
                <m:sSub>
                  <m:sSubPr>
                    <m:ctrlPr>
                      <w:rPr>
                        <w:rFonts w:ascii="Cambria Math" w:hAnsi="Cambria Math"/>
                        <w:i/>
                        <w:sz w:val="18"/>
                        <w:szCs w:val="18"/>
                        <w:lang w:val="en-US"/>
                      </w:rPr>
                    </m:ctrlPr>
                  </m:sSubPr>
                  <m:e>
                    <m:r>
                      <w:rPr>
                        <w:rFonts w:ascii="Cambria Math" w:hAnsi="Cambria Math"/>
                        <w:sz w:val="18"/>
                        <w:szCs w:val="18"/>
                        <w:lang w:val="en-US"/>
                      </w:rPr>
                      <m:t>recession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238" w:type="dxa"/>
            <w:tcBorders>
              <w:top w:val="nil"/>
              <w:left w:val="single" w:sz="4" w:space="0" w:color="BCBDBC"/>
              <w:bottom w:val="nil"/>
              <w:right w:val="single" w:sz="4" w:space="0" w:color="BCBDBC"/>
            </w:tcBorders>
          </w:tcPr>
          <w:p w14:paraId="0A884E56" w14:textId="5D675C2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-0.00323</w:t>
            </w:r>
          </w:p>
        </w:tc>
        <w:tc>
          <w:tcPr>
            <w:tcW w:w="1238" w:type="dxa"/>
            <w:tcBorders>
              <w:top w:val="nil"/>
              <w:left w:val="single" w:sz="4" w:space="0" w:color="BCBDBC"/>
              <w:bottom w:val="nil"/>
              <w:right w:val="single" w:sz="4" w:space="0" w:color="BCBDBC"/>
            </w:tcBorders>
          </w:tcPr>
          <w:p w14:paraId="2A31EB5F" w14:textId="76E5912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0.0362</w:t>
            </w:r>
          </w:p>
        </w:tc>
        <w:tc>
          <w:tcPr>
            <w:tcW w:w="1173" w:type="dxa"/>
            <w:tcBorders>
              <w:top w:val="nil"/>
              <w:left w:val="single" w:sz="4" w:space="0" w:color="BCBDBC"/>
              <w:bottom w:val="nil"/>
              <w:right w:val="single" w:sz="4" w:space="0" w:color="BCBDBC"/>
            </w:tcBorders>
          </w:tcPr>
          <w:p w14:paraId="581F6E58" w14:textId="49F4E71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-0.00342</w:t>
            </w:r>
          </w:p>
        </w:tc>
        <w:tc>
          <w:tcPr>
            <w:tcW w:w="1173" w:type="dxa"/>
            <w:tcBorders>
              <w:top w:val="nil"/>
              <w:left w:val="single" w:sz="4" w:space="0" w:color="BCBDBC"/>
              <w:bottom w:val="nil"/>
              <w:right w:val="single" w:sz="4" w:space="0" w:color="BCBDBC"/>
            </w:tcBorders>
          </w:tcPr>
          <w:p w14:paraId="48D90B75" w14:textId="35A6688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0.0372</w:t>
            </w:r>
          </w:p>
        </w:tc>
        <w:tc>
          <w:tcPr>
            <w:tcW w:w="1238" w:type="dxa"/>
            <w:tcBorders>
              <w:top w:val="nil"/>
              <w:left w:val="single" w:sz="4" w:space="0" w:color="BCBDBC"/>
              <w:bottom w:val="nil"/>
              <w:right w:val="single" w:sz="4" w:space="0" w:color="BCBDBC"/>
            </w:tcBorders>
          </w:tcPr>
          <w:p w14:paraId="499975CC" w14:textId="5B70C49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0.0262</w:t>
            </w:r>
          </w:p>
        </w:tc>
        <w:tc>
          <w:tcPr>
            <w:tcW w:w="1238" w:type="dxa"/>
            <w:tcBorders>
              <w:top w:val="nil"/>
              <w:left w:val="single" w:sz="4" w:space="0" w:color="BCBDBC"/>
              <w:bottom w:val="nil"/>
              <w:right w:val="nil"/>
            </w:tcBorders>
          </w:tcPr>
          <w:p w14:paraId="1F48FB56" w14:textId="0E34D7C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0.0296</w:t>
            </w:r>
          </w:p>
        </w:tc>
      </w:tr>
      <w:tr w:rsidR="00BD24A7" w:rsidRPr="00731C8B" w14:paraId="143B1480" w14:textId="77777777" w:rsidTr="00760415">
        <w:trPr>
          <w:cantSplit/>
          <w:trHeight w:val="20"/>
        </w:trPr>
        <w:tc>
          <w:tcPr>
            <w:tcW w:w="1945" w:type="dxa"/>
            <w:vMerge/>
            <w:tcBorders>
              <w:left w:val="nil"/>
              <w:bottom w:val="single" w:sz="4" w:space="0" w:color="BFBFBF" w:themeColor="background1" w:themeShade="BF"/>
              <w:right w:val="single" w:sz="4" w:space="0" w:color="BCBDBC"/>
            </w:tcBorders>
          </w:tcPr>
          <w:p w14:paraId="7A2269AC" w14:textId="77777777" w:rsidR="00BD24A7" w:rsidRPr="002D5C47" w:rsidRDefault="00BD24A7" w:rsidP="00BD24A7">
            <w:pPr>
              <w:pStyle w:val="TableRowHeading"/>
              <w:rPr>
                <w:rFonts w:ascii="Times New Roman" w:eastAsia="Calibri" w:hAnsi="Times New Roman"/>
                <w:iCs/>
              </w:rPr>
            </w:pPr>
          </w:p>
        </w:tc>
        <w:tc>
          <w:tcPr>
            <w:tcW w:w="1238" w:type="dxa"/>
            <w:tcBorders>
              <w:top w:val="nil"/>
              <w:left w:val="single" w:sz="4" w:space="0" w:color="BCBDBC"/>
              <w:bottom w:val="single" w:sz="4" w:space="0" w:color="BCBDBC"/>
              <w:right w:val="single" w:sz="4" w:space="0" w:color="BCBDBC"/>
            </w:tcBorders>
          </w:tcPr>
          <w:p w14:paraId="153CDB48" w14:textId="03892D3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(0.0177)</w:t>
            </w:r>
          </w:p>
        </w:tc>
        <w:tc>
          <w:tcPr>
            <w:tcW w:w="1238" w:type="dxa"/>
            <w:tcBorders>
              <w:top w:val="nil"/>
              <w:left w:val="single" w:sz="4" w:space="0" w:color="BCBDBC"/>
              <w:bottom w:val="single" w:sz="4" w:space="0" w:color="BCBDBC"/>
              <w:right w:val="single" w:sz="4" w:space="0" w:color="BCBDBC"/>
            </w:tcBorders>
          </w:tcPr>
          <w:p w14:paraId="5AB50CEE" w14:textId="582C6FD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(0.0273)</w:t>
            </w:r>
          </w:p>
        </w:tc>
        <w:tc>
          <w:tcPr>
            <w:tcW w:w="1173" w:type="dxa"/>
            <w:tcBorders>
              <w:top w:val="nil"/>
              <w:left w:val="single" w:sz="4" w:space="0" w:color="BCBDBC"/>
              <w:bottom w:val="single" w:sz="4" w:space="0" w:color="BCBDBC"/>
              <w:right w:val="single" w:sz="4" w:space="0" w:color="BCBDBC"/>
            </w:tcBorders>
          </w:tcPr>
          <w:p w14:paraId="6EBDF401" w14:textId="799DCBD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(0.0173)</w:t>
            </w:r>
          </w:p>
        </w:tc>
        <w:tc>
          <w:tcPr>
            <w:tcW w:w="1173" w:type="dxa"/>
            <w:tcBorders>
              <w:top w:val="nil"/>
              <w:left w:val="single" w:sz="4" w:space="0" w:color="BCBDBC"/>
              <w:bottom w:val="single" w:sz="4" w:space="0" w:color="BCBDBC"/>
              <w:right w:val="single" w:sz="4" w:space="0" w:color="BCBDBC"/>
            </w:tcBorders>
          </w:tcPr>
          <w:p w14:paraId="0846B9A3" w14:textId="7A49C84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(0.0274)</w:t>
            </w:r>
          </w:p>
        </w:tc>
        <w:tc>
          <w:tcPr>
            <w:tcW w:w="1238" w:type="dxa"/>
            <w:tcBorders>
              <w:top w:val="nil"/>
              <w:left w:val="single" w:sz="4" w:space="0" w:color="BCBDBC"/>
              <w:bottom w:val="single" w:sz="4" w:space="0" w:color="BCBDBC"/>
              <w:right w:val="single" w:sz="4" w:space="0" w:color="BCBDBC"/>
            </w:tcBorders>
          </w:tcPr>
          <w:p w14:paraId="1C4C4BA7" w14:textId="7C6D685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(0.0221)</w:t>
            </w:r>
          </w:p>
        </w:tc>
        <w:tc>
          <w:tcPr>
            <w:tcW w:w="1238" w:type="dxa"/>
            <w:tcBorders>
              <w:top w:val="nil"/>
              <w:left w:val="single" w:sz="4" w:space="0" w:color="BCBDBC"/>
              <w:bottom w:val="single" w:sz="4" w:space="0" w:color="BCBDBC"/>
              <w:right w:val="nil"/>
            </w:tcBorders>
          </w:tcPr>
          <w:p w14:paraId="35FF0A4E" w14:textId="5C3C16D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(0.0220)</w:t>
            </w:r>
          </w:p>
        </w:tc>
      </w:tr>
      <w:tr w:rsidR="00BD24A7" w:rsidRPr="00731C8B" w14:paraId="5080DC9C" w14:textId="77777777" w:rsidTr="00760415">
        <w:trPr>
          <w:cantSplit/>
          <w:trHeight w:val="20"/>
        </w:trPr>
        <w:tc>
          <w:tcPr>
            <w:tcW w:w="1945" w:type="dxa"/>
            <w:vMerge w:val="restart"/>
            <w:tcBorders>
              <w:top w:val="single" w:sz="4" w:space="0" w:color="BFBFBF" w:themeColor="background1" w:themeShade="BF"/>
              <w:left w:val="nil"/>
              <w:right w:val="single" w:sz="4" w:space="0" w:color="BCBDBC"/>
            </w:tcBorders>
          </w:tcPr>
          <w:p w14:paraId="398E34E3" w14:textId="7D01CE82" w:rsidR="00BD24A7" w:rsidRPr="002D5C47" w:rsidRDefault="00AA128E" w:rsidP="00BD24A7">
            <w:pPr>
              <w:pStyle w:val="TableRowHeading"/>
              <w:rPr>
                <w:rFonts w:ascii="Times New Roman" w:eastAsia="Calibri" w:hAnsi="Times New Roman"/>
                <w:iCs/>
              </w:rPr>
            </w:pPr>
            <m:oMathPara>
              <m:oMath>
                <m:sSub>
                  <m:sSubPr>
                    <m:ctrlPr>
                      <w:rPr>
                        <w:rFonts w:ascii="Cambria Math" w:hAnsi="Cambria Math"/>
                        <w:i/>
                        <w:sz w:val="18"/>
                        <w:szCs w:val="18"/>
                        <w:lang w:val="en-US"/>
                      </w:rPr>
                    </m:ctrlPr>
                  </m:sSubPr>
                  <m:e>
                    <m:r>
                      <w:rPr>
                        <w:rFonts w:ascii="Cambria Math" w:hAnsi="Cambria Math"/>
                        <w:sz w:val="18"/>
                        <w:szCs w:val="18"/>
                        <w:lang w:val="en-US"/>
                      </w:rPr>
                      <m:t>mp_contraction</m:t>
                    </m:r>
                    <m:ctrlPr>
                      <w:rPr>
                        <w:rFonts w:ascii="Cambria Math" w:hAnsi="Cambria Math"/>
                        <w:sz w:val="18"/>
                        <w:szCs w:val="18"/>
                      </w:rPr>
                    </m:ctrlPr>
                  </m:e>
                  <m:sub>
                    <m:r>
                      <w:rPr>
                        <w:rFonts w:ascii="Cambria Math" w:hAnsi="Cambria Math"/>
                        <w:sz w:val="18"/>
                        <w:szCs w:val="18"/>
                        <w:lang w:val="en-US"/>
                      </w:rPr>
                      <m:t>c</m:t>
                    </m:r>
                    <m:r>
                      <m:rPr>
                        <m:sty m:val="p"/>
                      </m:rPr>
                      <w:rPr>
                        <w:rFonts w:ascii="Cambria Math" w:hAnsi="Cambria Math"/>
                        <w:sz w:val="18"/>
                        <w:szCs w:val="18"/>
                        <w:lang w:val="en-US"/>
                      </w:rPr>
                      <m:t>, </m:t>
                    </m:r>
                    <m:r>
                      <w:rPr>
                        <w:rFonts w:ascii="Cambria Math" w:hAnsi="Cambria Math"/>
                        <w:sz w:val="18"/>
                        <w:szCs w:val="18"/>
                        <w:lang w:val="en-US"/>
                      </w:rPr>
                      <m:t>t</m:t>
                    </m:r>
                    <m:ctrlPr>
                      <w:rPr>
                        <w:rFonts w:ascii="Cambria Math" w:hAnsi="Cambria Math"/>
                        <w:sz w:val="18"/>
                        <w:szCs w:val="18"/>
                      </w:rPr>
                    </m:ctrlPr>
                  </m:sub>
                </m:sSub>
              </m:oMath>
            </m:oMathPara>
          </w:p>
        </w:tc>
        <w:tc>
          <w:tcPr>
            <w:tcW w:w="1238" w:type="dxa"/>
            <w:tcBorders>
              <w:top w:val="nil"/>
              <w:left w:val="single" w:sz="4" w:space="0" w:color="BCBDBC"/>
              <w:bottom w:val="nil"/>
              <w:right w:val="single" w:sz="4" w:space="0" w:color="BCBDBC"/>
            </w:tcBorders>
          </w:tcPr>
          <w:p w14:paraId="1F8FBFC2" w14:textId="3791C63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-0.0213</w:t>
            </w:r>
          </w:p>
        </w:tc>
        <w:tc>
          <w:tcPr>
            <w:tcW w:w="1238" w:type="dxa"/>
            <w:tcBorders>
              <w:top w:val="nil"/>
              <w:left w:val="single" w:sz="4" w:space="0" w:color="BCBDBC"/>
              <w:bottom w:val="nil"/>
              <w:right w:val="single" w:sz="4" w:space="0" w:color="BCBDBC"/>
            </w:tcBorders>
          </w:tcPr>
          <w:p w14:paraId="68BC4067" w14:textId="67EE5015"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0.00570</w:t>
            </w:r>
          </w:p>
        </w:tc>
        <w:tc>
          <w:tcPr>
            <w:tcW w:w="1173" w:type="dxa"/>
            <w:tcBorders>
              <w:top w:val="nil"/>
              <w:left w:val="single" w:sz="4" w:space="0" w:color="BCBDBC"/>
              <w:bottom w:val="nil"/>
              <w:right w:val="single" w:sz="4" w:space="0" w:color="BCBDBC"/>
            </w:tcBorders>
          </w:tcPr>
          <w:p w14:paraId="18FFA1D6" w14:textId="0B683B1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-0.0236</w:t>
            </w:r>
          </w:p>
        </w:tc>
        <w:tc>
          <w:tcPr>
            <w:tcW w:w="1173" w:type="dxa"/>
            <w:tcBorders>
              <w:top w:val="nil"/>
              <w:left w:val="single" w:sz="4" w:space="0" w:color="BCBDBC"/>
              <w:bottom w:val="nil"/>
              <w:right w:val="single" w:sz="4" w:space="0" w:color="BCBDBC"/>
            </w:tcBorders>
          </w:tcPr>
          <w:p w14:paraId="21F0503B" w14:textId="4CA6D10E"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0.00496</w:t>
            </w:r>
          </w:p>
        </w:tc>
        <w:tc>
          <w:tcPr>
            <w:tcW w:w="1238" w:type="dxa"/>
            <w:tcBorders>
              <w:top w:val="nil"/>
              <w:left w:val="single" w:sz="4" w:space="0" w:color="BCBDBC"/>
              <w:bottom w:val="nil"/>
              <w:right w:val="single" w:sz="4" w:space="0" w:color="BCBDBC"/>
            </w:tcBorders>
          </w:tcPr>
          <w:p w14:paraId="1B42B7D6" w14:textId="6585C0B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0.0785**</w:t>
            </w:r>
          </w:p>
        </w:tc>
        <w:tc>
          <w:tcPr>
            <w:tcW w:w="1238" w:type="dxa"/>
            <w:tcBorders>
              <w:top w:val="nil"/>
              <w:left w:val="single" w:sz="4" w:space="0" w:color="BCBDBC"/>
              <w:bottom w:val="nil"/>
              <w:right w:val="nil"/>
            </w:tcBorders>
          </w:tcPr>
          <w:p w14:paraId="69933C65" w14:textId="48D12E2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0.0760**</w:t>
            </w:r>
          </w:p>
        </w:tc>
      </w:tr>
      <w:tr w:rsidR="00BD24A7" w:rsidRPr="00731C8B" w14:paraId="312A76AE" w14:textId="77777777" w:rsidTr="00760415">
        <w:trPr>
          <w:cantSplit/>
          <w:trHeight w:val="20"/>
        </w:trPr>
        <w:tc>
          <w:tcPr>
            <w:tcW w:w="1945" w:type="dxa"/>
            <w:vMerge/>
            <w:tcBorders>
              <w:left w:val="nil"/>
              <w:bottom w:val="single" w:sz="4" w:space="0" w:color="BCBDBC"/>
              <w:right w:val="single" w:sz="4" w:space="0" w:color="BCBDBC"/>
            </w:tcBorders>
          </w:tcPr>
          <w:p w14:paraId="7A9C386A" w14:textId="77777777" w:rsidR="00BD24A7" w:rsidRPr="002D5C47" w:rsidRDefault="00BD24A7" w:rsidP="00BD24A7">
            <w:pPr>
              <w:pStyle w:val="TableRowHeading"/>
              <w:rPr>
                <w:rFonts w:ascii="Times New Roman" w:eastAsia="Calibri" w:hAnsi="Times New Roman"/>
                <w:iCs/>
              </w:rPr>
            </w:pPr>
          </w:p>
        </w:tc>
        <w:tc>
          <w:tcPr>
            <w:tcW w:w="1238" w:type="dxa"/>
            <w:tcBorders>
              <w:top w:val="nil"/>
              <w:left w:val="single" w:sz="4" w:space="0" w:color="BCBDBC"/>
              <w:bottom w:val="single" w:sz="4" w:space="0" w:color="BCBDBC"/>
              <w:right w:val="single" w:sz="4" w:space="0" w:color="BCBDBC"/>
            </w:tcBorders>
          </w:tcPr>
          <w:p w14:paraId="562D425A" w14:textId="6D97DB5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(0.0299)</w:t>
            </w:r>
          </w:p>
        </w:tc>
        <w:tc>
          <w:tcPr>
            <w:tcW w:w="1238" w:type="dxa"/>
            <w:tcBorders>
              <w:top w:val="nil"/>
              <w:left w:val="single" w:sz="4" w:space="0" w:color="BCBDBC"/>
              <w:bottom w:val="single" w:sz="4" w:space="0" w:color="BCBDBC"/>
              <w:right w:val="single" w:sz="4" w:space="0" w:color="BCBDBC"/>
            </w:tcBorders>
          </w:tcPr>
          <w:p w14:paraId="21575CAD" w14:textId="70E97F3F"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(0.0433)</w:t>
            </w:r>
          </w:p>
        </w:tc>
        <w:tc>
          <w:tcPr>
            <w:tcW w:w="1173" w:type="dxa"/>
            <w:tcBorders>
              <w:top w:val="nil"/>
              <w:left w:val="single" w:sz="4" w:space="0" w:color="BCBDBC"/>
              <w:bottom w:val="single" w:sz="4" w:space="0" w:color="BCBDBC"/>
              <w:right w:val="single" w:sz="4" w:space="0" w:color="BCBDBC"/>
            </w:tcBorders>
          </w:tcPr>
          <w:p w14:paraId="2F8B147E" w14:textId="10155F2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(0.0325)</w:t>
            </w:r>
          </w:p>
        </w:tc>
        <w:tc>
          <w:tcPr>
            <w:tcW w:w="1173" w:type="dxa"/>
            <w:tcBorders>
              <w:top w:val="nil"/>
              <w:left w:val="single" w:sz="4" w:space="0" w:color="BCBDBC"/>
              <w:bottom w:val="single" w:sz="4" w:space="0" w:color="BCBDBC"/>
              <w:right w:val="single" w:sz="4" w:space="0" w:color="BCBDBC"/>
            </w:tcBorders>
          </w:tcPr>
          <w:p w14:paraId="059DEFBB" w14:textId="53DCBDD9"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(0.0417)</w:t>
            </w:r>
          </w:p>
        </w:tc>
        <w:tc>
          <w:tcPr>
            <w:tcW w:w="1238" w:type="dxa"/>
            <w:tcBorders>
              <w:top w:val="nil"/>
              <w:left w:val="single" w:sz="4" w:space="0" w:color="BCBDBC"/>
              <w:bottom w:val="single" w:sz="4" w:space="0" w:color="BCBDBC"/>
              <w:right w:val="single" w:sz="4" w:space="0" w:color="BCBDBC"/>
            </w:tcBorders>
          </w:tcPr>
          <w:p w14:paraId="17029720" w14:textId="1E414DEB"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(0.0324)</w:t>
            </w:r>
          </w:p>
        </w:tc>
        <w:tc>
          <w:tcPr>
            <w:tcW w:w="1238" w:type="dxa"/>
            <w:tcBorders>
              <w:top w:val="nil"/>
              <w:left w:val="single" w:sz="4" w:space="0" w:color="BCBDBC"/>
              <w:bottom w:val="single" w:sz="4" w:space="0" w:color="BCBDBC"/>
              <w:right w:val="nil"/>
            </w:tcBorders>
          </w:tcPr>
          <w:p w14:paraId="596C7752" w14:textId="04B1938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(0.0339)</w:t>
            </w:r>
          </w:p>
        </w:tc>
      </w:tr>
      <w:tr w:rsidR="00BD24A7" w:rsidRPr="00731C8B" w14:paraId="0B030487" w14:textId="77777777" w:rsidTr="00760415">
        <w:trPr>
          <w:cantSplit/>
          <w:trHeight w:val="20"/>
        </w:trPr>
        <w:tc>
          <w:tcPr>
            <w:tcW w:w="1945" w:type="dxa"/>
            <w:vMerge w:val="restart"/>
            <w:tcBorders>
              <w:top w:val="single" w:sz="4" w:space="0" w:color="BCBDBC"/>
              <w:left w:val="nil"/>
              <w:right w:val="single" w:sz="4" w:space="0" w:color="BCBDBC"/>
            </w:tcBorders>
          </w:tcPr>
          <w:p w14:paraId="4517CEA6" w14:textId="73BB7127" w:rsidR="00BD24A7" w:rsidRPr="006108F7" w:rsidRDefault="00AA128E" w:rsidP="00BD24A7">
            <w:pPr>
              <w:pStyle w:val="TableRowHeading"/>
              <w:rPr>
                <w:rFonts w:cs="Segoe UI"/>
                <w:iCs/>
                <w:sz w:val="18"/>
                <w:szCs w:val="18"/>
              </w:rPr>
            </w:pPr>
            <m:oMathPara>
              <m:oMath>
                <m:sSubSup>
                  <m:sSubSupPr>
                    <m:ctrlPr>
                      <w:rPr>
                        <w:rFonts w:ascii="Cambria Math" w:hAnsi="Cambria Math" w:cs="Segoe UI"/>
                        <w:iCs/>
                        <w:sz w:val="18"/>
                        <w:szCs w:val="18"/>
                      </w:rPr>
                    </m:ctrlPr>
                  </m:sSubSupPr>
                  <m:e>
                    <m:r>
                      <w:rPr>
                        <w:rFonts w:ascii="Cambria Math" w:hAnsi="Cambria Math" w:cs="Segoe UI"/>
                        <w:sz w:val="18"/>
                        <w:szCs w:val="18"/>
                      </w:rPr>
                      <m:t>D</m:t>
                    </m:r>
                  </m:e>
                  <m:sub>
                    <m:r>
                      <w:rPr>
                        <w:rFonts w:ascii="Cambria Math" w:hAnsi="Cambria Math" w:cs="Segoe UI"/>
                        <w:sz w:val="18"/>
                        <w:szCs w:val="18"/>
                      </w:rPr>
                      <m:t>c</m:t>
                    </m:r>
                    <m:r>
                      <m:rPr>
                        <m:sty m:val="p"/>
                      </m:rPr>
                      <w:rPr>
                        <w:rFonts w:ascii="Cambria Math" w:hAnsi="Cambria Math" w:cs="Segoe UI"/>
                        <w:sz w:val="18"/>
                        <w:szCs w:val="18"/>
                      </w:rPr>
                      <m:t>, </m:t>
                    </m:r>
                    <m:r>
                      <w:rPr>
                        <w:rFonts w:ascii="Cambria Math" w:hAnsi="Cambria Math" w:cs="Segoe UI"/>
                        <w:sz w:val="18"/>
                        <w:szCs w:val="18"/>
                      </w:rPr>
                      <m:t>t</m:t>
                    </m:r>
                  </m:sub>
                  <m:sup>
                    <m:r>
                      <w:rPr>
                        <w:rFonts w:ascii="Cambria Math" w:hAnsi="Cambria Math" w:cs="Segoe UI"/>
                        <w:sz w:val="18"/>
                        <w:szCs w:val="18"/>
                      </w:rPr>
                      <m:t>defl</m:t>
                    </m:r>
                    <m:r>
                      <m:rPr>
                        <m:sty m:val="p"/>
                      </m:rPr>
                      <w:rPr>
                        <w:rFonts w:ascii="Cambria Math" w:hAnsi="Cambria Math" w:cs="Segoe UI"/>
                        <w:sz w:val="18"/>
                        <w:szCs w:val="18"/>
                      </w:rPr>
                      <m:t xml:space="preserve"> </m:t>
                    </m:r>
                    <m:r>
                      <w:rPr>
                        <w:rFonts w:ascii="Cambria Math" w:hAnsi="Cambria Math" w:cs="Segoe UI"/>
                        <w:sz w:val="18"/>
                        <w:szCs w:val="18"/>
                      </w:rPr>
                      <m:t>long</m:t>
                    </m:r>
                  </m:sup>
                </m:sSubSup>
              </m:oMath>
            </m:oMathPara>
          </w:p>
        </w:tc>
        <w:tc>
          <w:tcPr>
            <w:tcW w:w="1238" w:type="dxa"/>
            <w:tcBorders>
              <w:top w:val="single" w:sz="4" w:space="0" w:color="BCBDBC"/>
              <w:left w:val="single" w:sz="4" w:space="0" w:color="BCBDBC"/>
              <w:bottom w:val="nil"/>
              <w:right w:val="single" w:sz="4" w:space="0" w:color="BCBDBC"/>
            </w:tcBorders>
          </w:tcPr>
          <w:p w14:paraId="3D5F7D30" w14:textId="77777777" w:rsidR="00BD24A7" w:rsidRPr="0021785A" w:rsidRDefault="00BD24A7" w:rsidP="00BD24A7">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single" w:sz="4" w:space="0" w:color="BCBDBC"/>
            </w:tcBorders>
          </w:tcPr>
          <w:p w14:paraId="13526DD6" w14:textId="566C06FF" w:rsidR="00BD24A7" w:rsidRPr="0021785A" w:rsidRDefault="00BD24A7" w:rsidP="00BD24A7">
            <w:pPr>
              <w:widowControl w:val="0"/>
              <w:autoSpaceDE w:val="0"/>
              <w:autoSpaceDN w:val="0"/>
              <w:adjustRightInd w:val="0"/>
              <w:jc w:val="center"/>
              <w:rPr>
                <w:rFonts w:cs="Segoe UI"/>
                <w:sz w:val="18"/>
                <w:szCs w:val="18"/>
              </w:rPr>
            </w:pPr>
          </w:p>
        </w:tc>
        <w:tc>
          <w:tcPr>
            <w:tcW w:w="1173" w:type="dxa"/>
            <w:tcBorders>
              <w:top w:val="single" w:sz="4" w:space="0" w:color="BCBDBC"/>
              <w:left w:val="single" w:sz="4" w:space="0" w:color="BCBDBC"/>
              <w:bottom w:val="nil"/>
              <w:right w:val="single" w:sz="4" w:space="0" w:color="BCBDBC"/>
            </w:tcBorders>
          </w:tcPr>
          <w:p w14:paraId="5C4C6496" w14:textId="0955445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0.0180</w:t>
            </w:r>
          </w:p>
        </w:tc>
        <w:tc>
          <w:tcPr>
            <w:tcW w:w="1173" w:type="dxa"/>
            <w:tcBorders>
              <w:top w:val="single" w:sz="4" w:space="0" w:color="BCBDBC"/>
              <w:left w:val="single" w:sz="4" w:space="0" w:color="BCBDBC"/>
              <w:bottom w:val="nil"/>
              <w:right w:val="single" w:sz="4" w:space="0" w:color="BCBDBC"/>
            </w:tcBorders>
          </w:tcPr>
          <w:p w14:paraId="79BBB105" w14:textId="272AD5E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0.352**</w:t>
            </w:r>
          </w:p>
        </w:tc>
        <w:tc>
          <w:tcPr>
            <w:tcW w:w="1238" w:type="dxa"/>
            <w:tcBorders>
              <w:top w:val="single" w:sz="4" w:space="0" w:color="BCBDBC"/>
              <w:left w:val="single" w:sz="4" w:space="0" w:color="BCBDBC"/>
              <w:bottom w:val="nil"/>
              <w:right w:val="single" w:sz="4" w:space="0" w:color="BCBDBC"/>
            </w:tcBorders>
          </w:tcPr>
          <w:p w14:paraId="3083078D" w14:textId="2B74CB47" w:rsidR="00BD24A7" w:rsidRPr="0021785A" w:rsidRDefault="00BD24A7" w:rsidP="00BD24A7">
            <w:pPr>
              <w:widowControl w:val="0"/>
              <w:autoSpaceDE w:val="0"/>
              <w:autoSpaceDN w:val="0"/>
              <w:adjustRightInd w:val="0"/>
              <w:jc w:val="center"/>
              <w:rPr>
                <w:rFonts w:cs="Segoe UI"/>
                <w:sz w:val="18"/>
                <w:szCs w:val="18"/>
              </w:rPr>
            </w:pPr>
          </w:p>
        </w:tc>
        <w:tc>
          <w:tcPr>
            <w:tcW w:w="1238" w:type="dxa"/>
            <w:tcBorders>
              <w:top w:val="single" w:sz="4" w:space="0" w:color="BCBDBC"/>
              <w:left w:val="single" w:sz="4" w:space="0" w:color="BCBDBC"/>
              <w:bottom w:val="nil"/>
              <w:right w:val="nil"/>
            </w:tcBorders>
          </w:tcPr>
          <w:p w14:paraId="2DC57415" w14:textId="3AD9BB07"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0.503***</w:t>
            </w:r>
          </w:p>
        </w:tc>
      </w:tr>
      <w:tr w:rsidR="00BD24A7" w:rsidRPr="00731C8B" w14:paraId="0FCA9865" w14:textId="77777777" w:rsidTr="00760415">
        <w:trPr>
          <w:cantSplit/>
          <w:trHeight w:val="20"/>
        </w:trPr>
        <w:tc>
          <w:tcPr>
            <w:tcW w:w="1945" w:type="dxa"/>
            <w:vMerge/>
            <w:tcBorders>
              <w:left w:val="nil"/>
              <w:bottom w:val="single" w:sz="4" w:space="0" w:color="BCBDBC"/>
              <w:right w:val="single" w:sz="4" w:space="0" w:color="BCBDBC"/>
            </w:tcBorders>
          </w:tcPr>
          <w:p w14:paraId="0DD159AE" w14:textId="77777777" w:rsidR="00BD24A7" w:rsidRPr="006108F7" w:rsidRDefault="00BD24A7" w:rsidP="00BD24A7">
            <w:pPr>
              <w:pStyle w:val="TableRowHeading"/>
              <w:rPr>
                <w:rFonts w:cs="Segoe UI"/>
                <w:iCs/>
                <w:sz w:val="18"/>
                <w:szCs w:val="18"/>
              </w:rPr>
            </w:pPr>
          </w:p>
        </w:tc>
        <w:tc>
          <w:tcPr>
            <w:tcW w:w="1238" w:type="dxa"/>
            <w:tcBorders>
              <w:top w:val="nil"/>
              <w:left w:val="single" w:sz="4" w:space="0" w:color="BCBDBC"/>
              <w:bottom w:val="single" w:sz="4" w:space="0" w:color="BCBDBC"/>
              <w:right w:val="single" w:sz="4" w:space="0" w:color="BCBDBC"/>
            </w:tcBorders>
          </w:tcPr>
          <w:p w14:paraId="336A2940" w14:textId="77777777" w:rsidR="00BD24A7" w:rsidRPr="0021785A" w:rsidRDefault="00BD24A7" w:rsidP="00BD24A7">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single" w:sz="4" w:space="0" w:color="BCBDBC"/>
            </w:tcBorders>
          </w:tcPr>
          <w:p w14:paraId="0ABD4934" w14:textId="315CF023" w:rsidR="00BD24A7" w:rsidRPr="0021785A" w:rsidRDefault="00BD24A7" w:rsidP="00BD24A7">
            <w:pPr>
              <w:widowControl w:val="0"/>
              <w:autoSpaceDE w:val="0"/>
              <w:autoSpaceDN w:val="0"/>
              <w:adjustRightInd w:val="0"/>
              <w:jc w:val="center"/>
              <w:rPr>
                <w:rFonts w:cs="Segoe UI"/>
                <w:sz w:val="18"/>
                <w:szCs w:val="18"/>
              </w:rPr>
            </w:pPr>
          </w:p>
        </w:tc>
        <w:tc>
          <w:tcPr>
            <w:tcW w:w="1173" w:type="dxa"/>
            <w:tcBorders>
              <w:top w:val="nil"/>
              <w:left w:val="single" w:sz="4" w:space="0" w:color="BCBDBC"/>
              <w:bottom w:val="single" w:sz="4" w:space="0" w:color="BCBDBC"/>
              <w:right w:val="single" w:sz="4" w:space="0" w:color="BCBDBC"/>
            </w:tcBorders>
          </w:tcPr>
          <w:p w14:paraId="1AAE1846" w14:textId="557533CC"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(0.0750)</w:t>
            </w:r>
          </w:p>
        </w:tc>
        <w:tc>
          <w:tcPr>
            <w:tcW w:w="1173" w:type="dxa"/>
            <w:tcBorders>
              <w:top w:val="nil"/>
              <w:left w:val="single" w:sz="4" w:space="0" w:color="BCBDBC"/>
              <w:bottom w:val="single" w:sz="4" w:space="0" w:color="BCBDBC"/>
              <w:right w:val="single" w:sz="4" w:space="0" w:color="BCBDBC"/>
            </w:tcBorders>
          </w:tcPr>
          <w:p w14:paraId="23E5FABE" w14:textId="0C51051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(0.150)</w:t>
            </w:r>
          </w:p>
        </w:tc>
        <w:tc>
          <w:tcPr>
            <w:tcW w:w="1238" w:type="dxa"/>
            <w:tcBorders>
              <w:top w:val="nil"/>
              <w:left w:val="single" w:sz="4" w:space="0" w:color="BCBDBC"/>
              <w:bottom w:val="single" w:sz="4" w:space="0" w:color="BCBDBC"/>
              <w:right w:val="single" w:sz="4" w:space="0" w:color="BCBDBC"/>
            </w:tcBorders>
          </w:tcPr>
          <w:p w14:paraId="48D0FF2C" w14:textId="4DE8C918" w:rsidR="00BD24A7" w:rsidRPr="0021785A" w:rsidRDefault="00BD24A7" w:rsidP="00BD24A7">
            <w:pPr>
              <w:widowControl w:val="0"/>
              <w:autoSpaceDE w:val="0"/>
              <w:autoSpaceDN w:val="0"/>
              <w:adjustRightInd w:val="0"/>
              <w:jc w:val="center"/>
              <w:rPr>
                <w:rFonts w:cs="Segoe UI"/>
                <w:sz w:val="18"/>
                <w:szCs w:val="18"/>
              </w:rPr>
            </w:pPr>
          </w:p>
        </w:tc>
        <w:tc>
          <w:tcPr>
            <w:tcW w:w="1238" w:type="dxa"/>
            <w:tcBorders>
              <w:top w:val="nil"/>
              <w:left w:val="single" w:sz="4" w:space="0" w:color="BCBDBC"/>
              <w:bottom w:val="single" w:sz="4" w:space="0" w:color="BCBDBC"/>
              <w:right w:val="nil"/>
            </w:tcBorders>
          </w:tcPr>
          <w:p w14:paraId="14DA2503" w14:textId="602F9AC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(0.183)</w:t>
            </w:r>
          </w:p>
        </w:tc>
      </w:tr>
      <w:tr w:rsidR="00BD24A7" w:rsidRPr="00731C8B" w14:paraId="1F5E25C3" w14:textId="77777777" w:rsidTr="00760415">
        <w:trPr>
          <w:cantSplit/>
          <w:trHeight w:val="20"/>
        </w:trPr>
        <w:tc>
          <w:tcPr>
            <w:tcW w:w="1945" w:type="dxa"/>
            <w:tcBorders>
              <w:top w:val="single" w:sz="4" w:space="0" w:color="auto"/>
              <w:left w:val="nil"/>
              <w:bottom w:val="single" w:sz="4" w:space="0" w:color="BCBDBC"/>
              <w:right w:val="single" w:sz="4" w:space="0" w:color="BCBDBC"/>
            </w:tcBorders>
          </w:tcPr>
          <w:p w14:paraId="6A4505EC" w14:textId="77777777" w:rsidR="00BD24A7" w:rsidRPr="002D5C47" w:rsidRDefault="00BD24A7" w:rsidP="00BD24A7">
            <w:pPr>
              <w:pStyle w:val="TableRowHeading"/>
              <w:rPr>
                <w:rFonts w:ascii="Times New Roman" w:eastAsia="Calibri" w:hAnsi="Times New Roman"/>
                <w:iCs/>
              </w:rPr>
            </w:pPr>
            <w:proofErr w:type="spellStart"/>
            <w:r w:rsidRPr="002D5C47">
              <w:rPr>
                <w:rFonts w:ascii="Times New Roman" w:eastAsia="Calibri" w:hAnsi="Times New Roman"/>
                <w:iCs/>
              </w:rPr>
              <w:t>Obs</w:t>
            </w:r>
            <w:proofErr w:type="spellEnd"/>
          </w:p>
        </w:tc>
        <w:tc>
          <w:tcPr>
            <w:tcW w:w="1238" w:type="dxa"/>
            <w:tcBorders>
              <w:top w:val="single" w:sz="4" w:space="0" w:color="auto"/>
              <w:left w:val="single" w:sz="4" w:space="0" w:color="BCBDBC"/>
              <w:bottom w:val="single" w:sz="4" w:space="0" w:color="BCBDBC"/>
              <w:right w:val="single" w:sz="4" w:space="0" w:color="BCBDBC"/>
            </w:tcBorders>
          </w:tcPr>
          <w:p w14:paraId="75012784" w14:textId="059DCE36"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3,195</w:t>
            </w:r>
          </w:p>
        </w:tc>
        <w:tc>
          <w:tcPr>
            <w:tcW w:w="1238" w:type="dxa"/>
            <w:tcBorders>
              <w:top w:val="single" w:sz="4" w:space="0" w:color="auto"/>
              <w:left w:val="single" w:sz="4" w:space="0" w:color="BCBDBC"/>
              <w:bottom w:val="single" w:sz="4" w:space="0" w:color="BCBDBC"/>
              <w:right w:val="single" w:sz="4" w:space="0" w:color="BCBDBC"/>
            </w:tcBorders>
          </w:tcPr>
          <w:p w14:paraId="4855EBAA" w14:textId="2416036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4,653</w:t>
            </w:r>
          </w:p>
        </w:tc>
        <w:tc>
          <w:tcPr>
            <w:tcW w:w="1173" w:type="dxa"/>
            <w:tcBorders>
              <w:top w:val="single" w:sz="4" w:space="0" w:color="auto"/>
              <w:left w:val="single" w:sz="4" w:space="0" w:color="BCBDBC"/>
              <w:bottom w:val="single" w:sz="4" w:space="0" w:color="BCBDBC"/>
              <w:right w:val="single" w:sz="4" w:space="0" w:color="BCBDBC"/>
            </w:tcBorders>
          </w:tcPr>
          <w:p w14:paraId="233EA436" w14:textId="5AFCD75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3,195</w:t>
            </w:r>
          </w:p>
        </w:tc>
        <w:tc>
          <w:tcPr>
            <w:tcW w:w="1173" w:type="dxa"/>
            <w:tcBorders>
              <w:top w:val="single" w:sz="4" w:space="0" w:color="auto"/>
              <w:left w:val="single" w:sz="4" w:space="0" w:color="BCBDBC"/>
              <w:bottom w:val="single" w:sz="4" w:space="0" w:color="BCBDBC"/>
              <w:right w:val="single" w:sz="4" w:space="0" w:color="BCBDBC"/>
            </w:tcBorders>
          </w:tcPr>
          <w:p w14:paraId="352E8216" w14:textId="653FB23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4,653</w:t>
            </w:r>
          </w:p>
        </w:tc>
        <w:tc>
          <w:tcPr>
            <w:tcW w:w="1238" w:type="dxa"/>
            <w:tcBorders>
              <w:top w:val="single" w:sz="4" w:space="0" w:color="auto"/>
              <w:left w:val="single" w:sz="4" w:space="0" w:color="BCBDBC"/>
              <w:bottom w:val="single" w:sz="4" w:space="0" w:color="BCBDBC"/>
              <w:right w:val="single" w:sz="4" w:space="0" w:color="BCBDBC"/>
            </w:tcBorders>
          </w:tcPr>
          <w:p w14:paraId="544150FF" w14:textId="377DD910"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6,532</w:t>
            </w:r>
          </w:p>
        </w:tc>
        <w:tc>
          <w:tcPr>
            <w:tcW w:w="1238" w:type="dxa"/>
            <w:tcBorders>
              <w:top w:val="single" w:sz="4" w:space="0" w:color="auto"/>
              <w:left w:val="single" w:sz="4" w:space="0" w:color="BCBDBC"/>
              <w:bottom w:val="single" w:sz="4" w:space="0" w:color="BCBDBC"/>
              <w:right w:val="nil"/>
            </w:tcBorders>
          </w:tcPr>
          <w:p w14:paraId="68CD19A8" w14:textId="12DAB5B1"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6,532</w:t>
            </w:r>
          </w:p>
        </w:tc>
      </w:tr>
      <w:tr w:rsidR="00BD24A7" w:rsidRPr="00731C8B" w14:paraId="20330B43" w14:textId="77777777" w:rsidTr="00760415">
        <w:trPr>
          <w:cantSplit/>
          <w:trHeight w:val="20"/>
        </w:trPr>
        <w:tc>
          <w:tcPr>
            <w:tcW w:w="1945" w:type="dxa"/>
            <w:tcBorders>
              <w:top w:val="single" w:sz="4" w:space="0" w:color="BCBDBC"/>
              <w:left w:val="nil"/>
              <w:bottom w:val="single" w:sz="4" w:space="0" w:color="auto"/>
              <w:right w:val="single" w:sz="4" w:space="0" w:color="BCBDBC"/>
            </w:tcBorders>
          </w:tcPr>
          <w:p w14:paraId="79DB7A9C" w14:textId="77777777" w:rsidR="00BD24A7" w:rsidRPr="002D5C47" w:rsidRDefault="00BD24A7" w:rsidP="00BD24A7">
            <w:pPr>
              <w:pStyle w:val="TableRowHeading"/>
              <w:rPr>
                <w:rFonts w:ascii="Times New Roman" w:eastAsia="Malgun Gothic" w:hAnsi="Times New Roman"/>
                <w:lang w:eastAsia="ko-KR"/>
              </w:rPr>
            </w:pPr>
            <w:r w:rsidRPr="002D5C47">
              <w:rPr>
                <w:rFonts w:ascii="Times New Roman" w:eastAsia="Malgun Gothic" w:hAnsi="Times New Roman"/>
                <w:lang w:eastAsia="ko-KR"/>
              </w:rPr>
              <w:t>R-squared</w:t>
            </w:r>
          </w:p>
        </w:tc>
        <w:tc>
          <w:tcPr>
            <w:tcW w:w="1238" w:type="dxa"/>
            <w:tcBorders>
              <w:top w:val="single" w:sz="4" w:space="0" w:color="BCBDBC"/>
              <w:left w:val="single" w:sz="4" w:space="0" w:color="BCBDBC"/>
              <w:bottom w:val="single" w:sz="4" w:space="0" w:color="auto"/>
              <w:right w:val="single" w:sz="4" w:space="0" w:color="BCBDBC"/>
            </w:tcBorders>
          </w:tcPr>
          <w:p w14:paraId="73FBAB87" w14:textId="47920D32"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0.449</w:t>
            </w:r>
          </w:p>
        </w:tc>
        <w:tc>
          <w:tcPr>
            <w:tcW w:w="1238" w:type="dxa"/>
            <w:tcBorders>
              <w:top w:val="single" w:sz="4" w:space="0" w:color="BCBDBC"/>
              <w:left w:val="single" w:sz="4" w:space="0" w:color="BCBDBC"/>
              <w:bottom w:val="single" w:sz="4" w:space="0" w:color="auto"/>
              <w:right w:val="single" w:sz="4" w:space="0" w:color="BCBDBC"/>
            </w:tcBorders>
          </w:tcPr>
          <w:p w14:paraId="18F059CC" w14:textId="2C2B430A"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0.635</w:t>
            </w:r>
          </w:p>
        </w:tc>
        <w:tc>
          <w:tcPr>
            <w:tcW w:w="1173" w:type="dxa"/>
            <w:tcBorders>
              <w:top w:val="single" w:sz="4" w:space="0" w:color="BCBDBC"/>
              <w:left w:val="single" w:sz="4" w:space="0" w:color="BCBDBC"/>
              <w:bottom w:val="single" w:sz="4" w:space="0" w:color="auto"/>
              <w:right w:val="single" w:sz="4" w:space="0" w:color="BCBDBC"/>
            </w:tcBorders>
          </w:tcPr>
          <w:p w14:paraId="57B1B569" w14:textId="2B75A994"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0.449</w:t>
            </w:r>
          </w:p>
        </w:tc>
        <w:tc>
          <w:tcPr>
            <w:tcW w:w="1173" w:type="dxa"/>
            <w:tcBorders>
              <w:top w:val="single" w:sz="4" w:space="0" w:color="BCBDBC"/>
              <w:left w:val="single" w:sz="4" w:space="0" w:color="BCBDBC"/>
              <w:bottom w:val="single" w:sz="4" w:space="0" w:color="auto"/>
              <w:right w:val="single" w:sz="4" w:space="0" w:color="BCBDBC"/>
            </w:tcBorders>
          </w:tcPr>
          <w:p w14:paraId="57894FDD" w14:textId="3DA6CCA3"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0.626</w:t>
            </w:r>
          </w:p>
        </w:tc>
        <w:tc>
          <w:tcPr>
            <w:tcW w:w="1238" w:type="dxa"/>
            <w:tcBorders>
              <w:top w:val="single" w:sz="4" w:space="0" w:color="BCBDBC"/>
              <w:left w:val="single" w:sz="4" w:space="0" w:color="BCBDBC"/>
              <w:bottom w:val="single" w:sz="4" w:space="0" w:color="auto"/>
              <w:right w:val="single" w:sz="4" w:space="0" w:color="BCBDBC"/>
            </w:tcBorders>
          </w:tcPr>
          <w:p w14:paraId="49C9BF81" w14:textId="1B7E72DD"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0.656</w:t>
            </w:r>
          </w:p>
        </w:tc>
        <w:tc>
          <w:tcPr>
            <w:tcW w:w="1238" w:type="dxa"/>
            <w:tcBorders>
              <w:top w:val="single" w:sz="4" w:space="0" w:color="BCBDBC"/>
              <w:left w:val="single" w:sz="4" w:space="0" w:color="BCBDBC"/>
              <w:bottom w:val="single" w:sz="4" w:space="0" w:color="auto"/>
              <w:right w:val="nil"/>
            </w:tcBorders>
          </w:tcPr>
          <w:p w14:paraId="5BC4991E" w14:textId="48A7DE18" w:rsidR="00BD24A7" w:rsidRPr="0021785A" w:rsidRDefault="00BD24A7" w:rsidP="00BD24A7">
            <w:pPr>
              <w:widowControl w:val="0"/>
              <w:autoSpaceDE w:val="0"/>
              <w:autoSpaceDN w:val="0"/>
              <w:adjustRightInd w:val="0"/>
              <w:jc w:val="center"/>
              <w:rPr>
                <w:rFonts w:cs="Segoe UI"/>
                <w:sz w:val="18"/>
                <w:szCs w:val="18"/>
              </w:rPr>
            </w:pPr>
            <w:r w:rsidRPr="0021785A">
              <w:rPr>
                <w:rFonts w:cs="Segoe UI"/>
                <w:sz w:val="18"/>
                <w:szCs w:val="18"/>
              </w:rPr>
              <w:t>0.651</w:t>
            </w:r>
          </w:p>
        </w:tc>
      </w:tr>
    </w:tbl>
    <w:p w14:paraId="6143CA60" w14:textId="77777777" w:rsidR="007746FB" w:rsidRPr="002D5C47" w:rsidRDefault="007746FB" w:rsidP="007746FB">
      <w:pPr>
        <w:pStyle w:val="TblNote"/>
        <w:spacing w:line="480" w:lineRule="auto"/>
        <w:rPr>
          <w:rFonts w:ascii="Times New Roman" w:eastAsia="Malgun Gothic" w:hAnsi="Times New Roman"/>
          <w:sz w:val="24"/>
          <w:szCs w:val="24"/>
          <w:lang w:eastAsia="ko-KR"/>
        </w:rPr>
      </w:pPr>
      <w:r w:rsidRPr="002D5C47">
        <w:rPr>
          <w:rFonts w:ascii="Times New Roman" w:eastAsia="Malgun Gothic" w:hAnsi="Times New Roman"/>
          <w:sz w:val="24"/>
          <w:szCs w:val="24"/>
          <w:lang w:eastAsia="ko-KR"/>
        </w:rPr>
        <w:t xml:space="preserve">Table </w:t>
      </w:r>
      <w:r w:rsidR="00587073">
        <w:rPr>
          <w:rFonts w:ascii="Times New Roman" w:eastAsia="Malgun Gothic" w:hAnsi="Times New Roman"/>
          <w:sz w:val="24"/>
          <w:szCs w:val="24"/>
          <w:lang w:eastAsia="ko-KR"/>
        </w:rPr>
        <w:t>4</w:t>
      </w:r>
      <w:r w:rsidRPr="002D5C47">
        <w:rPr>
          <w:rFonts w:ascii="Times New Roman" w:eastAsia="Malgun Gothic" w:hAnsi="Times New Roman"/>
          <w:sz w:val="24"/>
          <w:szCs w:val="24"/>
          <w:lang w:eastAsia="ko-KR"/>
        </w:rPr>
        <w:t xml:space="preserve">: </w:t>
      </w:r>
      <w:r w:rsidRPr="002D5C47">
        <w:t xml:space="preserve"> </w:t>
      </w:r>
      <w:r w:rsidRPr="002D5C47">
        <w:rPr>
          <w:rFonts w:ascii="Times New Roman" w:eastAsia="Malgun Gothic" w:hAnsi="Times New Roman"/>
          <w:sz w:val="24"/>
          <w:szCs w:val="24"/>
          <w:lang w:eastAsia="ko-KR"/>
        </w:rPr>
        <w:t>Forecast disagreemen</w:t>
      </w:r>
      <w:r w:rsidR="00587073">
        <w:rPr>
          <w:rFonts w:ascii="Times New Roman" w:eastAsia="Malgun Gothic" w:hAnsi="Times New Roman"/>
          <w:sz w:val="24"/>
          <w:szCs w:val="24"/>
          <w:lang w:eastAsia="ko-KR"/>
        </w:rPr>
        <w:t>t</w:t>
      </w:r>
      <w:r w:rsidR="00A75EE4">
        <w:rPr>
          <w:rFonts w:ascii="Times New Roman" w:eastAsia="Malgun Gothic" w:hAnsi="Times New Roman"/>
          <w:sz w:val="24"/>
          <w:szCs w:val="24"/>
          <w:lang w:eastAsia="ko-KR"/>
        </w:rPr>
        <w:t xml:space="preserve"> and</w:t>
      </w:r>
      <w:r w:rsidR="00587073">
        <w:rPr>
          <w:rFonts w:ascii="Times New Roman" w:eastAsia="Malgun Gothic" w:hAnsi="Times New Roman"/>
          <w:sz w:val="24"/>
          <w:szCs w:val="24"/>
          <w:lang w:eastAsia="ko-KR"/>
        </w:rPr>
        <w:t xml:space="preserve"> </w:t>
      </w:r>
      <w:r w:rsidR="00A75EE4">
        <w:rPr>
          <w:rFonts w:ascii="Times New Roman" w:eastAsia="Malgun Gothic" w:hAnsi="Times New Roman"/>
          <w:sz w:val="24"/>
          <w:szCs w:val="24"/>
          <w:lang w:eastAsia="ko-KR"/>
        </w:rPr>
        <w:t>monetary policy</w:t>
      </w:r>
      <w:r w:rsidR="00587073">
        <w:rPr>
          <w:rFonts w:ascii="Times New Roman" w:eastAsia="Malgun Gothic" w:hAnsi="Times New Roman"/>
          <w:sz w:val="24"/>
          <w:szCs w:val="24"/>
          <w:lang w:eastAsia="ko-KR"/>
        </w:rPr>
        <w:t xml:space="preserve"> </w:t>
      </w:r>
    </w:p>
    <w:p w14:paraId="00B7B832" w14:textId="4CE5357C" w:rsidR="007746FB" w:rsidRDefault="007746FB" w:rsidP="007746FB">
      <w:pPr>
        <w:spacing w:after="160" w:line="480" w:lineRule="auto"/>
        <w:jc w:val="both"/>
      </w:pPr>
      <w:r w:rsidRPr="002D5C47">
        <w:rPr>
          <w:rFonts w:ascii="Times New Roman" w:eastAsia="Malgun Gothic" w:hAnsi="Times New Roman"/>
          <w:i/>
          <w:lang w:eastAsia="ko-KR"/>
        </w:rPr>
        <w:t>Notes:</w:t>
      </w:r>
      <w:r w:rsidRPr="002D5C47">
        <w:rPr>
          <w:rFonts w:ascii="Times New Roman" w:eastAsia="Malgun Gothic" w:hAnsi="Times New Roman"/>
          <w:lang w:eastAsia="ko-KR"/>
        </w:rPr>
        <w:t xml:space="preserve"> Dependent variable is the interquartile range of expected inflation </w:t>
      </w:r>
      <w:r w:rsidR="00F06BCE" w:rsidRPr="00F06BCE">
        <w:rPr>
          <w:rFonts w:ascii="Times New Roman" w:eastAsia="Malgun Gothic" w:hAnsi="Times New Roman"/>
          <w:lang w:eastAsia="ko-KR"/>
        </w:rPr>
        <w:t>over the next 12 months</w:t>
      </w:r>
      <w:r w:rsidRPr="002D5C47">
        <w:rPr>
          <w:rFonts w:ascii="Times New Roman" w:eastAsia="Malgun Gothic" w:hAnsi="Times New Roman"/>
          <w:lang w:eastAsia="ko-KR"/>
        </w:rPr>
        <w:t xml:space="preserve">. Robust standard errors clustered by country and time in parentheses. </w:t>
      </w:r>
      <w:r w:rsidRPr="002F3C86">
        <w:rPr>
          <w:rFonts w:ascii="Times New Roman" w:eastAsia="Malgun Gothic" w:hAnsi="Times New Roman"/>
          <w:lang w:eastAsia="ko-KR"/>
        </w:rPr>
        <w:t>*, ** and *** denote statistical significance at 10%, 5% and 1% level, respectively</w:t>
      </w:r>
      <w:r w:rsidRPr="00383795">
        <w:rPr>
          <w:rFonts w:ascii="Times New Roman" w:eastAsia="Malgun Gothic" w:hAnsi="Times New Roman"/>
          <w:lang w:eastAsia="ko-KR"/>
        </w:rPr>
        <w:t xml:space="preserve">. </w:t>
      </w:r>
      <w:r w:rsidR="00383795" w:rsidRPr="00383795">
        <w:rPr>
          <w:rFonts w:ascii="Times New Roman" w:eastAsia="Malgun Gothic" w:hAnsi="Times New Roman"/>
          <w:lang w:eastAsia="ko-KR"/>
        </w:rPr>
        <w:t>Columns (1)</w:t>
      </w:r>
      <w:r w:rsidR="00383795">
        <w:rPr>
          <w:rFonts w:ascii="Times New Roman" w:eastAsia="Malgun Gothic" w:hAnsi="Times New Roman"/>
          <w:lang w:eastAsia="ko-KR"/>
        </w:rPr>
        <w:t>,</w:t>
      </w:r>
      <w:r w:rsidR="00383795" w:rsidRPr="00383795">
        <w:rPr>
          <w:rFonts w:ascii="Times New Roman" w:eastAsia="Malgun Gothic" w:hAnsi="Times New Roman"/>
          <w:lang w:eastAsia="ko-KR"/>
        </w:rPr>
        <w:t xml:space="preserve"> (</w:t>
      </w:r>
      <w:r w:rsidR="005331C7">
        <w:rPr>
          <w:rFonts w:ascii="Times New Roman" w:eastAsia="Malgun Gothic" w:hAnsi="Times New Roman"/>
          <w:lang w:eastAsia="ko-KR"/>
        </w:rPr>
        <w:t>2</w:t>
      </w:r>
      <w:r w:rsidR="00383795" w:rsidRPr="00383795">
        <w:rPr>
          <w:rFonts w:ascii="Times New Roman" w:eastAsia="Malgun Gothic" w:hAnsi="Times New Roman"/>
          <w:lang w:eastAsia="ko-KR"/>
        </w:rPr>
        <w:t xml:space="preserve">) </w:t>
      </w:r>
      <w:r w:rsidR="00383795">
        <w:rPr>
          <w:rFonts w:ascii="Times New Roman" w:eastAsia="Malgun Gothic" w:hAnsi="Times New Roman"/>
          <w:lang w:eastAsia="ko-KR"/>
        </w:rPr>
        <w:t>and (</w:t>
      </w:r>
      <w:r w:rsidR="005331C7">
        <w:rPr>
          <w:rFonts w:ascii="Times New Roman" w:eastAsia="Malgun Gothic" w:hAnsi="Times New Roman"/>
          <w:lang w:eastAsia="ko-KR"/>
        </w:rPr>
        <w:t>5</w:t>
      </w:r>
      <w:r w:rsidR="00383795">
        <w:rPr>
          <w:rFonts w:ascii="Times New Roman" w:eastAsia="Malgun Gothic" w:hAnsi="Times New Roman"/>
          <w:lang w:eastAsia="ko-KR"/>
        </w:rPr>
        <w:t xml:space="preserve">) </w:t>
      </w:r>
      <w:r w:rsidR="00383795" w:rsidRPr="00383795">
        <w:rPr>
          <w:rFonts w:ascii="Times New Roman" w:eastAsia="Malgun Gothic" w:hAnsi="Times New Roman"/>
          <w:lang w:eastAsia="ko-KR"/>
        </w:rPr>
        <w:t>show results from estimations where the deflation dummy includes all deflations; Columns (</w:t>
      </w:r>
      <w:r w:rsidR="005331C7">
        <w:rPr>
          <w:rFonts w:ascii="Times New Roman" w:eastAsia="Malgun Gothic" w:hAnsi="Times New Roman"/>
          <w:lang w:eastAsia="ko-KR"/>
        </w:rPr>
        <w:t>3</w:t>
      </w:r>
      <w:r w:rsidR="00383795">
        <w:rPr>
          <w:rFonts w:ascii="Times New Roman" w:eastAsia="Malgun Gothic" w:hAnsi="Times New Roman"/>
          <w:lang w:eastAsia="ko-KR"/>
        </w:rPr>
        <w:t>), (</w:t>
      </w:r>
      <w:r w:rsidR="005331C7">
        <w:rPr>
          <w:rFonts w:ascii="Times New Roman" w:eastAsia="Malgun Gothic" w:hAnsi="Times New Roman"/>
          <w:lang w:eastAsia="ko-KR"/>
        </w:rPr>
        <w:t>4</w:t>
      </w:r>
      <w:r w:rsidR="00383795">
        <w:rPr>
          <w:rFonts w:ascii="Times New Roman" w:eastAsia="Malgun Gothic" w:hAnsi="Times New Roman"/>
          <w:lang w:eastAsia="ko-KR"/>
        </w:rPr>
        <w:t>) and</w:t>
      </w:r>
      <w:r w:rsidR="00383795" w:rsidRPr="00383795">
        <w:rPr>
          <w:rFonts w:ascii="Times New Roman" w:eastAsia="Malgun Gothic" w:hAnsi="Times New Roman"/>
          <w:lang w:eastAsia="ko-KR"/>
        </w:rPr>
        <w:t xml:space="preserve"> (</w:t>
      </w:r>
      <w:r w:rsidR="00383795">
        <w:rPr>
          <w:rFonts w:ascii="Times New Roman" w:eastAsia="Malgun Gothic" w:hAnsi="Times New Roman"/>
          <w:lang w:eastAsia="ko-KR"/>
        </w:rPr>
        <w:t>6</w:t>
      </w:r>
      <w:r w:rsidR="00383795" w:rsidRPr="00383795">
        <w:rPr>
          <w:rFonts w:ascii="Times New Roman" w:eastAsia="Malgun Gothic" w:hAnsi="Times New Roman"/>
          <w:lang w:eastAsia="ko-KR"/>
        </w:rPr>
        <w:t xml:space="preserve">) include only persistent deflations. </w:t>
      </w:r>
      <w:r w:rsidRPr="002D5C47">
        <w:rPr>
          <w:rFonts w:ascii="Times New Roman" w:eastAsia="Malgun Gothic" w:hAnsi="Times New Roman"/>
          <w:lang w:eastAsia="ko-KR"/>
        </w:rPr>
        <w:t>All models include country and time fixed effects.</w:t>
      </w:r>
    </w:p>
    <w:p w14:paraId="491E94C5" w14:textId="77777777" w:rsidR="00253418" w:rsidRPr="00731C8B" w:rsidRDefault="00253418" w:rsidP="00E263F3">
      <w:pPr>
        <w:pStyle w:val="Paragraph"/>
        <w:spacing w:line="360" w:lineRule="auto"/>
        <w:ind w:firstLine="0"/>
        <w:rPr>
          <w:rFonts w:ascii="Times New Roman" w:hAnsi="Times New Roman"/>
          <w:sz w:val="24"/>
          <w:szCs w:val="24"/>
        </w:rPr>
      </w:pPr>
      <w:bookmarkStart w:id="0" w:name="_GoBack"/>
      <w:bookmarkEnd w:id="0"/>
    </w:p>
    <w:sectPr w:rsidR="00253418" w:rsidRPr="00731C8B" w:rsidSect="00E263F3">
      <w:headerReference w:type="even" r:id="rId26"/>
      <w:headerReference w:type="default" r:id="rId27"/>
      <w:footerReference w:type="even" r:id="rId28"/>
      <w:footerReference w:type="default" r:id="rId29"/>
      <w:headerReference w:type="first" r:id="rId30"/>
      <w:footerReference w:type="first" r:id="rId31"/>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A6B30" w14:textId="77777777" w:rsidR="00FA384D" w:rsidRDefault="00FA384D">
      <w:r>
        <w:separator/>
      </w:r>
    </w:p>
  </w:endnote>
  <w:endnote w:type="continuationSeparator" w:id="0">
    <w:p w14:paraId="2CD6C636" w14:textId="77777777" w:rsidR="00FA384D" w:rsidRDefault="00FA3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0CE6B" w14:textId="77777777" w:rsidR="00AA128E" w:rsidRDefault="00AA1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930650"/>
      <w:docPartObj>
        <w:docPartGallery w:val="Page Numbers (Bottom of Page)"/>
        <w:docPartUnique/>
      </w:docPartObj>
    </w:sdtPr>
    <w:sdtEndPr>
      <w:rPr>
        <w:noProof/>
      </w:rPr>
    </w:sdtEndPr>
    <w:sdtContent>
      <w:p w14:paraId="74E40A3F" w14:textId="35BB5688" w:rsidR="00FA384D" w:rsidRDefault="00FA384D">
        <w:pPr>
          <w:pStyle w:val="Footer"/>
          <w:jc w:val="center"/>
        </w:pPr>
        <w:r>
          <w:fldChar w:fldCharType="begin"/>
        </w:r>
        <w:r>
          <w:instrText xml:space="preserve"> PAGE   \* MERGEFORMAT </w:instrText>
        </w:r>
        <w:r>
          <w:fldChar w:fldCharType="separate"/>
        </w:r>
        <w:r w:rsidR="00AA128E">
          <w:rPr>
            <w:noProof/>
          </w:rPr>
          <w:t>28</w:t>
        </w:r>
        <w:r>
          <w:rPr>
            <w:noProof/>
          </w:rPr>
          <w:fldChar w:fldCharType="end"/>
        </w:r>
      </w:p>
    </w:sdtContent>
  </w:sdt>
  <w:p w14:paraId="6B6A07D9" w14:textId="77777777" w:rsidR="00FA384D" w:rsidRDefault="00FA384D" w:rsidP="00CD01BB">
    <w:pPr>
      <w:pStyle w:val="Footerempty"/>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D691" w14:textId="77777777" w:rsidR="00AA128E" w:rsidRDefault="00AA1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C008E" w14:textId="77777777" w:rsidR="00FA384D" w:rsidRPr="00611B07" w:rsidRDefault="00FA384D" w:rsidP="00CE7AC3">
      <w:pPr>
        <w:pStyle w:val="Footer"/>
        <w:spacing w:before="120"/>
      </w:pPr>
    </w:p>
  </w:footnote>
  <w:footnote w:type="continuationSeparator" w:id="0">
    <w:p w14:paraId="28E97507" w14:textId="77777777" w:rsidR="00FA384D" w:rsidRPr="00B96BC9" w:rsidRDefault="00FA384D" w:rsidP="00B96BC9">
      <w:pPr>
        <w:pStyle w:val="Footer"/>
        <w:spacing w:before="120"/>
      </w:pPr>
    </w:p>
  </w:footnote>
  <w:footnote w:type="continuationNotice" w:id="1">
    <w:p w14:paraId="4205EE49" w14:textId="77777777" w:rsidR="00FA384D" w:rsidRPr="00382B1F" w:rsidRDefault="00FA384D">
      <w:pPr>
        <w:rPr>
          <w:lang w:val="de-CH"/>
        </w:rPr>
      </w:pPr>
    </w:p>
  </w:footnote>
  <w:footnote w:id="2">
    <w:p w14:paraId="1DB0DE66" w14:textId="65B71432" w:rsidR="00FA384D" w:rsidRPr="00731C8B" w:rsidRDefault="00FA384D" w:rsidP="005D30F9">
      <w:pPr>
        <w:pStyle w:val="FootnoteText"/>
        <w:spacing w:before="0" w:line="480" w:lineRule="auto"/>
        <w:rPr>
          <w:rFonts w:ascii="Times New Roman" w:hAnsi="Times New Roman"/>
          <w:sz w:val="20"/>
        </w:rPr>
      </w:pPr>
      <w:r w:rsidRPr="00731C8B">
        <w:rPr>
          <w:rStyle w:val="FootnoteReference"/>
          <w:rFonts w:ascii="Times New Roman" w:hAnsi="Times New Roman"/>
          <w:sz w:val="20"/>
        </w:rPr>
        <w:footnoteRef/>
      </w:r>
      <w:r w:rsidRPr="00731C8B">
        <w:rPr>
          <w:rFonts w:ascii="Times New Roman" w:hAnsi="Times New Roman"/>
          <w:sz w:val="20"/>
        </w:rPr>
        <w:t xml:space="preserve"> </w:t>
      </w:r>
      <w:r w:rsidRPr="00731C8B">
        <w:rPr>
          <w:rFonts w:ascii="Times New Roman" w:hAnsi="Times New Roman"/>
          <w:sz w:val="20"/>
        </w:rPr>
        <w:tab/>
        <w:t xml:space="preserve">Bank for International Settlements. Corresponding author’s email: </w:t>
      </w:r>
      <w:hyperlink r:id="rId1" w:history="1">
        <w:r>
          <w:rPr>
            <w:rStyle w:val="Hyperlink"/>
            <w:rFonts w:ascii="Times New Roman" w:hAnsi="Times New Roman"/>
            <w:sz w:val="20"/>
          </w:rPr>
          <w:t>ryan</w:t>
        </w:r>
        <w:r w:rsidRPr="00731C8B">
          <w:rPr>
            <w:rStyle w:val="Hyperlink"/>
            <w:rFonts w:ascii="Times New Roman" w:hAnsi="Times New Roman"/>
            <w:sz w:val="20"/>
          </w:rPr>
          <w:t>.</w:t>
        </w:r>
        <w:r>
          <w:rPr>
            <w:rStyle w:val="Hyperlink"/>
            <w:rFonts w:ascii="Times New Roman" w:hAnsi="Times New Roman"/>
            <w:sz w:val="20"/>
          </w:rPr>
          <w:t>banerjee</w:t>
        </w:r>
        <w:r w:rsidRPr="00731C8B">
          <w:rPr>
            <w:rStyle w:val="Hyperlink"/>
            <w:rFonts w:ascii="Times New Roman" w:hAnsi="Times New Roman"/>
            <w:sz w:val="20"/>
          </w:rPr>
          <w:t>@bis.org</w:t>
        </w:r>
      </w:hyperlink>
      <w:r w:rsidRPr="00731C8B">
        <w:rPr>
          <w:rFonts w:ascii="Times New Roman" w:hAnsi="Times New Roman"/>
          <w:sz w:val="20"/>
        </w:rPr>
        <w:t>.</w:t>
      </w:r>
    </w:p>
  </w:footnote>
  <w:footnote w:id="3">
    <w:p w14:paraId="2550AE39" w14:textId="36EBA5AB" w:rsidR="00FA384D" w:rsidRPr="00731C8B" w:rsidRDefault="00FA384D" w:rsidP="008E3F37">
      <w:pPr>
        <w:pStyle w:val="FootnoteText"/>
        <w:spacing w:before="0" w:line="480" w:lineRule="auto"/>
        <w:rPr>
          <w:rFonts w:ascii="Times New Roman" w:hAnsi="Times New Roman"/>
          <w:sz w:val="20"/>
        </w:rPr>
      </w:pPr>
      <w:r w:rsidRPr="00731C8B">
        <w:rPr>
          <w:rStyle w:val="FootnoteReference"/>
          <w:rFonts w:ascii="Times New Roman" w:hAnsi="Times New Roman"/>
          <w:sz w:val="20"/>
        </w:rPr>
        <w:footnoteRef/>
      </w:r>
      <w:r w:rsidRPr="00731C8B">
        <w:rPr>
          <w:rFonts w:ascii="Times New Roman" w:hAnsi="Times New Roman"/>
          <w:sz w:val="20"/>
        </w:rPr>
        <w:t xml:space="preserve"> </w:t>
      </w:r>
      <w:r w:rsidRPr="00731C8B">
        <w:rPr>
          <w:rFonts w:ascii="Times New Roman" w:hAnsi="Times New Roman"/>
          <w:sz w:val="20"/>
        </w:rPr>
        <w:tab/>
        <w:t xml:space="preserve">Bank for International Settlements. </w:t>
      </w:r>
    </w:p>
    <w:p w14:paraId="233878E8" w14:textId="34888270" w:rsidR="00FA384D" w:rsidRPr="003A248A" w:rsidRDefault="00FA384D" w:rsidP="00695AE0">
      <w:pPr>
        <w:pStyle w:val="FootnoteText"/>
        <w:spacing w:line="480" w:lineRule="auto"/>
        <w:rPr>
          <w:lang w:val="en-US"/>
        </w:rPr>
      </w:pPr>
      <w:r w:rsidRPr="00731C8B">
        <w:rPr>
          <w:rFonts w:ascii="Times New Roman" w:hAnsi="Times New Roman"/>
          <w:sz w:val="20"/>
        </w:rPr>
        <w:tab/>
        <w:t xml:space="preserve">* The views expressed in this paper are those of the authors and do not necessarily reflect those of the Bank for International Settlements. Matthias </w:t>
      </w:r>
      <w:proofErr w:type="spellStart"/>
      <w:r w:rsidRPr="00731C8B">
        <w:rPr>
          <w:rFonts w:ascii="Times New Roman" w:hAnsi="Times New Roman"/>
          <w:sz w:val="20"/>
        </w:rPr>
        <w:t>Loerch</w:t>
      </w:r>
      <w:proofErr w:type="spellEnd"/>
      <w:r w:rsidRPr="00731C8B">
        <w:rPr>
          <w:rFonts w:ascii="Times New Roman" w:hAnsi="Times New Roman"/>
          <w:sz w:val="20"/>
        </w:rPr>
        <w:t xml:space="preserve"> provided excellent research assistance. We </w:t>
      </w:r>
      <w:r>
        <w:rPr>
          <w:rFonts w:ascii="Times New Roman" w:hAnsi="Times New Roman"/>
          <w:sz w:val="20"/>
        </w:rPr>
        <w:t>are grateful to the Editor, Sanjay Chugh, and an anonymous referee</w:t>
      </w:r>
      <w:r w:rsidRPr="00731C8B">
        <w:rPr>
          <w:rFonts w:ascii="Times New Roman" w:hAnsi="Times New Roman"/>
          <w:sz w:val="20"/>
        </w:rPr>
        <w:t xml:space="preserve"> </w:t>
      </w:r>
      <w:r>
        <w:rPr>
          <w:rFonts w:ascii="Times New Roman" w:hAnsi="Times New Roman"/>
          <w:sz w:val="20"/>
        </w:rPr>
        <w:t xml:space="preserve">for comments which significantly improved the paper. </w:t>
      </w:r>
      <w:r w:rsidRPr="00731C8B">
        <w:rPr>
          <w:rFonts w:ascii="Times New Roman" w:hAnsi="Times New Roman"/>
          <w:sz w:val="20"/>
        </w:rPr>
        <w:t>We thank participants at the 49</w:t>
      </w:r>
      <w:r w:rsidRPr="00731C8B">
        <w:rPr>
          <w:rFonts w:ascii="Times New Roman" w:hAnsi="Times New Roman"/>
          <w:sz w:val="20"/>
          <w:vertAlign w:val="superscript"/>
        </w:rPr>
        <w:t>th</w:t>
      </w:r>
      <w:r w:rsidRPr="00731C8B">
        <w:rPr>
          <w:rFonts w:ascii="Times New Roman" w:hAnsi="Times New Roman"/>
          <w:sz w:val="20"/>
        </w:rPr>
        <w:t xml:space="preserve"> Money, Macro and Finance Conference, the 2018 Annual Conference</w:t>
      </w:r>
      <w:r>
        <w:rPr>
          <w:rFonts w:ascii="Times New Roman" w:hAnsi="Times New Roman"/>
          <w:sz w:val="20"/>
        </w:rPr>
        <w:t>s</w:t>
      </w:r>
      <w:r w:rsidRPr="00731C8B">
        <w:rPr>
          <w:rFonts w:ascii="Times New Roman" w:hAnsi="Times New Roman"/>
          <w:sz w:val="20"/>
        </w:rPr>
        <w:t xml:space="preserve"> of the Royal Economic Society, </w:t>
      </w:r>
      <w:r>
        <w:rPr>
          <w:rFonts w:ascii="Times New Roman" w:hAnsi="Times New Roman"/>
          <w:sz w:val="20"/>
        </w:rPr>
        <w:t xml:space="preserve">the Western Economic Association, the Central Bank Research Association, </w:t>
      </w:r>
      <w:r w:rsidRPr="00731C8B">
        <w:rPr>
          <w:rFonts w:ascii="Times New Roman" w:hAnsi="Times New Roman"/>
          <w:sz w:val="20"/>
        </w:rPr>
        <w:t xml:space="preserve">and seminars held at the </w:t>
      </w:r>
      <w:r>
        <w:rPr>
          <w:rFonts w:ascii="Times New Roman" w:hAnsi="Times New Roman"/>
          <w:sz w:val="20"/>
        </w:rPr>
        <w:t>BIS, the Hong Kong University of Science and Technology</w:t>
      </w:r>
      <w:r w:rsidRPr="00731C8B">
        <w:rPr>
          <w:rFonts w:ascii="Times New Roman" w:hAnsi="Times New Roman"/>
          <w:sz w:val="20"/>
        </w:rPr>
        <w:t xml:space="preserve"> and the Swiss National Bank.</w:t>
      </w:r>
      <w:r>
        <w:rPr>
          <w:rFonts w:ascii="Times New Roman" w:hAnsi="Times New Roman"/>
          <w:sz w:val="20"/>
        </w:rPr>
        <w:t xml:space="preserve"> We also thank</w:t>
      </w:r>
      <w:r w:rsidRPr="00731C8B">
        <w:rPr>
          <w:rFonts w:ascii="Times New Roman" w:hAnsi="Times New Roman"/>
          <w:sz w:val="20"/>
        </w:rPr>
        <w:t xml:space="preserve"> Marlene </w:t>
      </w:r>
      <w:proofErr w:type="spellStart"/>
      <w:r w:rsidRPr="00731C8B">
        <w:rPr>
          <w:rFonts w:ascii="Times New Roman" w:hAnsi="Times New Roman"/>
          <w:sz w:val="20"/>
        </w:rPr>
        <w:t>Amstad</w:t>
      </w:r>
      <w:proofErr w:type="spellEnd"/>
      <w:r w:rsidRPr="00731C8B">
        <w:rPr>
          <w:rFonts w:ascii="Times New Roman" w:hAnsi="Times New Roman"/>
          <w:sz w:val="20"/>
        </w:rPr>
        <w:t xml:space="preserve">, </w:t>
      </w:r>
      <w:proofErr w:type="spellStart"/>
      <w:r>
        <w:rPr>
          <w:rFonts w:ascii="Times New Roman" w:hAnsi="Times New Roman"/>
          <w:sz w:val="20"/>
        </w:rPr>
        <w:t>Pradyumna</w:t>
      </w:r>
      <w:proofErr w:type="spellEnd"/>
      <w:r>
        <w:rPr>
          <w:rFonts w:ascii="Times New Roman" w:hAnsi="Times New Roman"/>
          <w:sz w:val="20"/>
        </w:rPr>
        <w:t xml:space="preserve"> Dash, </w:t>
      </w:r>
      <w:r w:rsidRPr="00731C8B">
        <w:rPr>
          <w:rFonts w:ascii="Times New Roman" w:hAnsi="Times New Roman"/>
          <w:sz w:val="20"/>
        </w:rPr>
        <w:t xml:space="preserve">Bill English, Andy </w:t>
      </w:r>
      <w:proofErr w:type="spellStart"/>
      <w:r w:rsidRPr="00731C8B">
        <w:rPr>
          <w:rFonts w:ascii="Times New Roman" w:hAnsi="Times New Roman"/>
          <w:sz w:val="20"/>
        </w:rPr>
        <w:t>Filardo</w:t>
      </w:r>
      <w:proofErr w:type="spellEnd"/>
      <w:r w:rsidRPr="00731C8B">
        <w:rPr>
          <w:rFonts w:ascii="Times New Roman" w:hAnsi="Times New Roman"/>
          <w:sz w:val="20"/>
        </w:rPr>
        <w:t xml:space="preserve">, Petra </w:t>
      </w:r>
      <w:proofErr w:type="spellStart"/>
      <w:r w:rsidRPr="00731C8B">
        <w:rPr>
          <w:rFonts w:ascii="Times New Roman" w:hAnsi="Times New Roman"/>
          <w:sz w:val="20"/>
        </w:rPr>
        <w:t>Gerlach</w:t>
      </w:r>
      <w:proofErr w:type="spellEnd"/>
      <w:r w:rsidRPr="00731C8B">
        <w:rPr>
          <w:rFonts w:ascii="Times New Roman" w:hAnsi="Times New Roman"/>
          <w:sz w:val="20"/>
        </w:rPr>
        <w:t xml:space="preserve">, Marco Lombardi, Gianni Lombardo, Roland Meeks, </w:t>
      </w:r>
      <w:proofErr w:type="spellStart"/>
      <w:r w:rsidRPr="00731C8B">
        <w:rPr>
          <w:rFonts w:ascii="Times New Roman" w:hAnsi="Times New Roman"/>
          <w:sz w:val="20"/>
        </w:rPr>
        <w:t>Elmar</w:t>
      </w:r>
      <w:proofErr w:type="spellEnd"/>
      <w:r w:rsidRPr="00731C8B">
        <w:rPr>
          <w:rFonts w:ascii="Times New Roman" w:hAnsi="Times New Roman"/>
          <w:sz w:val="20"/>
        </w:rPr>
        <w:t xml:space="preserve"> </w:t>
      </w:r>
      <w:proofErr w:type="spellStart"/>
      <w:r w:rsidRPr="00731C8B">
        <w:rPr>
          <w:rFonts w:ascii="Times New Roman" w:hAnsi="Times New Roman"/>
          <w:sz w:val="20"/>
        </w:rPr>
        <w:t>Mertens</w:t>
      </w:r>
      <w:proofErr w:type="spellEnd"/>
      <w:r w:rsidRPr="00731C8B">
        <w:rPr>
          <w:rFonts w:ascii="Times New Roman" w:hAnsi="Times New Roman"/>
          <w:sz w:val="20"/>
        </w:rPr>
        <w:t xml:space="preserve">, Dubravko Mihaljek, </w:t>
      </w:r>
      <w:r>
        <w:rPr>
          <w:rFonts w:ascii="Times New Roman" w:hAnsi="Times New Roman"/>
          <w:sz w:val="20"/>
        </w:rPr>
        <w:t xml:space="preserve">Benoit Mojon, </w:t>
      </w:r>
      <w:proofErr w:type="spellStart"/>
      <w:r w:rsidRPr="00731C8B">
        <w:rPr>
          <w:rFonts w:ascii="Times New Roman" w:hAnsi="Times New Roman"/>
          <w:sz w:val="20"/>
        </w:rPr>
        <w:t>Jouchi</w:t>
      </w:r>
      <w:proofErr w:type="spellEnd"/>
      <w:r w:rsidRPr="00731C8B">
        <w:rPr>
          <w:rFonts w:ascii="Times New Roman" w:hAnsi="Times New Roman"/>
          <w:sz w:val="20"/>
        </w:rPr>
        <w:t xml:space="preserve"> Nakajima, </w:t>
      </w:r>
      <w:proofErr w:type="spellStart"/>
      <w:r w:rsidRPr="00731C8B">
        <w:rPr>
          <w:rFonts w:ascii="Times New Roman" w:hAnsi="Times New Roman"/>
          <w:sz w:val="20"/>
        </w:rPr>
        <w:t>Maritta</w:t>
      </w:r>
      <w:proofErr w:type="spellEnd"/>
      <w:r w:rsidRPr="00731C8B">
        <w:rPr>
          <w:rFonts w:ascii="Times New Roman" w:hAnsi="Times New Roman"/>
          <w:sz w:val="20"/>
        </w:rPr>
        <w:t xml:space="preserve"> </w:t>
      </w:r>
      <w:proofErr w:type="spellStart"/>
      <w:r w:rsidRPr="00731C8B">
        <w:rPr>
          <w:rFonts w:ascii="Times New Roman" w:hAnsi="Times New Roman"/>
          <w:sz w:val="20"/>
        </w:rPr>
        <w:t>Paloviita</w:t>
      </w:r>
      <w:proofErr w:type="spellEnd"/>
      <w:r>
        <w:rPr>
          <w:rFonts w:ascii="Times New Roman" w:hAnsi="Times New Roman"/>
          <w:sz w:val="20"/>
        </w:rPr>
        <w:t xml:space="preserve">, </w:t>
      </w:r>
      <w:proofErr w:type="spellStart"/>
      <w:r>
        <w:rPr>
          <w:rFonts w:ascii="Times New Roman" w:hAnsi="Times New Roman"/>
          <w:sz w:val="20"/>
        </w:rPr>
        <w:t>Alon</w:t>
      </w:r>
      <w:proofErr w:type="spellEnd"/>
      <w:r>
        <w:rPr>
          <w:rFonts w:ascii="Times New Roman" w:hAnsi="Times New Roman"/>
          <w:sz w:val="20"/>
        </w:rPr>
        <w:t xml:space="preserve"> </w:t>
      </w:r>
      <w:proofErr w:type="spellStart"/>
      <w:r>
        <w:rPr>
          <w:rFonts w:ascii="Times New Roman" w:hAnsi="Times New Roman"/>
          <w:sz w:val="20"/>
        </w:rPr>
        <w:t>Raviv</w:t>
      </w:r>
      <w:proofErr w:type="spellEnd"/>
      <w:r>
        <w:rPr>
          <w:rFonts w:ascii="Times New Roman" w:hAnsi="Times New Roman"/>
          <w:sz w:val="20"/>
        </w:rPr>
        <w:t xml:space="preserve">, </w:t>
      </w:r>
      <w:proofErr w:type="spellStart"/>
      <w:r>
        <w:rPr>
          <w:rFonts w:ascii="Times New Roman" w:hAnsi="Times New Roman"/>
          <w:sz w:val="20"/>
        </w:rPr>
        <w:t>Katja</w:t>
      </w:r>
      <w:proofErr w:type="spellEnd"/>
      <w:r>
        <w:rPr>
          <w:rFonts w:ascii="Times New Roman" w:hAnsi="Times New Roman"/>
          <w:sz w:val="20"/>
        </w:rPr>
        <w:t xml:space="preserve"> Schmidt </w:t>
      </w:r>
      <w:r w:rsidRPr="00731C8B">
        <w:rPr>
          <w:rFonts w:ascii="Times New Roman" w:hAnsi="Times New Roman"/>
          <w:sz w:val="20"/>
        </w:rPr>
        <w:t xml:space="preserve">and James </w:t>
      </w:r>
      <w:proofErr w:type="spellStart"/>
      <w:r w:rsidRPr="00731C8B">
        <w:rPr>
          <w:rFonts w:ascii="Times New Roman" w:hAnsi="Times New Roman"/>
          <w:sz w:val="20"/>
        </w:rPr>
        <w:t>Yetman</w:t>
      </w:r>
      <w:proofErr w:type="spellEnd"/>
      <w:r w:rsidRPr="00731C8B">
        <w:rPr>
          <w:rFonts w:ascii="Times New Roman" w:hAnsi="Times New Roman"/>
          <w:sz w:val="20"/>
        </w:rPr>
        <w:t xml:space="preserve"> for helpful comments and suggestions.</w:t>
      </w:r>
    </w:p>
  </w:footnote>
  <w:footnote w:id="4">
    <w:p w14:paraId="7DD2EC64" w14:textId="7DF10743" w:rsidR="00FA384D" w:rsidRPr="006B24EA" w:rsidRDefault="00FA384D" w:rsidP="006B24EA">
      <w:pPr>
        <w:pStyle w:val="FootnoteText"/>
        <w:spacing w:line="480" w:lineRule="auto"/>
        <w:rPr>
          <w:rFonts w:ascii="Times New Roman" w:hAnsi="Times New Roman"/>
          <w:sz w:val="20"/>
        </w:rPr>
      </w:pPr>
      <w:r w:rsidRPr="006B24EA">
        <w:rPr>
          <w:rStyle w:val="FootnoteReference"/>
          <w:rFonts w:ascii="Times New Roman" w:hAnsi="Times New Roman"/>
          <w:sz w:val="20"/>
        </w:rPr>
        <w:footnoteRef/>
      </w:r>
      <w:r w:rsidRPr="006B24EA">
        <w:rPr>
          <w:rFonts w:ascii="Times New Roman" w:hAnsi="Times New Roman"/>
          <w:sz w:val="20"/>
        </w:rPr>
        <w:t xml:space="preserve"> </w:t>
      </w:r>
      <w:r>
        <w:rPr>
          <w:rFonts w:ascii="Times New Roman" w:hAnsi="Times New Roman"/>
          <w:sz w:val="20"/>
        </w:rPr>
        <w:tab/>
      </w:r>
      <w:r w:rsidRPr="006B24EA">
        <w:rPr>
          <w:rFonts w:ascii="Times New Roman" w:hAnsi="Times New Roman"/>
          <w:sz w:val="20"/>
        </w:rPr>
        <w:t>This resul</w:t>
      </w:r>
      <w:r>
        <w:rPr>
          <w:rFonts w:ascii="Times New Roman" w:hAnsi="Times New Roman"/>
          <w:sz w:val="20"/>
        </w:rPr>
        <w:t>t differs from the assumption in</w:t>
      </w:r>
      <w:r w:rsidRPr="006B24EA">
        <w:rPr>
          <w:rFonts w:ascii="Times New Roman" w:hAnsi="Times New Roman"/>
          <w:sz w:val="20"/>
        </w:rPr>
        <w:t xml:space="preserve"> </w:t>
      </w:r>
      <w:proofErr w:type="spellStart"/>
      <w:r w:rsidRPr="006B24EA">
        <w:rPr>
          <w:rFonts w:ascii="Times New Roman" w:hAnsi="Times New Roman"/>
          <w:sz w:val="20"/>
        </w:rPr>
        <w:t>Wiederholt</w:t>
      </w:r>
      <w:proofErr w:type="spellEnd"/>
      <w:r w:rsidRPr="006B24EA">
        <w:rPr>
          <w:rFonts w:ascii="Times New Roman" w:hAnsi="Times New Roman"/>
          <w:sz w:val="20"/>
        </w:rPr>
        <w:t xml:space="preserve"> (2015) where forecast </w:t>
      </w:r>
      <w:r>
        <w:rPr>
          <w:rFonts w:ascii="Times New Roman" w:hAnsi="Times New Roman"/>
          <w:sz w:val="20"/>
        </w:rPr>
        <w:t>disagreement stems</w:t>
      </w:r>
      <w:r w:rsidRPr="006B24EA">
        <w:rPr>
          <w:rFonts w:ascii="Times New Roman" w:hAnsi="Times New Roman"/>
          <w:sz w:val="20"/>
        </w:rPr>
        <w:t xml:space="preserve"> from information rigidities</w:t>
      </w:r>
      <w:r>
        <w:rPr>
          <w:rFonts w:ascii="Times New Roman" w:hAnsi="Times New Roman"/>
          <w:sz w:val="20"/>
        </w:rPr>
        <w:t>.</w:t>
      </w:r>
      <w:r w:rsidRPr="006B24EA">
        <w:rPr>
          <w:rFonts w:ascii="Times New Roman" w:hAnsi="Times New Roman"/>
          <w:sz w:val="20"/>
        </w:rPr>
        <w:t xml:space="preserve"> The author shows that heterogeneous inflation expectations render deflation spirals less severe at the ZLB.</w:t>
      </w:r>
    </w:p>
  </w:footnote>
  <w:footnote w:id="5">
    <w:p w14:paraId="16269E20" w14:textId="0A92A60B" w:rsidR="00FA384D" w:rsidRPr="00D95F72" w:rsidRDefault="00FA384D" w:rsidP="006B24EA">
      <w:pPr>
        <w:pStyle w:val="FootnoteText"/>
        <w:spacing w:line="480" w:lineRule="auto"/>
      </w:pPr>
      <w:r>
        <w:rPr>
          <w:rStyle w:val="FootnoteReference"/>
        </w:rPr>
        <w:footnoteRef/>
      </w:r>
      <w:r>
        <w:t xml:space="preserve"> </w:t>
      </w:r>
      <w:r>
        <w:tab/>
      </w:r>
      <w:proofErr w:type="spellStart"/>
      <w:r w:rsidRPr="006B24EA">
        <w:rPr>
          <w:rFonts w:ascii="Times New Roman" w:hAnsi="Times New Roman"/>
          <w:sz w:val="20"/>
        </w:rPr>
        <w:t>Coibion</w:t>
      </w:r>
      <w:proofErr w:type="spellEnd"/>
      <w:r w:rsidRPr="006B24EA">
        <w:rPr>
          <w:rFonts w:ascii="Times New Roman" w:hAnsi="Times New Roman"/>
          <w:sz w:val="20"/>
        </w:rPr>
        <w:t xml:space="preserve"> and </w:t>
      </w:r>
      <w:proofErr w:type="spellStart"/>
      <w:r w:rsidRPr="006B24EA">
        <w:rPr>
          <w:rFonts w:ascii="Times New Roman" w:hAnsi="Times New Roman"/>
          <w:sz w:val="20"/>
        </w:rPr>
        <w:t>Gorodnichenko</w:t>
      </w:r>
      <w:proofErr w:type="spellEnd"/>
      <w:r w:rsidRPr="006B24EA">
        <w:rPr>
          <w:rFonts w:ascii="Times New Roman" w:hAnsi="Times New Roman"/>
          <w:sz w:val="20"/>
        </w:rPr>
        <w:t xml:space="preserve"> (2015) </w:t>
      </w:r>
      <w:r>
        <w:rPr>
          <w:rFonts w:ascii="Times New Roman" w:hAnsi="Times New Roman"/>
          <w:sz w:val="20"/>
        </w:rPr>
        <w:t xml:space="preserve">also document state dependence in expectations formation, as they </w:t>
      </w:r>
      <w:r w:rsidRPr="006B24EA">
        <w:rPr>
          <w:rFonts w:ascii="Times New Roman" w:hAnsi="Times New Roman"/>
          <w:sz w:val="20"/>
        </w:rPr>
        <w:t>find that information rigidities in inflation expectations are lower during periods of greater macroeconomic volatility.</w:t>
      </w:r>
      <w:r>
        <w:rPr>
          <w:rFonts w:ascii="Times New Roman" w:hAnsi="Times New Roman"/>
          <w:sz w:val="20"/>
        </w:rPr>
        <w:t xml:space="preserve"> </w:t>
      </w:r>
    </w:p>
  </w:footnote>
  <w:footnote w:id="6">
    <w:p w14:paraId="1572DB5C" w14:textId="77777777" w:rsidR="00FA384D" w:rsidRPr="006B24EA" w:rsidRDefault="00FA384D" w:rsidP="00166F01">
      <w:pPr>
        <w:pStyle w:val="FootnoteText"/>
        <w:spacing w:line="480" w:lineRule="auto"/>
        <w:rPr>
          <w:sz w:val="20"/>
        </w:rPr>
      </w:pPr>
      <w:r w:rsidRPr="006B24EA">
        <w:rPr>
          <w:rStyle w:val="FootnoteReference"/>
          <w:sz w:val="20"/>
        </w:rPr>
        <w:footnoteRef/>
      </w:r>
      <w:r w:rsidRPr="006B24EA">
        <w:rPr>
          <w:sz w:val="20"/>
        </w:rPr>
        <w:t xml:space="preserve"> </w:t>
      </w:r>
      <w:r w:rsidRPr="006B24EA">
        <w:rPr>
          <w:sz w:val="20"/>
        </w:rPr>
        <w:tab/>
      </w:r>
      <w:r w:rsidRPr="006B24EA">
        <w:rPr>
          <w:rFonts w:ascii="Times New Roman" w:hAnsi="Times New Roman"/>
          <w:sz w:val="20"/>
        </w:rPr>
        <w:t xml:space="preserve">While </w:t>
      </w:r>
      <w:proofErr w:type="spellStart"/>
      <w:r w:rsidRPr="006B24EA">
        <w:rPr>
          <w:rFonts w:ascii="Times New Roman" w:hAnsi="Times New Roman"/>
          <w:sz w:val="20"/>
        </w:rPr>
        <w:t>Siklos</w:t>
      </w:r>
      <w:proofErr w:type="spellEnd"/>
      <w:r w:rsidRPr="006B24EA">
        <w:rPr>
          <w:rFonts w:ascii="Times New Roman" w:hAnsi="Times New Roman"/>
          <w:sz w:val="20"/>
        </w:rPr>
        <w:t xml:space="preserve"> (2013) </w:t>
      </w:r>
      <w:r>
        <w:rPr>
          <w:rFonts w:ascii="Times New Roman" w:hAnsi="Times New Roman"/>
          <w:sz w:val="20"/>
        </w:rPr>
        <w:t>documents</w:t>
      </w:r>
      <w:r w:rsidRPr="006B24EA">
        <w:rPr>
          <w:rFonts w:ascii="Times New Roman" w:hAnsi="Times New Roman"/>
          <w:sz w:val="20"/>
        </w:rPr>
        <w:t xml:space="preserve"> that the adoption of inflation targeting makes little difference in terms of inflation forecast disagreement, we show that pursuing inflation targeting does make a difference during deflations.</w:t>
      </w:r>
    </w:p>
  </w:footnote>
  <w:footnote w:id="7">
    <w:p w14:paraId="53C2DF3C" w14:textId="77777777" w:rsidR="00FA384D" w:rsidRPr="006B24EA" w:rsidRDefault="00FA384D" w:rsidP="00CD67E3">
      <w:pPr>
        <w:pStyle w:val="FootnoteText"/>
        <w:spacing w:line="480" w:lineRule="auto"/>
        <w:rPr>
          <w:rFonts w:ascii="Times New Roman" w:hAnsi="Times New Roman"/>
          <w:sz w:val="20"/>
        </w:rPr>
      </w:pPr>
      <w:r w:rsidRPr="006B24EA">
        <w:rPr>
          <w:rStyle w:val="FootnoteReference"/>
          <w:rFonts w:ascii="Times New Roman" w:hAnsi="Times New Roman"/>
          <w:sz w:val="20"/>
        </w:rPr>
        <w:footnoteRef/>
      </w:r>
      <w:r w:rsidRPr="006B24EA">
        <w:rPr>
          <w:rFonts w:ascii="Times New Roman" w:hAnsi="Times New Roman"/>
          <w:sz w:val="20"/>
        </w:rPr>
        <w:t xml:space="preserve"> </w:t>
      </w:r>
      <w:r w:rsidRPr="006B24EA">
        <w:rPr>
          <w:rFonts w:ascii="Times New Roman" w:hAnsi="Times New Roman"/>
          <w:sz w:val="20"/>
        </w:rPr>
        <w:tab/>
        <w:t xml:space="preserve">Therefore, in addition to differing from the fundamentals-based expectations in Andrade et al (2019), the scenario we consider also differs from that of </w:t>
      </w:r>
      <w:proofErr w:type="spellStart"/>
      <w:r w:rsidRPr="006B24EA">
        <w:rPr>
          <w:rFonts w:ascii="Times New Roman" w:hAnsi="Times New Roman"/>
          <w:sz w:val="20"/>
        </w:rPr>
        <w:t>Busetti</w:t>
      </w:r>
      <w:proofErr w:type="spellEnd"/>
      <w:r w:rsidRPr="006B24EA">
        <w:rPr>
          <w:rFonts w:ascii="Times New Roman" w:hAnsi="Times New Roman"/>
          <w:sz w:val="20"/>
        </w:rPr>
        <w:t xml:space="preserve"> et al (2014). In the latter, expectations become unanchored as a result of a sequence of deflationary shocks and </w:t>
      </w:r>
      <w:r>
        <w:rPr>
          <w:rFonts w:ascii="Times New Roman" w:hAnsi="Times New Roman"/>
          <w:sz w:val="20"/>
        </w:rPr>
        <w:t xml:space="preserve">of </w:t>
      </w:r>
      <w:r w:rsidRPr="006B24EA">
        <w:rPr>
          <w:rFonts w:ascii="Times New Roman" w:hAnsi="Times New Roman"/>
          <w:sz w:val="20"/>
        </w:rPr>
        <w:t>agents gradually learning about the state of the economy.</w:t>
      </w:r>
    </w:p>
  </w:footnote>
  <w:footnote w:id="8">
    <w:p w14:paraId="15A75343" w14:textId="65ACD5B9" w:rsidR="00FA384D" w:rsidRPr="00391903" w:rsidRDefault="00FA384D" w:rsidP="0024466F">
      <w:pPr>
        <w:pStyle w:val="FootnoteText"/>
        <w:spacing w:line="480" w:lineRule="auto"/>
      </w:pPr>
      <w:r w:rsidRPr="00731C8B">
        <w:rPr>
          <w:rStyle w:val="FootnoteReference"/>
          <w:rFonts w:ascii="Times New Roman" w:hAnsi="Times New Roman"/>
          <w:sz w:val="20"/>
        </w:rPr>
        <w:footnoteRef/>
      </w:r>
      <w:r w:rsidRPr="00731C8B">
        <w:rPr>
          <w:rFonts w:ascii="Times New Roman" w:hAnsi="Times New Roman"/>
          <w:sz w:val="20"/>
        </w:rPr>
        <w:t xml:space="preserve"> </w:t>
      </w:r>
      <w:r w:rsidRPr="00731C8B">
        <w:rPr>
          <w:rFonts w:ascii="Times New Roman" w:hAnsi="Times New Roman"/>
          <w:sz w:val="20"/>
        </w:rPr>
        <w:tab/>
        <w:t>Longer-term forecasts, such as inflation over the next five years, are also available from Consensus, but only the mean forecasts are published</w:t>
      </w:r>
      <w:r>
        <w:rPr>
          <w:rFonts w:ascii="Times New Roman" w:hAnsi="Times New Roman"/>
          <w:sz w:val="20"/>
        </w:rPr>
        <w:t>.</w:t>
      </w:r>
    </w:p>
  </w:footnote>
  <w:footnote w:id="9">
    <w:p w14:paraId="6790F54A" w14:textId="50818FC1" w:rsidR="00FA384D" w:rsidRPr="00E3172D" w:rsidRDefault="00FA384D" w:rsidP="00E3172D">
      <w:pPr>
        <w:pStyle w:val="FootnoteText"/>
        <w:spacing w:line="480" w:lineRule="auto"/>
        <w:rPr>
          <w:rFonts w:ascii="Times New Roman" w:hAnsi="Times New Roman"/>
          <w:sz w:val="20"/>
        </w:rPr>
      </w:pPr>
      <w:r w:rsidRPr="00E3172D">
        <w:rPr>
          <w:rStyle w:val="FootnoteReference"/>
          <w:rFonts w:ascii="Times New Roman" w:hAnsi="Times New Roman"/>
          <w:sz w:val="20"/>
        </w:rPr>
        <w:footnoteRef/>
      </w:r>
      <w:r w:rsidRPr="00E3172D">
        <w:rPr>
          <w:rFonts w:ascii="Times New Roman" w:hAnsi="Times New Roman"/>
          <w:sz w:val="20"/>
        </w:rPr>
        <w:t xml:space="preserve"> </w:t>
      </w:r>
      <w:r w:rsidRPr="00E3172D">
        <w:rPr>
          <w:rFonts w:ascii="Times New Roman" w:hAnsi="Times New Roman"/>
          <w:sz w:val="20"/>
        </w:rPr>
        <w:tab/>
        <w:t>We apply the same formula to both the level forecasts and forecast disagreement</w:t>
      </w:r>
      <w:r>
        <w:rPr>
          <w:rFonts w:ascii="Times New Roman" w:hAnsi="Times New Roman"/>
          <w:sz w:val="20"/>
        </w:rPr>
        <w:t xml:space="preserve"> in the paper</w:t>
      </w:r>
      <w:r w:rsidRPr="00E3172D">
        <w:rPr>
          <w:rFonts w:ascii="Times New Roman" w:hAnsi="Times New Roman"/>
          <w:sz w:val="20"/>
        </w:rPr>
        <w:t xml:space="preserve">. </w:t>
      </w:r>
    </w:p>
  </w:footnote>
  <w:footnote w:id="10">
    <w:p w14:paraId="260E7FA0" w14:textId="77777777" w:rsidR="00FA384D" w:rsidRPr="00731C8B" w:rsidRDefault="00FA384D" w:rsidP="00695AE0">
      <w:pPr>
        <w:pStyle w:val="FootnoteText"/>
        <w:spacing w:line="480" w:lineRule="auto"/>
        <w:rPr>
          <w:rFonts w:ascii="Times New Roman" w:hAnsi="Times New Roman"/>
          <w:sz w:val="20"/>
          <w:lang w:val="en-US"/>
        </w:rPr>
      </w:pPr>
      <w:r w:rsidRPr="00731C8B">
        <w:rPr>
          <w:rStyle w:val="FootnoteReference"/>
          <w:rFonts w:ascii="Times New Roman" w:hAnsi="Times New Roman"/>
          <w:sz w:val="20"/>
        </w:rPr>
        <w:footnoteRef/>
      </w:r>
      <w:r w:rsidRPr="00731C8B">
        <w:rPr>
          <w:rFonts w:ascii="Times New Roman" w:hAnsi="Times New Roman"/>
          <w:sz w:val="20"/>
        </w:rPr>
        <w:t xml:space="preserve"> </w:t>
      </w:r>
      <w:r w:rsidRPr="00731C8B">
        <w:rPr>
          <w:rFonts w:ascii="Times New Roman" w:hAnsi="Times New Roman"/>
          <w:sz w:val="20"/>
          <w:lang w:val="en-US"/>
        </w:rPr>
        <w:tab/>
        <w:t>A partial exception is the United Kingdom, where inflation refers to retail price (RPIX) inflation until 2004 and CPI inflation thereafter.</w:t>
      </w:r>
    </w:p>
  </w:footnote>
  <w:footnote w:id="11">
    <w:p w14:paraId="40C7C46B" w14:textId="77777777" w:rsidR="00FA384D" w:rsidRPr="0069534E" w:rsidRDefault="00FA384D">
      <w:pPr>
        <w:pStyle w:val="FootnoteText"/>
        <w:rPr>
          <w:rFonts w:ascii="Times New Roman" w:hAnsi="Times New Roman"/>
          <w:sz w:val="20"/>
        </w:rPr>
      </w:pPr>
      <w:r w:rsidRPr="0069534E">
        <w:rPr>
          <w:rStyle w:val="FootnoteReference"/>
          <w:rFonts w:ascii="Times New Roman" w:hAnsi="Times New Roman"/>
          <w:sz w:val="20"/>
        </w:rPr>
        <w:footnoteRef/>
      </w:r>
      <w:r w:rsidRPr="0069534E">
        <w:rPr>
          <w:rFonts w:ascii="Times New Roman" w:hAnsi="Times New Roman"/>
          <w:sz w:val="20"/>
        </w:rPr>
        <w:t xml:space="preserve"> </w:t>
      </w:r>
      <w:r w:rsidRPr="0069534E">
        <w:rPr>
          <w:rFonts w:ascii="Times New Roman" w:hAnsi="Times New Roman"/>
          <w:sz w:val="20"/>
        </w:rPr>
        <w:tab/>
        <w:t>The</w:t>
      </w:r>
      <w:r>
        <w:rPr>
          <w:rFonts w:ascii="Times New Roman" w:hAnsi="Times New Roman"/>
          <w:sz w:val="20"/>
        </w:rPr>
        <w:t xml:space="preserve"> graph incorporates all twelve </w:t>
      </w:r>
      <w:r w:rsidRPr="0069534E">
        <w:rPr>
          <w:rFonts w:ascii="Times New Roman" w:hAnsi="Times New Roman"/>
          <w:sz w:val="20"/>
        </w:rPr>
        <w:t>forecast horizons related to the next calendar year</w:t>
      </w:r>
      <w:r>
        <w:rPr>
          <w:rFonts w:ascii="Times New Roman" w:hAnsi="Times New Roman"/>
          <w:sz w:val="20"/>
        </w:rPr>
        <w:t xml:space="preserve"> (12 &lt; </w:t>
      </w:r>
      <w:r w:rsidRPr="009D0BF6">
        <w:rPr>
          <w:rFonts w:ascii="Times New Roman" w:hAnsi="Times New Roman"/>
          <w:i/>
          <w:sz w:val="20"/>
        </w:rPr>
        <w:t>h</w:t>
      </w:r>
      <w:r>
        <w:rPr>
          <w:rFonts w:ascii="Times New Roman" w:hAnsi="Times New Roman"/>
          <w:sz w:val="20"/>
        </w:rPr>
        <w:t xml:space="preserve"> </w:t>
      </w:r>
      <w:proofErr w:type="gramStart"/>
      <w:r>
        <w:rPr>
          <w:rFonts w:ascii="Times New Roman" w:hAnsi="Times New Roman"/>
          <w:sz w:val="20"/>
        </w:rPr>
        <w:t>≤  24</w:t>
      </w:r>
      <w:proofErr w:type="gramEnd"/>
      <w:r>
        <w:rPr>
          <w:rFonts w:ascii="Times New Roman" w:hAnsi="Times New Roman"/>
          <w:sz w:val="20"/>
        </w:rPr>
        <w:t>).</w:t>
      </w:r>
    </w:p>
  </w:footnote>
  <w:footnote w:id="12">
    <w:p w14:paraId="5DED589A" w14:textId="47081B89" w:rsidR="00FA384D" w:rsidRPr="001E7C47" w:rsidRDefault="00FA384D" w:rsidP="006B24EA">
      <w:pPr>
        <w:pStyle w:val="FootnoteText"/>
        <w:spacing w:line="480" w:lineRule="auto"/>
      </w:pPr>
      <w:r>
        <w:rPr>
          <w:rStyle w:val="FootnoteReference"/>
        </w:rPr>
        <w:footnoteRef/>
      </w:r>
      <w:r>
        <w:t xml:space="preserve"> </w:t>
      </w:r>
      <w:r>
        <w:tab/>
      </w:r>
      <w:r>
        <w:rPr>
          <w:rFonts w:ascii="Times New Roman" w:hAnsi="Times New Roman"/>
          <w:sz w:val="20"/>
        </w:rPr>
        <w:t>We show in an Online A</w:t>
      </w:r>
      <w:r w:rsidRPr="006B24EA">
        <w:rPr>
          <w:rFonts w:ascii="Times New Roman" w:hAnsi="Times New Roman"/>
          <w:sz w:val="20"/>
        </w:rPr>
        <w:t xml:space="preserve">ppendix </w:t>
      </w:r>
      <w:r>
        <w:rPr>
          <w:rFonts w:ascii="Times New Roman" w:hAnsi="Times New Roman"/>
          <w:sz w:val="20"/>
        </w:rPr>
        <w:t xml:space="preserve">table </w:t>
      </w:r>
      <w:r w:rsidRPr="006B24EA">
        <w:rPr>
          <w:rFonts w:ascii="Times New Roman" w:hAnsi="Times New Roman"/>
          <w:sz w:val="20"/>
        </w:rPr>
        <w:t>that the results are also robust to excluding the period of the Great Financial Crisis (GFC; September 2008–December 2009).</w:t>
      </w:r>
      <w:r>
        <w:rPr>
          <w:rFonts w:ascii="Times New Roman" w:hAnsi="Times New Roman"/>
          <w:sz w:val="20"/>
        </w:rPr>
        <w:t xml:space="preserve"> In the Online Appendix, we also present results using a one-sided output gap, as well as shadow policy rates from </w:t>
      </w:r>
      <w:proofErr w:type="spellStart"/>
      <w:r>
        <w:rPr>
          <w:rFonts w:ascii="Times New Roman" w:hAnsi="Times New Roman"/>
          <w:sz w:val="20"/>
        </w:rPr>
        <w:t>Krippner</w:t>
      </w:r>
      <w:proofErr w:type="spellEnd"/>
      <w:r>
        <w:rPr>
          <w:rFonts w:ascii="Times New Roman" w:hAnsi="Times New Roman"/>
          <w:sz w:val="20"/>
        </w:rPr>
        <w:t xml:space="preserve"> (2016) for those economies that carried out unconventional monetary policies during part of the sample period and where such data are available.</w:t>
      </w:r>
    </w:p>
  </w:footnote>
  <w:footnote w:id="13">
    <w:p w14:paraId="414A978C" w14:textId="77777777" w:rsidR="00FA384D" w:rsidRPr="00262708" w:rsidRDefault="00FA384D" w:rsidP="00996085">
      <w:pPr>
        <w:pStyle w:val="FootnoteText"/>
      </w:pPr>
      <w:r w:rsidRPr="006B24EA">
        <w:rPr>
          <w:rStyle w:val="FootnoteReference"/>
          <w:rFonts w:ascii="Times New Roman" w:hAnsi="Times New Roman"/>
          <w:sz w:val="20"/>
        </w:rPr>
        <w:footnoteRef/>
      </w:r>
      <w:r w:rsidRPr="006B24EA">
        <w:rPr>
          <w:rFonts w:ascii="Times New Roman" w:hAnsi="Times New Roman"/>
          <w:sz w:val="20"/>
        </w:rPr>
        <w:t xml:space="preserve"> </w:t>
      </w:r>
      <w:r w:rsidRPr="006B24EA">
        <w:rPr>
          <w:rFonts w:ascii="Times New Roman" w:hAnsi="Times New Roman"/>
          <w:sz w:val="20"/>
        </w:rPr>
        <w:tab/>
        <w:t>We are grateful to the anonymous referee for making this point.</w:t>
      </w:r>
    </w:p>
  </w:footnote>
  <w:footnote w:id="14">
    <w:p w14:paraId="643ABD44" w14:textId="77777777" w:rsidR="00FA384D" w:rsidRPr="00AC3B41" w:rsidRDefault="00FA384D" w:rsidP="00315EAD">
      <w:pPr>
        <w:pStyle w:val="FootnoteText"/>
        <w:spacing w:line="480" w:lineRule="auto"/>
        <w:rPr>
          <w:rFonts w:ascii="Times New Roman" w:hAnsi="Times New Roman"/>
          <w:sz w:val="20"/>
        </w:rPr>
      </w:pPr>
      <w:r w:rsidRPr="00AC3B41">
        <w:rPr>
          <w:rStyle w:val="FootnoteReference"/>
          <w:rFonts w:ascii="Times New Roman" w:hAnsi="Times New Roman"/>
          <w:sz w:val="20"/>
        </w:rPr>
        <w:footnoteRef/>
      </w:r>
      <w:r w:rsidRPr="00AC3B41">
        <w:rPr>
          <w:rFonts w:ascii="Times New Roman" w:hAnsi="Times New Roman"/>
          <w:sz w:val="20"/>
        </w:rPr>
        <w:t xml:space="preserve"> </w:t>
      </w:r>
      <w:r w:rsidRPr="00AC3B41">
        <w:rPr>
          <w:rFonts w:ascii="Times New Roman" w:hAnsi="Times New Roman"/>
          <w:sz w:val="20"/>
        </w:rPr>
        <w:tab/>
      </w:r>
      <w:r>
        <w:rPr>
          <w:rFonts w:ascii="Times New Roman" w:hAnsi="Times New Roman"/>
          <w:sz w:val="20"/>
        </w:rPr>
        <w:t>W</w:t>
      </w:r>
      <w:r w:rsidRPr="00AC3B41">
        <w:rPr>
          <w:rFonts w:ascii="Times New Roman" w:hAnsi="Times New Roman"/>
          <w:sz w:val="20"/>
        </w:rPr>
        <w:t>hen we limit the estimation to cover only those periods when interest rates are away from the ZLB, we obtain an identical result: deflations are associated with greater forecast disagreement only in non-inflation targeting economies.</w:t>
      </w:r>
      <w:r>
        <w:rPr>
          <w:rFonts w:ascii="Times New Roman" w:hAnsi="Times New Roman"/>
          <w:sz w:val="20"/>
        </w:rPr>
        <w:t xml:space="preserve"> These results are available upon request.</w:t>
      </w:r>
    </w:p>
  </w:footnote>
  <w:footnote w:id="15">
    <w:p w14:paraId="00DF4864" w14:textId="77777777" w:rsidR="00FA384D" w:rsidRPr="00EA2ED2" w:rsidRDefault="00FA384D" w:rsidP="00862DFB">
      <w:pPr>
        <w:pStyle w:val="FootnoteText"/>
        <w:spacing w:line="480" w:lineRule="auto"/>
        <w:ind w:left="0" w:firstLine="0"/>
        <w:rPr>
          <w:rFonts w:ascii="Times New Roman" w:hAnsi="Times New Roman"/>
          <w:sz w:val="20"/>
        </w:rPr>
      </w:pPr>
      <w:r w:rsidRPr="00EA2ED2">
        <w:rPr>
          <w:rStyle w:val="FootnoteReference"/>
          <w:rFonts w:ascii="Times New Roman" w:hAnsi="Times New Roman"/>
          <w:sz w:val="20"/>
        </w:rPr>
        <w:footnoteRef/>
      </w:r>
      <w:r w:rsidRPr="00EA2ED2">
        <w:rPr>
          <w:rFonts w:ascii="Times New Roman" w:hAnsi="Times New Roman"/>
          <w:sz w:val="20"/>
        </w:rPr>
        <w:t xml:space="preserve"> </w:t>
      </w:r>
      <w:r w:rsidRPr="00EA2ED2">
        <w:rPr>
          <w:rFonts w:ascii="Times New Roman" w:hAnsi="Times New Roman"/>
          <w:sz w:val="20"/>
        </w:rPr>
        <w:tab/>
        <w:t>In this case, the variables are ordered as: output gap, inflation, policy interest rate, left-hand tail of the inflation forecast distribution, median inflation expectations, GDP growth forecast disagreement.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428" w:type="dxa"/>
      <w:tblInd w:w="8" w:type="dxa"/>
      <w:tblLayout w:type="fixed"/>
      <w:tblCellMar>
        <w:left w:w="0" w:type="dxa"/>
        <w:right w:w="0" w:type="dxa"/>
      </w:tblCellMar>
      <w:tblLook w:val="0000" w:firstRow="0" w:lastRow="0" w:firstColumn="0" w:lastColumn="0" w:noHBand="0" w:noVBand="0"/>
    </w:tblPr>
    <w:tblGrid>
      <w:gridCol w:w="2037"/>
      <w:gridCol w:w="5391"/>
    </w:tblGrid>
    <w:tr w:rsidR="00FA384D" w14:paraId="71CF3166" w14:textId="77777777" w:rsidTr="007F4F35">
      <w:trPr>
        <w:cantSplit/>
        <w:trHeight w:hRule="exact" w:val="669"/>
      </w:trPr>
      <w:tc>
        <w:tcPr>
          <w:tcW w:w="2268" w:type="dxa"/>
          <w:vAlign w:val="bottom"/>
        </w:tcPr>
        <w:p w14:paraId="07E88FE0" w14:textId="77777777" w:rsidR="00FA384D" w:rsidRDefault="00FA384D" w:rsidP="007F4F35">
          <w:pPr>
            <w:pStyle w:val="ConfidentialityEven"/>
            <w:tabs>
              <w:tab w:val="left" w:pos="1113"/>
              <w:tab w:val="right" w:pos="7439"/>
            </w:tabs>
          </w:pPr>
        </w:p>
      </w:tc>
      <w:tc>
        <w:tcPr>
          <w:tcW w:w="6008" w:type="dxa"/>
          <w:vAlign w:val="bottom"/>
        </w:tcPr>
        <w:p w14:paraId="7FE43B98" w14:textId="77777777" w:rsidR="00FA384D" w:rsidRDefault="00FA384D" w:rsidP="007F4F35">
          <w:pPr>
            <w:pStyle w:val="ConfidentialityEven"/>
            <w:tabs>
              <w:tab w:val="right" w:pos="7439"/>
            </w:tabs>
            <w:jc w:val="right"/>
          </w:pPr>
        </w:p>
      </w:tc>
    </w:tr>
  </w:tbl>
  <w:p w14:paraId="34A70792" w14:textId="77777777" w:rsidR="00FA384D" w:rsidRDefault="00FA384D" w:rsidP="00B93A2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428" w:type="dxa"/>
      <w:tblInd w:w="24" w:type="dxa"/>
      <w:tblLayout w:type="fixed"/>
      <w:tblCellMar>
        <w:left w:w="0" w:type="dxa"/>
        <w:right w:w="0" w:type="dxa"/>
      </w:tblCellMar>
      <w:tblLook w:val="0000" w:firstRow="0" w:lastRow="0" w:firstColumn="0" w:lastColumn="0" w:noHBand="0" w:noVBand="0"/>
    </w:tblPr>
    <w:tblGrid>
      <w:gridCol w:w="5313"/>
      <w:gridCol w:w="2115"/>
    </w:tblGrid>
    <w:tr w:rsidR="00FA384D" w14:paraId="60197489" w14:textId="77777777" w:rsidTr="007F4F35">
      <w:trPr>
        <w:cantSplit/>
        <w:trHeight w:hRule="exact" w:val="669"/>
      </w:trPr>
      <w:tc>
        <w:tcPr>
          <w:tcW w:w="5698" w:type="dxa"/>
          <w:vAlign w:val="bottom"/>
        </w:tcPr>
        <w:p w14:paraId="7FCB8DFE" w14:textId="5A94E5CF" w:rsidR="00FA384D" w:rsidRDefault="00831808" w:rsidP="007F4F35">
          <w:pPr>
            <w:pStyle w:val="ConfidentialityOdd"/>
            <w:jc w:val="left"/>
          </w:pPr>
          <w:r>
            <w:t>Manuscript No: JMCB #18-566</w:t>
          </w:r>
        </w:p>
      </w:tc>
      <w:tc>
        <w:tcPr>
          <w:tcW w:w="2268" w:type="dxa"/>
          <w:vAlign w:val="bottom"/>
        </w:tcPr>
        <w:p w14:paraId="3F133D0A" w14:textId="77777777" w:rsidR="00FA384D" w:rsidRDefault="00FA384D" w:rsidP="007F4F35">
          <w:pPr>
            <w:pStyle w:val="ConfidentialityOdd"/>
          </w:pPr>
        </w:p>
      </w:tc>
    </w:tr>
  </w:tbl>
  <w:p w14:paraId="4B9885AF" w14:textId="77777777" w:rsidR="00FA384D" w:rsidRPr="00570E38" w:rsidRDefault="00FA384D" w:rsidP="00570E3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465F7" w14:textId="77777777" w:rsidR="00AA128E" w:rsidRDefault="00AA12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0C2872"/>
    <w:lvl w:ilvl="0">
      <w:start w:val="1"/>
      <w:numFmt w:val="decimal"/>
      <w:lvlText w:val="%1."/>
      <w:lvlJc w:val="left"/>
      <w:pPr>
        <w:tabs>
          <w:tab w:val="num" w:pos="1492"/>
        </w:tabs>
        <w:ind w:left="1492" w:hanging="360"/>
      </w:pPr>
      <w:rPr>
        <w:rFonts w:cs="Times New Roman"/>
      </w:rPr>
    </w:lvl>
  </w:abstractNum>
  <w:abstractNum w:abstractNumId="1" w15:restartNumberingAfterBreak="0">
    <w:nsid w:val="010D753F"/>
    <w:multiLevelType w:val="hybridMultilevel"/>
    <w:tmpl w:val="1BE6ADC0"/>
    <w:lvl w:ilvl="0" w:tplc="EDC40272">
      <w:start w:val="1"/>
      <w:numFmt w:val="upperRoman"/>
      <w:lvlText w:val="%1&gt;"/>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C50B40"/>
    <w:multiLevelType w:val="hybridMultilevel"/>
    <w:tmpl w:val="3ED8578C"/>
    <w:lvl w:ilvl="0" w:tplc="3F7E403A">
      <w:start w:val="1"/>
      <w:numFmt w:val="bullet"/>
      <w:pStyle w:val="Bullethyphen"/>
      <w:lvlText w:val=""/>
      <w:lvlJc w:val="left"/>
      <w:pPr>
        <w:ind w:left="36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0F2D93"/>
    <w:multiLevelType w:val="hybridMultilevel"/>
    <w:tmpl w:val="9BE88238"/>
    <w:lvl w:ilvl="0" w:tplc="3C60C03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9A29B7"/>
    <w:multiLevelType w:val="hybridMultilevel"/>
    <w:tmpl w:val="5622A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9434C1"/>
    <w:multiLevelType w:val="hybridMultilevel"/>
    <w:tmpl w:val="06205D7A"/>
    <w:lvl w:ilvl="0" w:tplc="CE82D40A">
      <w:start w:val="5"/>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6D3058"/>
    <w:multiLevelType w:val="multilevel"/>
    <w:tmpl w:val="F2CC1226"/>
    <w:lvl w:ilvl="0">
      <w:start w:val="1"/>
      <w:numFmt w:val="decimal"/>
      <w:lvlText w:val="%1"/>
      <w:lvlJc w:val="left"/>
      <w:pPr>
        <w:tabs>
          <w:tab w:val="num" w:pos="851"/>
        </w:tabs>
        <w:ind w:left="851" w:hanging="851"/>
      </w:pPr>
      <w:rPr>
        <w:rFonts w:ascii="Arial" w:hAnsi="Arial" w:cs="Times New Roman" w:hint="default"/>
      </w:rPr>
    </w:lvl>
    <w:lvl w:ilvl="1">
      <w:start w:val="1"/>
      <w:numFmt w:val="decimal"/>
      <w:isLgl/>
      <w:lvlText w:val="%1.%2"/>
      <w:lvlJc w:val="left"/>
      <w:pPr>
        <w:tabs>
          <w:tab w:val="num" w:pos="851"/>
        </w:tabs>
        <w:ind w:left="851" w:hanging="851"/>
      </w:pPr>
      <w:rPr>
        <w:rFonts w:ascii="Arial" w:hAnsi="Arial" w:cs="Times New Roman" w:hint="default"/>
      </w:rPr>
    </w:lvl>
    <w:lvl w:ilvl="2">
      <w:start w:val="1"/>
      <w:numFmt w:val="decimal"/>
      <w:isLgl/>
      <w:lvlText w:val="%1.%2.%3"/>
      <w:lvlJc w:val="left"/>
      <w:pPr>
        <w:tabs>
          <w:tab w:val="num" w:pos="851"/>
        </w:tabs>
        <w:ind w:left="851" w:hanging="851"/>
      </w:pPr>
      <w:rPr>
        <w:rFonts w:ascii="Arial" w:hAnsi="Arial" w:cs="Times New Roman" w:hint="default"/>
      </w:rPr>
    </w:lvl>
    <w:lvl w:ilvl="3">
      <w:start w:val="1"/>
      <w:numFmt w:val="decimal"/>
      <w:isLgl/>
      <w:lvlText w:val="%1.%2.%3.%4"/>
      <w:lvlJc w:val="left"/>
      <w:pPr>
        <w:tabs>
          <w:tab w:val="num" w:pos="851"/>
        </w:tabs>
        <w:ind w:left="851" w:hanging="851"/>
      </w:pPr>
      <w:rPr>
        <w:rFonts w:ascii="Arial" w:hAnsi="Arial" w:cs="Times New Roman" w:hint="default"/>
      </w:rPr>
    </w:lvl>
    <w:lvl w:ilvl="4">
      <w:start w:val="1"/>
      <w:numFmt w:val="decimal"/>
      <w:isLgl/>
      <w:lvlText w:val="%1.%2.%3.%4.%5"/>
      <w:lvlJc w:val="left"/>
      <w:pPr>
        <w:tabs>
          <w:tab w:val="num" w:pos="1080"/>
        </w:tabs>
        <w:ind w:left="851" w:hanging="851"/>
      </w:pPr>
      <w:rPr>
        <w:rFonts w:ascii="Arial" w:hAnsi="Arial" w:cs="Times New Roman" w:hint="default"/>
      </w:rPr>
    </w:lvl>
    <w:lvl w:ilvl="5">
      <w:start w:val="1"/>
      <w:numFmt w:val="decimal"/>
      <w:isLgl/>
      <w:lvlText w:val="%1.%2.%3.%4.%5.%6"/>
      <w:lvlJc w:val="left"/>
      <w:pPr>
        <w:tabs>
          <w:tab w:val="num" w:pos="1440"/>
        </w:tabs>
        <w:ind w:left="851" w:hanging="851"/>
      </w:pPr>
      <w:rPr>
        <w:rFonts w:ascii="Arial" w:hAnsi="Arial" w:cs="Times New Roman" w:hint="default"/>
      </w:rPr>
    </w:lvl>
    <w:lvl w:ilvl="6">
      <w:start w:val="1"/>
      <w:numFmt w:val="decimal"/>
      <w:isLgl/>
      <w:lvlText w:val="%1.%2.%3.%4.%5.%6.%7"/>
      <w:lvlJc w:val="left"/>
      <w:pPr>
        <w:tabs>
          <w:tab w:val="num" w:pos="1440"/>
        </w:tabs>
        <w:ind w:left="851" w:hanging="851"/>
      </w:pPr>
      <w:rPr>
        <w:rFonts w:ascii="Arial" w:hAnsi="Arial" w:cs="Times New Roman" w:hint="default"/>
      </w:rPr>
    </w:lvl>
    <w:lvl w:ilvl="7">
      <w:start w:val="1"/>
      <w:numFmt w:val="decimal"/>
      <w:isLgl/>
      <w:lvlText w:val="%1.%2.%3.%4.%5.%6.%7.%8"/>
      <w:lvlJc w:val="left"/>
      <w:pPr>
        <w:tabs>
          <w:tab w:val="num" w:pos="1800"/>
        </w:tabs>
        <w:ind w:left="851" w:hanging="851"/>
      </w:pPr>
      <w:rPr>
        <w:rFonts w:ascii="Arial" w:hAnsi="Arial" w:cs="Times New Roman" w:hint="default"/>
      </w:rPr>
    </w:lvl>
    <w:lvl w:ilvl="8">
      <w:start w:val="1"/>
      <w:numFmt w:val="decimal"/>
      <w:isLgl/>
      <w:lvlText w:val="%1.%2.%3.%4.%5.%6.%7.%8.%9"/>
      <w:lvlJc w:val="left"/>
      <w:pPr>
        <w:tabs>
          <w:tab w:val="num" w:pos="1800"/>
        </w:tabs>
        <w:ind w:left="851" w:hanging="851"/>
      </w:pPr>
      <w:rPr>
        <w:rFonts w:ascii="Arial" w:hAnsi="Arial" w:cs="Times New Roman" w:hint="default"/>
      </w:rPr>
    </w:lvl>
  </w:abstractNum>
  <w:abstractNum w:abstractNumId="7" w15:restartNumberingAfterBreak="0">
    <w:nsid w:val="25FE3948"/>
    <w:multiLevelType w:val="multilevel"/>
    <w:tmpl w:val="86E69B40"/>
    <w:lvl w:ilvl="0">
      <w:start w:val="1"/>
      <w:numFmt w:val="decimal"/>
      <w:isLgl/>
      <w:lvlText w:val="%1"/>
      <w:lvlJc w:val="left"/>
      <w:pPr>
        <w:tabs>
          <w:tab w:val="num" w:pos="851"/>
        </w:tabs>
        <w:ind w:left="851" w:hanging="851"/>
      </w:pPr>
      <w:rPr>
        <w:rFonts w:cs="Times New Roman"/>
      </w:rPr>
    </w:lvl>
    <w:lvl w:ilvl="1">
      <w:start w:val="1"/>
      <w:numFmt w:val="decimal"/>
      <w:isLgl/>
      <w:lvlText w:val="%1.%2"/>
      <w:lvlJc w:val="left"/>
      <w:pPr>
        <w:tabs>
          <w:tab w:val="num" w:pos="851"/>
        </w:tabs>
        <w:ind w:left="851" w:hanging="851"/>
      </w:pPr>
      <w:rPr>
        <w:rFonts w:cs="Times New Roman"/>
      </w:rPr>
    </w:lvl>
    <w:lvl w:ilvl="2">
      <w:start w:val="1"/>
      <w:numFmt w:val="decimal"/>
      <w:isLgl/>
      <w:lvlText w:val="%1.%2.%3"/>
      <w:lvlJc w:val="left"/>
      <w:pPr>
        <w:tabs>
          <w:tab w:val="num" w:pos="851"/>
        </w:tabs>
        <w:ind w:left="851" w:hanging="851"/>
      </w:pPr>
      <w:rPr>
        <w:rFonts w:cs="Times New Roman"/>
      </w:rPr>
    </w:lvl>
    <w:lvl w:ilvl="3">
      <w:start w:val="1"/>
      <w:numFmt w:val="decimal"/>
      <w:isLgl/>
      <w:lvlText w:val="%1.%2.%3.%4"/>
      <w:lvlJc w:val="left"/>
      <w:pPr>
        <w:tabs>
          <w:tab w:val="num" w:pos="851"/>
        </w:tabs>
        <w:ind w:left="851" w:hanging="851"/>
      </w:pPr>
      <w:rPr>
        <w:rFonts w:cs="Times New Roman"/>
      </w:rPr>
    </w:lvl>
    <w:lvl w:ilvl="4">
      <w:start w:val="1"/>
      <w:numFmt w:val="decimal"/>
      <w:lvlText w:val="%1.%2.%3.%4.%5"/>
      <w:lvlJc w:val="right"/>
      <w:pPr>
        <w:tabs>
          <w:tab w:val="num" w:pos="1008"/>
        </w:tabs>
        <w:ind w:left="1008" w:hanging="720"/>
      </w:pPr>
      <w:rPr>
        <w:rFonts w:cs="Times New Roman"/>
      </w:rPr>
    </w:lvl>
    <w:lvl w:ilvl="5">
      <w:start w:val="1"/>
      <w:numFmt w:val="decimal"/>
      <w:lvlText w:val="%1.%2.%3.%4.%5.%6"/>
      <w:lvlJc w:val="right"/>
      <w:pPr>
        <w:tabs>
          <w:tab w:val="num" w:pos="1152"/>
        </w:tabs>
        <w:ind w:left="1152" w:hanging="864"/>
      </w:pPr>
      <w:rPr>
        <w:rFonts w:cs="Times New Roman"/>
      </w:rPr>
    </w:lvl>
    <w:lvl w:ilvl="6">
      <w:start w:val="1"/>
      <w:numFmt w:val="decimal"/>
      <w:lvlText w:val="%1.%2.%3.%4.%5.%6.%7"/>
      <w:lvlJc w:val="right"/>
      <w:pPr>
        <w:tabs>
          <w:tab w:val="num" w:pos="1296"/>
        </w:tabs>
        <w:ind w:left="1296" w:hanging="1008"/>
      </w:pPr>
      <w:rPr>
        <w:rFonts w:cs="Times New Roman"/>
      </w:rPr>
    </w:lvl>
    <w:lvl w:ilvl="7">
      <w:start w:val="1"/>
      <w:numFmt w:val="decimal"/>
      <w:lvlText w:val="%1.%2.%3.%4.%5.%6.%7.%8"/>
      <w:lvlJc w:val="right"/>
      <w:pPr>
        <w:tabs>
          <w:tab w:val="num" w:pos="1440"/>
        </w:tabs>
        <w:ind w:left="1440" w:hanging="1152"/>
      </w:pPr>
      <w:rPr>
        <w:rFonts w:cs="Times New Roman"/>
      </w:rPr>
    </w:lvl>
    <w:lvl w:ilvl="8">
      <w:start w:val="1"/>
      <w:numFmt w:val="decimal"/>
      <w:lvlText w:val="%1.%2.%3.%4.%5.%6.%7.%8.%9"/>
      <w:lvlJc w:val="right"/>
      <w:pPr>
        <w:tabs>
          <w:tab w:val="num" w:pos="1584"/>
        </w:tabs>
        <w:ind w:left="1584" w:hanging="1296"/>
      </w:pPr>
      <w:rPr>
        <w:rFonts w:cs="Times New Roman"/>
      </w:rPr>
    </w:lvl>
  </w:abstractNum>
  <w:abstractNum w:abstractNumId="8" w15:restartNumberingAfterBreak="0">
    <w:nsid w:val="28E92180"/>
    <w:multiLevelType w:val="hybridMultilevel"/>
    <w:tmpl w:val="D06A161C"/>
    <w:lvl w:ilvl="0" w:tplc="B4E0A286">
      <w:start w:val="1"/>
      <w:numFmt w:val="bulle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BF465C"/>
    <w:multiLevelType w:val="hybridMultilevel"/>
    <w:tmpl w:val="5C8E31EE"/>
    <w:lvl w:ilvl="0" w:tplc="79F421B4">
      <w:numFmt w:val="bullet"/>
      <w:lvlText w:val=""/>
      <w:lvlJc w:val="left"/>
      <w:pPr>
        <w:ind w:left="756" w:hanging="360"/>
      </w:pPr>
      <w:rPr>
        <w:rFonts w:ascii="Symbol" w:eastAsiaTheme="minorHAnsi" w:hAnsi="Symbol" w:cstheme="minorBidi" w:hint="default"/>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10" w15:restartNumberingAfterBreak="0">
    <w:nsid w:val="343F2150"/>
    <w:multiLevelType w:val="multilevel"/>
    <w:tmpl w:val="403CABEA"/>
    <w:lvl w:ilvl="0">
      <w:start w:val="1"/>
      <w:numFmt w:val="bullet"/>
      <w:lvlText w:val=""/>
      <w:lvlJc w:val="left"/>
      <w:pPr>
        <w:tabs>
          <w:tab w:val="num" w:pos="851"/>
        </w:tabs>
        <w:ind w:left="851" w:hanging="851"/>
      </w:pPr>
      <w:rPr>
        <w:rFonts w:ascii="Symbol" w:hAnsi="Symbol" w:hint="default"/>
        <w:color w:val="auto"/>
      </w:rPr>
    </w:lvl>
    <w:lvl w:ilvl="1">
      <w:start w:val="1"/>
      <w:numFmt w:val="bullet"/>
      <w:lvlText w:val="–"/>
      <w:lvlJc w:val="left"/>
      <w:pPr>
        <w:tabs>
          <w:tab w:val="num" w:pos="851"/>
        </w:tabs>
        <w:ind w:left="851" w:hanging="851"/>
      </w:pPr>
      <w:rPr>
        <w:rFonts w:ascii="Arial" w:hAnsi="Aria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E840A9"/>
    <w:multiLevelType w:val="hybridMultilevel"/>
    <w:tmpl w:val="730CF97E"/>
    <w:lvl w:ilvl="0" w:tplc="98C8D498">
      <w:numFmt w:val="bullet"/>
      <w:lvlText w:val=""/>
      <w:lvlJc w:val="left"/>
      <w:pPr>
        <w:ind w:left="756" w:hanging="360"/>
      </w:pPr>
      <w:rPr>
        <w:rFonts w:ascii="Symbol" w:eastAsiaTheme="minorHAnsi" w:hAnsi="Symbol" w:cstheme="minorBidi" w:hint="default"/>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12" w15:restartNumberingAfterBreak="0">
    <w:nsid w:val="46446FB3"/>
    <w:multiLevelType w:val="hybridMultilevel"/>
    <w:tmpl w:val="576680D0"/>
    <w:lvl w:ilvl="0" w:tplc="13E814E2">
      <w:start w:val="1"/>
      <w:numFmt w:val="bullet"/>
      <w:pStyle w:val="Bulletpoint"/>
      <w:lvlText w:val=""/>
      <w:lvlJc w:val="left"/>
      <w:pPr>
        <w:tabs>
          <w:tab w:val="num" w:pos="2042"/>
        </w:tabs>
        <w:ind w:left="2042" w:hanging="851"/>
      </w:pPr>
      <w:rPr>
        <w:rFonts w:ascii="Symbol" w:hAnsi="Symbol" w:hint="default"/>
        <w:color w:val="auto"/>
      </w:rPr>
    </w:lvl>
    <w:lvl w:ilvl="1" w:tplc="B5AC37FC">
      <w:start w:val="1"/>
      <w:numFmt w:val="bullet"/>
      <w:lvlText w:val="–"/>
      <w:lvlJc w:val="left"/>
      <w:pPr>
        <w:tabs>
          <w:tab w:val="num" w:pos="3122"/>
        </w:tabs>
        <w:ind w:left="3122" w:hanging="851"/>
      </w:pPr>
      <w:rPr>
        <w:rFonts w:ascii="Arial" w:hAnsi="Arial" w:hint="default"/>
        <w:color w:val="auto"/>
      </w:rPr>
    </w:lvl>
    <w:lvl w:ilvl="2" w:tplc="08090005" w:tentative="1">
      <w:start w:val="1"/>
      <w:numFmt w:val="bullet"/>
      <w:lvlText w:val=""/>
      <w:lvlJc w:val="left"/>
      <w:pPr>
        <w:tabs>
          <w:tab w:val="num" w:pos="3351"/>
        </w:tabs>
        <w:ind w:left="3351" w:hanging="360"/>
      </w:pPr>
      <w:rPr>
        <w:rFonts w:ascii="Wingdings" w:hAnsi="Wingdings" w:hint="default"/>
      </w:rPr>
    </w:lvl>
    <w:lvl w:ilvl="3" w:tplc="08090001" w:tentative="1">
      <w:start w:val="1"/>
      <w:numFmt w:val="bullet"/>
      <w:lvlText w:val=""/>
      <w:lvlJc w:val="left"/>
      <w:pPr>
        <w:tabs>
          <w:tab w:val="num" w:pos="4071"/>
        </w:tabs>
        <w:ind w:left="4071" w:hanging="360"/>
      </w:pPr>
      <w:rPr>
        <w:rFonts w:ascii="Symbol" w:hAnsi="Symbol" w:hint="default"/>
      </w:rPr>
    </w:lvl>
    <w:lvl w:ilvl="4" w:tplc="08090003" w:tentative="1">
      <w:start w:val="1"/>
      <w:numFmt w:val="bullet"/>
      <w:lvlText w:val="o"/>
      <w:lvlJc w:val="left"/>
      <w:pPr>
        <w:tabs>
          <w:tab w:val="num" w:pos="4791"/>
        </w:tabs>
        <w:ind w:left="4791" w:hanging="360"/>
      </w:pPr>
      <w:rPr>
        <w:rFonts w:ascii="Courier New" w:hAnsi="Courier New" w:hint="default"/>
      </w:rPr>
    </w:lvl>
    <w:lvl w:ilvl="5" w:tplc="08090005" w:tentative="1">
      <w:start w:val="1"/>
      <w:numFmt w:val="bullet"/>
      <w:lvlText w:val=""/>
      <w:lvlJc w:val="left"/>
      <w:pPr>
        <w:tabs>
          <w:tab w:val="num" w:pos="5511"/>
        </w:tabs>
        <w:ind w:left="5511" w:hanging="360"/>
      </w:pPr>
      <w:rPr>
        <w:rFonts w:ascii="Wingdings" w:hAnsi="Wingdings" w:hint="default"/>
      </w:rPr>
    </w:lvl>
    <w:lvl w:ilvl="6" w:tplc="08090001" w:tentative="1">
      <w:start w:val="1"/>
      <w:numFmt w:val="bullet"/>
      <w:lvlText w:val=""/>
      <w:lvlJc w:val="left"/>
      <w:pPr>
        <w:tabs>
          <w:tab w:val="num" w:pos="6231"/>
        </w:tabs>
        <w:ind w:left="6231" w:hanging="360"/>
      </w:pPr>
      <w:rPr>
        <w:rFonts w:ascii="Symbol" w:hAnsi="Symbol" w:hint="default"/>
      </w:rPr>
    </w:lvl>
    <w:lvl w:ilvl="7" w:tplc="08090003" w:tentative="1">
      <w:start w:val="1"/>
      <w:numFmt w:val="bullet"/>
      <w:lvlText w:val="o"/>
      <w:lvlJc w:val="left"/>
      <w:pPr>
        <w:tabs>
          <w:tab w:val="num" w:pos="6951"/>
        </w:tabs>
        <w:ind w:left="6951" w:hanging="360"/>
      </w:pPr>
      <w:rPr>
        <w:rFonts w:ascii="Courier New" w:hAnsi="Courier New" w:hint="default"/>
      </w:rPr>
    </w:lvl>
    <w:lvl w:ilvl="8" w:tplc="08090005" w:tentative="1">
      <w:start w:val="1"/>
      <w:numFmt w:val="bullet"/>
      <w:lvlText w:val=""/>
      <w:lvlJc w:val="left"/>
      <w:pPr>
        <w:tabs>
          <w:tab w:val="num" w:pos="7671"/>
        </w:tabs>
        <w:ind w:left="7671" w:hanging="360"/>
      </w:pPr>
      <w:rPr>
        <w:rFonts w:ascii="Wingdings" w:hAnsi="Wingdings" w:hint="default"/>
      </w:rPr>
    </w:lvl>
  </w:abstractNum>
  <w:abstractNum w:abstractNumId="13" w15:restartNumberingAfterBreak="0">
    <w:nsid w:val="504B1FC0"/>
    <w:multiLevelType w:val="hybridMultilevel"/>
    <w:tmpl w:val="C00C48B2"/>
    <w:lvl w:ilvl="0" w:tplc="4650CC64">
      <w:numFmt w:val="bullet"/>
      <w:lvlText w:val=""/>
      <w:lvlJc w:val="left"/>
      <w:pPr>
        <w:ind w:left="756" w:hanging="360"/>
      </w:pPr>
      <w:rPr>
        <w:rFonts w:ascii="Symbol" w:eastAsiaTheme="minorHAnsi" w:hAnsi="Symbol" w:cstheme="minorBidi" w:hint="default"/>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14" w15:restartNumberingAfterBreak="0">
    <w:nsid w:val="55986162"/>
    <w:multiLevelType w:val="hybridMultilevel"/>
    <w:tmpl w:val="FEB4FD3A"/>
    <w:lvl w:ilvl="0" w:tplc="55CAAFE2">
      <w:numFmt w:val="bullet"/>
      <w:lvlText w:val="-"/>
      <w:lvlJc w:val="left"/>
      <w:pPr>
        <w:ind w:left="786" w:hanging="360"/>
      </w:pPr>
      <w:rPr>
        <w:rFonts w:ascii="Segoe UI" w:eastAsiaTheme="minorHAnsi" w:hAnsi="Segoe UI" w:cs="Segoe U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FBB6008"/>
    <w:multiLevelType w:val="hybridMultilevel"/>
    <w:tmpl w:val="982C65BC"/>
    <w:lvl w:ilvl="0" w:tplc="5E6A69EC">
      <w:start w:val="1"/>
      <w:numFmt w:val="bullet"/>
      <w:lvlText w:val=""/>
      <w:lvlJc w:val="left"/>
      <w:pPr>
        <w:tabs>
          <w:tab w:val="num" w:pos="851"/>
        </w:tabs>
        <w:ind w:left="851" w:hanging="851"/>
      </w:pPr>
      <w:rPr>
        <w:rFonts w:ascii="Symbol" w:hAnsi="Symbol" w:hint="default"/>
        <w:color w:val="auto"/>
      </w:rPr>
    </w:lvl>
    <w:lvl w:ilvl="1" w:tplc="353EE486">
      <w:start w:val="1"/>
      <w:numFmt w:val="bullet"/>
      <w:lvlText w:val="–"/>
      <w:lvlJc w:val="left"/>
      <w:pPr>
        <w:tabs>
          <w:tab w:val="num" w:pos="851"/>
        </w:tabs>
        <w:ind w:left="85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BC49C7"/>
    <w:multiLevelType w:val="hybridMultilevel"/>
    <w:tmpl w:val="A900FD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B7674B"/>
    <w:multiLevelType w:val="multilevel"/>
    <w:tmpl w:val="BCAA7AC0"/>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7E3800C4"/>
    <w:multiLevelType w:val="hybridMultilevel"/>
    <w:tmpl w:val="25BC2964"/>
    <w:lvl w:ilvl="0" w:tplc="67B88C42">
      <w:start w:val="1"/>
      <w:numFmt w:val="decimal"/>
      <w:pStyle w:val="Bulletnumber"/>
      <w:lvlText w:val="%1."/>
      <w:lvlJc w:val="left"/>
      <w:pPr>
        <w:tabs>
          <w:tab w:val="num" w:pos="851"/>
        </w:tabs>
        <w:ind w:left="851" w:hanging="851"/>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0"/>
  </w:num>
  <w:num w:numId="4">
    <w:abstractNumId w:val="15"/>
  </w:num>
  <w:num w:numId="5">
    <w:abstractNumId w:val="18"/>
  </w:num>
  <w:num w:numId="6">
    <w:abstractNumId w:val="12"/>
  </w:num>
  <w:num w:numId="7">
    <w:abstractNumId w:val="17"/>
  </w:num>
  <w:num w:numId="8">
    <w:abstractNumId w:val="10"/>
  </w:num>
  <w:num w:numId="9">
    <w:abstractNumId w:val="8"/>
  </w:num>
  <w:num w:numId="10">
    <w:abstractNumId w:val="15"/>
  </w:num>
  <w:num w:numId="11">
    <w:abstractNumId w:val="18"/>
  </w:num>
  <w:num w:numId="12">
    <w:abstractNumId w:val="12"/>
  </w:num>
  <w:num w:numId="13">
    <w:abstractNumId w:val="15"/>
  </w:num>
  <w:num w:numId="14">
    <w:abstractNumId w:val="18"/>
  </w:num>
  <w:num w:numId="15">
    <w:abstractNumId w:val="12"/>
  </w:num>
  <w:num w:numId="16">
    <w:abstractNumId w:val="12"/>
  </w:num>
  <w:num w:numId="17">
    <w:abstractNumId w:val="2"/>
  </w:num>
  <w:num w:numId="18">
    <w:abstractNumId w:val="18"/>
  </w:num>
  <w:num w:numId="19">
    <w:abstractNumId w:val="12"/>
  </w:num>
  <w:num w:numId="20">
    <w:abstractNumId w:val="4"/>
  </w:num>
  <w:num w:numId="21">
    <w:abstractNumId w:val="2"/>
  </w:num>
  <w:num w:numId="22">
    <w:abstractNumId w:val="18"/>
  </w:num>
  <w:num w:numId="23">
    <w:abstractNumId w:val="15"/>
  </w:num>
  <w:num w:numId="24">
    <w:abstractNumId w:val="2"/>
  </w:num>
  <w:num w:numId="25">
    <w:abstractNumId w:val="18"/>
  </w:num>
  <w:num w:numId="26">
    <w:abstractNumId w:val="12"/>
  </w:num>
  <w:num w:numId="27">
    <w:abstractNumId w:val="16"/>
  </w:num>
  <w:num w:numId="28">
    <w:abstractNumId w:val="1"/>
  </w:num>
  <w:num w:numId="29">
    <w:abstractNumId w:val="3"/>
  </w:num>
  <w:num w:numId="30">
    <w:abstractNumId w:val="14"/>
  </w:num>
  <w:num w:numId="31">
    <w:abstractNumId w:val="13"/>
  </w:num>
  <w:num w:numId="32">
    <w:abstractNumId w:val="11"/>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CH" w:vendorID="64" w:dllVersion="131078"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de-CH"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clickAndTypeStyle w:val="Paragraph"/>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Pr>
  <w:compat>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arDocType" w:val="BISPubli_E"/>
    <w:docVar w:name="VarDotVersion" w:val="BIS0.8"/>
  </w:docVars>
  <w:rsids>
    <w:rsidRoot w:val="00401CD1"/>
    <w:rsid w:val="000004DE"/>
    <w:rsid w:val="000016D0"/>
    <w:rsid w:val="0000180E"/>
    <w:rsid w:val="000024F7"/>
    <w:rsid w:val="00002D91"/>
    <w:rsid w:val="00003127"/>
    <w:rsid w:val="000033F6"/>
    <w:rsid w:val="0000746F"/>
    <w:rsid w:val="00012B70"/>
    <w:rsid w:val="000145D0"/>
    <w:rsid w:val="00016471"/>
    <w:rsid w:val="00017357"/>
    <w:rsid w:val="000175BF"/>
    <w:rsid w:val="00017BB8"/>
    <w:rsid w:val="0002145D"/>
    <w:rsid w:val="000215C8"/>
    <w:rsid w:val="00021AB6"/>
    <w:rsid w:val="000223CC"/>
    <w:rsid w:val="00024138"/>
    <w:rsid w:val="00024AC4"/>
    <w:rsid w:val="000265AE"/>
    <w:rsid w:val="00026639"/>
    <w:rsid w:val="0002684F"/>
    <w:rsid w:val="00031409"/>
    <w:rsid w:val="0003144E"/>
    <w:rsid w:val="00032223"/>
    <w:rsid w:val="0003347F"/>
    <w:rsid w:val="00033563"/>
    <w:rsid w:val="00036068"/>
    <w:rsid w:val="0004112B"/>
    <w:rsid w:val="00041342"/>
    <w:rsid w:val="00042A73"/>
    <w:rsid w:val="00044F76"/>
    <w:rsid w:val="00045D8D"/>
    <w:rsid w:val="00047C81"/>
    <w:rsid w:val="00051133"/>
    <w:rsid w:val="0005161C"/>
    <w:rsid w:val="00051BE8"/>
    <w:rsid w:val="00052C9F"/>
    <w:rsid w:val="000545F0"/>
    <w:rsid w:val="00055103"/>
    <w:rsid w:val="000624B4"/>
    <w:rsid w:val="0006488A"/>
    <w:rsid w:val="00065259"/>
    <w:rsid w:val="00070E9C"/>
    <w:rsid w:val="00072245"/>
    <w:rsid w:val="00074B3B"/>
    <w:rsid w:val="0007558F"/>
    <w:rsid w:val="000759A3"/>
    <w:rsid w:val="000800FA"/>
    <w:rsid w:val="0008046B"/>
    <w:rsid w:val="00080552"/>
    <w:rsid w:val="0008282D"/>
    <w:rsid w:val="00083780"/>
    <w:rsid w:val="00086E05"/>
    <w:rsid w:val="00087648"/>
    <w:rsid w:val="000902F2"/>
    <w:rsid w:val="000904A3"/>
    <w:rsid w:val="000A307C"/>
    <w:rsid w:val="000A79D7"/>
    <w:rsid w:val="000B04F7"/>
    <w:rsid w:val="000B28BF"/>
    <w:rsid w:val="000B7F87"/>
    <w:rsid w:val="000C094D"/>
    <w:rsid w:val="000C3590"/>
    <w:rsid w:val="000C3F35"/>
    <w:rsid w:val="000C4B63"/>
    <w:rsid w:val="000C6159"/>
    <w:rsid w:val="000C69D5"/>
    <w:rsid w:val="000D5031"/>
    <w:rsid w:val="000D7087"/>
    <w:rsid w:val="000E0B91"/>
    <w:rsid w:val="000E3A51"/>
    <w:rsid w:val="000E6890"/>
    <w:rsid w:val="000F21B3"/>
    <w:rsid w:val="000F3BE3"/>
    <w:rsid w:val="000F71FA"/>
    <w:rsid w:val="000F7FA8"/>
    <w:rsid w:val="00101328"/>
    <w:rsid w:val="001037F1"/>
    <w:rsid w:val="0010642A"/>
    <w:rsid w:val="001069B9"/>
    <w:rsid w:val="00106B6A"/>
    <w:rsid w:val="00107F31"/>
    <w:rsid w:val="00112890"/>
    <w:rsid w:val="001149E9"/>
    <w:rsid w:val="00114CD2"/>
    <w:rsid w:val="00114EBA"/>
    <w:rsid w:val="00117266"/>
    <w:rsid w:val="00117A9A"/>
    <w:rsid w:val="00121547"/>
    <w:rsid w:val="0012349E"/>
    <w:rsid w:val="0012390C"/>
    <w:rsid w:val="001245A1"/>
    <w:rsid w:val="00125862"/>
    <w:rsid w:val="001267CC"/>
    <w:rsid w:val="00127BCE"/>
    <w:rsid w:val="001308F3"/>
    <w:rsid w:val="001320B3"/>
    <w:rsid w:val="001333A4"/>
    <w:rsid w:val="001415AC"/>
    <w:rsid w:val="00143C8E"/>
    <w:rsid w:val="00147490"/>
    <w:rsid w:val="00147C23"/>
    <w:rsid w:val="00150709"/>
    <w:rsid w:val="00150CE5"/>
    <w:rsid w:val="001517AC"/>
    <w:rsid w:val="00154562"/>
    <w:rsid w:val="00154891"/>
    <w:rsid w:val="00156591"/>
    <w:rsid w:val="00160617"/>
    <w:rsid w:val="001609AA"/>
    <w:rsid w:val="001625E9"/>
    <w:rsid w:val="00162825"/>
    <w:rsid w:val="00162D5C"/>
    <w:rsid w:val="001639DA"/>
    <w:rsid w:val="00163E18"/>
    <w:rsid w:val="00166F01"/>
    <w:rsid w:val="001674B3"/>
    <w:rsid w:val="0016763B"/>
    <w:rsid w:val="001702D2"/>
    <w:rsid w:val="00172B8A"/>
    <w:rsid w:val="00172C5F"/>
    <w:rsid w:val="001734D3"/>
    <w:rsid w:val="00174BCA"/>
    <w:rsid w:val="001760B2"/>
    <w:rsid w:val="00176896"/>
    <w:rsid w:val="00177765"/>
    <w:rsid w:val="001808C6"/>
    <w:rsid w:val="00180922"/>
    <w:rsid w:val="00180969"/>
    <w:rsid w:val="00182D67"/>
    <w:rsid w:val="00182DB3"/>
    <w:rsid w:val="001856B3"/>
    <w:rsid w:val="00185B51"/>
    <w:rsid w:val="0018686D"/>
    <w:rsid w:val="00187963"/>
    <w:rsid w:val="001918E9"/>
    <w:rsid w:val="001921EC"/>
    <w:rsid w:val="00192673"/>
    <w:rsid w:val="00192BC0"/>
    <w:rsid w:val="00193CB9"/>
    <w:rsid w:val="0019595D"/>
    <w:rsid w:val="001961A2"/>
    <w:rsid w:val="00196ACA"/>
    <w:rsid w:val="001A1DAC"/>
    <w:rsid w:val="001A267D"/>
    <w:rsid w:val="001A3C73"/>
    <w:rsid w:val="001A6043"/>
    <w:rsid w:val="001A6697"/>
    <w:rsid w:val="001A6D5A"/>
    <w:rsid w:val="001A6FE8"/>
    <w:rsid w:val="001A719F"/>
    <w:rsid w:val="001B27B1"/>
    <w:rsid w:val="001B2F57"/>
    <w:rsid w:val="001B66C9"/>
    <w:rsid w:val="001B76B3"/>
    <w:rsid w:val="001C2D09"/>
    <w:rsid w:val="001C386D"/>
    <w:rsid w:val="001C473B"/>
    <w:rsid w:val="001C58A8"/>
    <w:rsid w:val="001C7256"/>
    <w:rsid w:val="001C7ADB"/>
    <w:rsid w:val="001C7E3E"/>
    <w:rsid w:val="001D260B"/>
    <w:rsid w:val="001D3D69"/>
    <w:rsid w:val="001E1191"/>
    <w:rsid w:val="001E1FB2"/>
    <w:rsid w:val="001E3856"/>
    <w:rsid w:val="001E3B0C"/>
    <w:rsid w:val="001E5FA1"/>
    <w:rsid w:val="001E70DC"/>
    <w:rsid w:val="001E722B"/>
    <w:rsid w:val="001E7C47"/>
    <w:rsid w:val="001F05CA"/>
    <w:rsid w:val="001F1C18"/>
    <w:rsid w:val="001F4484"/>
    <w:rsid w:val="001F4A88"/>
    <w:rsid w:val="001F739C"/>
    <w:rsid w:val="0020121E"/>
    <w:rsid w:val="00202653"/>
    <w:rsid w:val="002042B2"/>
    <w:rsid w:val="00204D8E"/>
    <w:rsid w:val="00211ED7"/>
    <w:rsid w:val="00213540"/>
    <w:rsid w:val="00214795"/>
    <w:rsid w:val="0021494B"/>
    <w:rsid w:val="0021530D"/>
    <w:rsid w:val="00215AC4"/>
    <w:rsid w:val="00216AE2"/>
    <w:rsid w:val="00216BBE"/>
    <w:rsid w:val="002170B0"/>
    <w:rsid w:val="00217613"/>
    <w:rsid w:val="0021785A"/>
    <w:rsid w:val="00222700"/>
    <w:rsid w:val="00224703"/>
    <w:rsid w:val="00224CB8"/>
    <w:rsid w:val="00225568"/>
    <w:rsid w:val="002258A0"/>
    <w:rsid w:val="002263A2"/>
    <w:rsid w:val="002264E5"/>
    <w:rsid w:val="0023208D"/>
    <w:rsid w:val="00232A0A"/>
    <w:rsid w:val="00232EAC"/>
    <w:rsid w:val="0023395F"/>
    <w:rsid w:val="00234336"/>
    <w:rsid w:val="00235974"/>
    <w:rsid w:val="00236ACA"/>
    <w:rsid w:val="0023727F"/>
    <w:rsid w:val="00240A7F"/>
    <w:rsid w:val="00241006"/>
    <w:rsid w:val="00241F8F"/>
    <w:rsid w:val="0024265E"/>
    <w:rsid w:val="002426D2"/>
    <w:rsid w:val="00244347"/>
    <w:rsid w:val="0024466F"/>
    <w:rsid w:val="00244CE1"/>
    <w:rsid w:val="00245C10"/>
    <w:rsid w:val="00245C3F"/>
    <w:rsid w:val="0024645F"/>
    <w:rsid w:val="0024664F"/>
    <w:rsid w:val="002478DD"/>
    <w:rsid w:val="002522F2"/>
    <w:rsid w:val="00253418"/>
    <w:rsid w:val="002539F0"/>
    <w:rsid w:val="0025440E"/>
    <w:rsid w:val="0025514E"/>
    <w:rsid w:val="002568F4"/>
    <w:rsid w:val="00260B08"/>
    <w:rsid w:val="00262708"/>
    <w:rsid w:val="00264C0E"/>
    <w:rsid w:val="00265E7D"/>
    <w:rsid w:val="00265F1C"/>
    <w:rsid w:val="00267999"/>
    <w:rsid w:val="00272312"/>
    <w:rsid w:val="00275459"/>
    <w:rsid w:val="002759CF"/>
    <w:rsid w:val="00276D1B"/>
    <w:rsid w:val="00277056"/>
    <w:rsid w:val="00281401"/>
    <w:rsid w:val="00282963"/>
    <w:rsid w:val="00282B69"/>
    <w:rsid w:val="00282C51"/>
    <w:rsid w:val="002834DB"/>
    <w:rsid w:val="0028369D"/>
    <w:rsid w:val="002839A8"/>
    <w:rsid w:val="002839C9"/>
    <w:rsid w:val="002843D9"/>
    <w:rsid w:val="00285A1F"/>
    <w:rsid w:val="002864DD"/>
    <w:rsid w:val="00287F6D"/>
    <w:rsid w:val="00290014"/>
    <w:rsid w:val="00290D51"/>
    <w:rsid w:val="0029197B"/>
    <w:rsid w:val="002933A0"/>
    <w:rsid w:val="002934ED"/>
    <w:rsid w:val="002939E1"/>
    <w:rsid w:val="00296118"/>
    <w:rsid w:val="0029691A"/>
    <w:rsid w:val="002969CD"/>
    <w:rsid w:val="002969D4"/>
    <w:rsid w:val="00296FC7"/>
    <w:rsid w:val="002979F5"/>
    <w:rsid w:val="002A312C"/>
    <w:rsid w:val="002A4B26"/>
    <w:rsid w:val="002A6557"/>
    <w:rsid w:val="002B0C11"/>
    <w:rsid w:val="002B1F48"/>
    <w:rsid w:val="002B20F5"/>
    <w:rsid w:val="002B4887"/>
    <w:rsid w:val="002B6A28"/>
    <w:rsid w:val="002B7583"/>
    <w:rsid w:val="002C2761"/>
    <w:rsid w:val="002C28D3"/>
    <w:rsid w:val="002C4B73"/>
    <w:rsid w:val="002C764B"/>
    <w:rsid w:val="002C7B2B"/>
    <w:rsid w:val="002D109B"/>
    <w:rsid w:val="002D301F"/>
    <w:rsid w:val="002D424D"/>
    <w:rsid w:val="002D5C47"/>
    <w:rsid w:val="002D6F55"/>
    <w:rsid w:val="002D7178"/>
    <w:rsid w:val="002D7D8B"/>
    <w:rsid w:val="002E00ED"/>
    <w:rsid w:val="002E47DB"/>
    <w:rsid w:val="002E5CD0"/>
    <w:rsid w:val="002E6931"/>
    <w:rsid w:val="002F0531"/>
    <w:rsid w:val="002F0F32"/>
    <w:rsid w:val="002F1B40"/>
    <w:rsid w:val="002F2EB2"/>
    <w:rsid w:val="002F3C86"/>
    <w:rsid w:val="002F3D0B"/>
    <w:rsid w:val="002F4A3A"/>
    <w:rsid w:val="002F6059"/>
    <w:rsid w:val="003010F0"/>
    <w:rsid w:val="0030147E"/>
    <w:rsid w:val="003030D3"/>
    <w:rsid w:val="00303D3E"/>
    <w:rsid w:val="00304B95"/>
    <w:rsid w:val="00306283"/>
    <w:rsid w:val="00311F91"/>
    <w:rsid w:val="00313E64"/>
    <w:rsid w:val="003143F8"/>
    <w:rsid w:val="003149AC"/>
    <w:rsid w:val="00314B33"/>
    <w:rsid w:val="00315EAD"/>
    <w:rsid w:val="0032115F"/>
    <w:rsid w:val="003244AE"/>
    <w:rsid w:val="0032534F"/>
    <w:rsid w:val="003261C9"/>
    <w:rsid w:val="00332BC4"/>
    <w:rsid w:val="00332F81"/>
    <w:rsid w:val="003363AC"/>
    <w:rsid w:val="00341A69"/>
    <w:rsid w:val="00342143"/>
    <w:rsid w:val="003425AF"/>
    <w:rsid w:val="00342E83"/>
    <w:rsid w:val="003445F4"/>
    <w:rsid w:val="00346352"/>
    <w:rsid w:val="003471F4"/>
    <w:rsid w:val="00347963"/>
    <w:rsid w:val="00350C66"/>
    <w:rsid w:val="00352DCA"/>
    <w:rsid w:val="00357315"/>
    <w:rsid w:val="00357E01"/>
    <w:rsid w:val="00360234"/>
    <w:rsid w:val="00362731"/>
    <w:rsid w:val="003629E7"/>
    <w:rsid w:val="00364CA3"/>
    <w:rsid w:val="0036556E"/>
    <w:rsid w:val="00366137"/>
    <w:rsid w:val="00367AB1"/>
    <w:rsid w:val="00367C43"/>
    <w:rsid w:val="0037138C"/>
    <w:rsid w:val="003722F6"/>
    <w:rsid w:val="00372914"/>
    <w:rsid w:val="00376F72"/>
    <w:rsid w:val="00381425"/>
    <w:rsid w:val="00382B1F"/>
    <w:rsid w:val="00382D4F"/>
    <w:rsid w:val="00383795"/>
    <w:rsid w:val="0038463B"/>
    <w:rsid w:val="00384B43"/>
    <w:rsid w:val="00390F47"/>
    <w:rsid w:val="003912E2"/>
    <w:rsid w:val="003929D4"/>
    <w:rsid w:val="0039416A"/>
    <w:rsid w:val="00394D0D"/>
    <w:rsid w:val="00395CAA"/>
    <w:rsid w:val="003961E8"/>
    <w:rsid w:val="00397885"/>
    <w:rsid w:val="003A0F7E"/>
    <w:rsid w:val="003A35A6"/>
    <w:rsid w:val="003A4CD7"/>
    <w:rsid w:val="003A58AF"/>
    <w:rsid w:val="003A63DE"/>
    <w:rsid w:val="003B018A"/>
    <w:rsid w:val="003B159F"/>
    <w:rsid w:val="003B1D4D"/>
    <w:rsid w:val="003B1E18"/>
    <w:rsid w:val="003B3C6F"/>
    <w:rsid w:val="003B3F64"/>
    <w:rsid w:val="003B4EDC"/>
    <w:rsid w:val="003B6BF5"/>
    <w:rsid w:val="003C02A8"/>
    <w:rsid w:val="003C19BE"/>
    <w:rsid w:val="003C3FC3"/>
    <w:rsid w:val="003C5525"/>
    <w:rsid w:val="003C7925"/>
    <w:rsid w:val="003D299D"/>
    <w:rsid w:val="003D2E42"/>
    <w:rsid w:val="003D46CB"/>
    <w:rsid w:val="003D59B3"/>
    <w:rsid w:val="003D79CA"/>
    <w:rsid w:val="003D7F29"/>
    <w:rsid w:val="003E3D51"/>
    <w:rsid w:val="003E7789"/>
    <w:rsid w:val="003F11CC"/>
    <w:rsid w:val="003F3078"/>
    <w:rsid w:val="003F3B79"/>
    <w:rsid w:val="003F47F9"/>
    <w:rsid w:val="003F4AE4"/>
    <w:rsid w:val="003F58EC"/>
    <w:rsid w:val="003F5E88"/>
    <w:rsid w:val="003F6317"/>
    <w:rsid w:val="003F699B"/>
    <w:rsid w:val="003F6C71"/>
    <w:rsid w:val="00400875"/>
    <w:rsid w:val="00401CD1"/>
    <w:rsid w:val="004025B7"/>
    <w:rsid w:val="00402A6F"/>
    <w:rsid w:val="00404C19"/>
    <w:rsid w:val="00406B7F"/>
    <w:rsid w:val="00406F7A"/>
    <w:rsid w:val="00407EE6"/>
    <w:rsid w:val="00410AFA"/>
    <w:rsid w:val="00410D7A"/>
    <w:rsid w:val="0041232A"/>
    <w:rsid w:val="00415D80"/>
    <w:rsid w:val="00422387"/>
    <w:rsid w:val="0042315A"/>
    <w:rsid w:val="004252FC"/>
    <w:rsid w:val="00431243"/>
    <w:rsid w:val="004312DA"/>
    <w:rsid w:val="00432ABE"/>
    <w:rsid w:val="004332F4"/>
    <w:rsid w:val="00435BC0"/>
    <w:rsid w:val="0044068F"/>
    <w:rsid w:val="00440784"/>
    <w:rsid w:val="00441F17"/>
    <w:rsid w:val="00442036"/>
    <w:rsid w:val="00446859"/>
    <w:rsid w:val="0044720D"/>
    <w:rsid w:val="004500AE"/>
    <w:rsid w:val="00451AD8"/>
    <w:rsid w:val="00451AF8"/>
    <w:rsid w:val="004521CF"/>
    <w:rsid w:val="0045227E"/>
    <w:rsid w:val="004527D5"/>
    <w:rsid w:val="004547CF"/>
    <w:rsid w:val="004551A8"/>
    <w:rsid w:val="004557FC"/>
    <w:rsid w:val="00456025"/>
    <w:rsid w:val="00456CE3"/>
    <w:rsid w:val="00460EB5"/>
    <w:rsid w:val="004615D1"/>
    <w:rsid w:val="004647BE"/>
    <w:rsid w:val="00465544"/>
    <w:rsid w:val="00470C65"/>
    <w:rsid w:val="00473412"/>
    <w:rsid w:val="00473657"/>
    <w:rsid w:val="00474DB7"/>
    <w:rsid w:val="00476795"/>
    <w:rsid w:val="0048031A"/>
    <w:rsid w:val="0048251E"/>
    <w:rsid w:val="00483D8F"/>
    <w:rsid w:val="00486442"/>
    <w:rsid w:val="00490862"/>
    <w:rsid w:val="0049243A"/>
    <w:rsid w:val="004964C5"/>
    <w:rsid w:val="00497522"/>
    <w:rsid w:val="004A01F9"/>
    <w:rsid w:val="004A0760"/>
    <w:rsid w:val="004A1574"/>
    <w:rsid w:val="004A460F"/>
    <w:rsid w:val="004A488B"/>
    <w:rsid w:val="004A563B"/>
    <w:rsid w:val="004A5769"/>
    <w:rsid w:val="004A699B"/>
    <w:rsid w:val="004B4774"/>
    <w:rsid w:val="004B5593"/>
    <w:rsid w:val="004B60EB"/>
    <w:rsid w:val="004B66AD"/>
    <w:rsid w:val="004B6790"/>
    <w:rsid w:val="004B7FB2"/>
    <w:rsid w:val="004C15D6"/>
    <w:rsid w:val="004C1926"/>
    <w:rsid w:val="004C2516"/>
    <w:rsid w:val="004C3B5D"/>
    <w:rsid w:val="004C48EF"/>
    <w:rsid w:val="004C71BD"/>
    <w:rsid w:val="004C7C29"/>
    <w:rsid w:val="004D2CB3"/>
    <w:rsid w:val="004D2D56"/>
    <w:rsid w:val="004D47C3"/>
    <w:rsid w:val="004D6BA4"/>
    <w:rsid w:val="004D76E4"/>
    <w:rsid w:val="004E16AF"/>
    <w:rsid w:val="004E172E"/>
    <w:rsid w:val="004E7BD8"/>
    <w:rsid w:val="004F149F"/>
    <w:rsid w:val="004F2B07"/>
    <w:rsid w:val="004F2F43"/>
    <w:rsid w:val="004F53B5"/>
    <w:rsid w:val="004F6880"/>
    <w:rsid w:val="004F690C"/>
    <w:rsid w:val="00500E32"/>
    <w:rsid w:val="005026E9"/>
    <w:rsid w:val="005046F3"/>
    <w:rsid w:val="005068A4"/>
    <w:rsid w:val="0050789F"/>
    <w:rsid w:val="0051017D"/>
    <w:rsid w:val="00511D06"/>
    <w:rsid w:val="00512AA3"/>
    <w:rsid w:val="005167ED"/>
    <w:rsid w:val="00522EA5"/>
    <w:rsid w:val="00523F39"/>
    <w:rsid w:val="00524320"/>
    <w:rsid w:val="0052766E"/>
    <w:rsid w:val="00527682"/>
    <w:rsid w:val="00527EFB"/>
    <w:rsid w:val="0053046E"/>
    <w:rsid w:val="005331C7"/>
    <w:rsid w:val="00533738"/>
    <w:rsid w:val="005355A8"/>
    <w:rsid w:val="005361AF"/>
    <w:rsid w:val="00536B5D"/>
    <w:rsid w:val="00536F97"/>
    <w:rsid w:val="00537C8B"/>
    <w:rsid w:val="0054289F"/>
    <w:rsid w:val="00542FBF"/>
    <w:rsid w:val="00546E58"/>
    <w:rsid w:val="00550907"/>
    <w:rsid w:val="005514AF"/>
    <w:rsid w:val="00553A89"/>
    <w:rsid w:val="0055405B"/>
    <w:rsid w:val="00554F6B"/>
    <w:rsid w:val="00555FE1"/>
    <w:rsid w:val="00557884"/>
    <w:rsid w:val="00560DA7"/>
    <w:rsid w:val="00560E88"/>
    <w:rsid w:val="00561CCE"/>
    <w:rsid w:val="00562293"/>
    <w:rsid w:val="00563E6C"/>
    <w:rsid w:val="00564674"/>
    <w:rsid w:val="00570128"/>
    <w:rsid w:val="005701BF"/>
    <w:rsid w:val="00570E38"/>
    <w:rsid w:val="00571128"/>
    <w:rsid w:val="00571164"/>
    <w:rsid w:val="00571809"/>
    <w:rsid w:val="00572515"/>
    <w:rsid w:val="0057381E"/>
    <w:rsid w:val="0057431D"/>
    <w:rsid w:val="005745B8"/>
    <w:rsid w:val="0057483E"/>
    <w:rsid w:val="00575F01"/>
    <w:rsid w:val="00576921"/>
    <w:rsid w:val="00583324"/>
    <w:rsid w:val="00584EE9"/>
    <w:rsid w:val="00586904"/>
    <w:rsid w:val="00587033"/>
    <w:rsid w:val="00587073"/>
    <w:rsid w:val="00591496"/>
    <w:rsid w:val="00591D07"/>
    <w:rsid w:val="005924DB"/>
    <w:rsid w:val="0059432A"/>
    <w:rsid w:val="0059569C"/>
    <w:rsid w:val="00597EFE"/>
    <w:rsid w:val="005A061D"/>
    <w:rsid w:val="005A27A0"/>
    <w:rsid w:val="005A3D6D"/>
    <w:rsid w:val="005A44BC"/>
    <w:rsid w:val="005A46AE"/>
    <w:rsid w:val="005A696B"/>
    <w:rsid w:val="005A6DB9"/>
    <w:rsid w:val="005A7314"/>
    <w:rsid w:val="005B2076"/>
    <w:rsid w:val="005B3339"/>
    <w:rsid w:val="005B4586"/>
    <w:rsid w:val="005B5F9C"/>
    <w:rsid w:val="005B6DC8"/>
    <w:rsid w:val="005B7BF3"/>
    <w:rsid w:val="005C0118"/>
    <w:rsid w:val="005C1F91"/>
    <w:rsid w:val="005C4174"/>
    <w:rsid w:val="005C570A"/>
    <w:rsid w:val="005C703D"/>
    <w:rsid w:val="005D004E"/>
    <w:rsid w:val="005D30F9"/>
    <w:rsid w:val="005D314F"/>
    <w:rsid w:val="005D6ECB"/>
    <w:rsid w:val="005E0BC2"/>
    <w:rsid w:val="005E1937"/>
    <w:rsid w:val="005E4307"/>
    <w:rsid w:val="005E703F"/>
    <w:rsid w:val="005E7210"/>
    <w:rsid w:val="005F15AD"/>
    <w:rsid w:val="005F215F"/>
    <w:rsid w:val="005F43F9"/>
    <w:rsid w:val="005F5840"/>
    <w:rsid w:val="005F6CE7"/>
    <w:rsid w:val="006009CE"/>
    <w:rsid w:val="0060202A"/>
    <w:rsid w:val="006024D7"/>
    <w:rsid w:val="00604EB0"/>
    <w:rsid w:val="00606DFD"/>
    <w:rsid w:val="00607310"/>
    <w:rsid w:val="006108F7"/>
    <w:rsid w:val="00611B07"/>
    <w:rsid w:val="00611B9D"/>
    <w:rsid w:val="00612453"/>
    <w:rsid w:val="00613161"/>
    <w:rsid w:val="0061659A"/>
    <w:rsid w:val="006168A0"/>
    <w:rsid w:val="00621F98"/>
    <w:rsid w:val="00623319"/>
    <w:rsid w:val="006238C4"/>
    <w:rsid w:val="00626C8C"/>
    <w:rsid w:val="00627514"/>
    <w:rsid w:val="006275A2"/>
    <w:rsid w:val="00631CA2"/>
    <w:rsid w:val="00633890"/>
    <w:rsid w:val="00633F6E"/>
    <w:rsid w:val="0063791C"/>
    <w:rsid w:val="00641883"/>
    <w:rsid w:val="00641F3F"/>
    <w:rsid w:val="00643787"/>
    <w:rsid w:val="006460C6"/>
    <w:rsid w:val="006469FE"/>
    <w:rsid w:val="00647106"/>
    <w:rsid w:val="00647770"/>
    <w:rsid w:val="00647D3E"/>
    <w:rsid w:val="00651D59"/>
    <w:rsid w:val="006526F0"/>
    <w:rsid w:val="006529D1"/>
    <w:rsid w:val="0065504F"/>
    <w:rsid w:val="00656667"/>
    <w:rsid w:val="00657253"/>
    <w:rsid w:val="00660999"/>
    <w:rsid w:val="0066120E"/>
    <w:rsid w:val="00662927"/>
    <w:rsid w:val="00662EB9"/>
    <w:rsid w:val="00663399"/>
    <w:rsid w:val="00664971"/>
    <w:rsid w:val="00664BAA"/>
    <w:rsid w:val="00667A20"/>
    <w:rsid w:val="006706F4"/>
    <w:rsid w:val="0067121D"/>
    <w:rsid w:val="00671704"/>
    <w:rsid w:val="00673C4C"/>
    <w:rsid w:val="00676D27"/>
    <w:rsid w:val="0068049B"/>
    <w:rsid w:val="00680E5A"/>
    <w:rsid w:val="006821A9"/>
    <w:rsid w:val="00682B2C"/>
    <w:rsid w:val="00683DA8"/>
    <w:rsid w:val="0068554F"/>
    <w:rsid w:val="00685660"/>
    <w:rsid w:val="00685E94"/>
    <w:rsid w:val="006860F3"/>
    <w:rsid w:val="006921EE"/>
    <w:rsid w:val="00692271"/>
    <w:rsid w:val="006922A3"/>
    <w:rsid w:val="0069534E"/>
    <w:rsid w:val="00695AE0"/>
    <w:rsid w:val="00696EA3"/>
    <w:rsid w:val="006A10FF"/>
    <w:rsid w:val="006A3CCB"/>
    <w:rsid w:val="006A6DD3"/>
    <w:rsid w:val="006B22F4"/>
    <w:rsid w:val="006B24EA"/>
    <w:rsid w:val="006B4812"/>
    <w:rsid w:val="006B61C3"/>
    <w:rsid w:val="006C2494"/>
    <w:rsid w:val="006C2699"/>
    <w:rsid w:val="006C27FA"/>
    <w:rsid w:val="006C6447"/>
    <w:rsid w:val="006C726C"/>
    <w:rsid w:val="006D1AE0"/>
    <w:rsid w:val="006D1D69"/>
    <w:rsid w:val="006D58D9"/>
    <w:rsid w:val="006E3764"/>
    <w:rsid w:val="006E7168"/>
    <w:rsid w:val="006F1661"/>
    <w:rsid w:val="006F3A18"/>
    <w:rsid w:val="006F5BCB"/>
    <w:rsid w:val="006F5FB4"/>
    <w:rsid w:val="006F78EF"/>
    <w:rsid w:val="0070089B"/>
    <w:rsid w:val="007018AA"/>
    <w:rsid w:val="007019E6"/>
    <w:rsid w:val="00701AFB"/>
    <w:rsid w:val="00703B91"/>
    <w:rsid w:val="0070523D"/>
    <w:rsid w:val="00705EAE"/>
    <w:rsid w:val="00705F4E"/>
    <w:rsid w:val="00706B9B"/>
    <w:rsid w:val="00706F55"/>
    <w:rsid w:val="007073DB"/>
    <w:rsid w:val="00711BE6"/>
    <w:rsid w:val="00712155"/>
    <w:rsid w:val="00712388"/>
    <w:rsid w:val="00712585"/>
    <w:rsid w:val="00712EB3"/>
    <w:rsid w:val="0071370E"/>
    <w:rsid w:val="00714873"/>
    <w:rsid w:val="00716383"/>
    <w:rsid w:val="0071702F"/>
    <w:rsid w:val="007177BB"/>
    <w:rsid w:val="00722261"/>
    <w:rsid w:val="00722BB2"/>
    <w:rsid w:val="007249EA"/>
    <w:rsid w:val="0072514D"/>
    <w:rsid w:val="007274AA"/>
    <w:rsid w:val="00727836"/>
    <w:rsid w:val="00727E9A"/>
    <w:rsid w:val="00731C8B"/>
    <w:rsid w:val="00732969"/>
    <w:rsid w:val="00733F6C"/>
    <w:rsid w:val="00736427"/>
    <w:rsid w:val="00740FD7"/>
    <w:rsid w:val="007411E3"/>
    <w:rsid w:val="00742139"/>
    <w:rsid w:val="00743326"/>
    <w:rsid w:val="00743A90"/>
    <w:rsid w:val="007441B9"/>
    <w:rsid w:val="00744C74"/>
    <w:rsid w:val="00746911"/>
    <w:rsid w:val="00747D4A"/>
    <w:rsid w:val="007509EA"/>
    <w:rsid w:val="00751617"/>
    <w:rsid w:val="007520C8"/>
    <w:rsid w:val="00752321"/>
    <w:rsid w:val="00752954"/>
    <w:rsid w:val="00754FAF"/>
    <w:rsid w:val="0075570C"/>
    <w:rsid w:val="00756067"/>
    <w:rsid w:val="00760415"/>
    <w:rsid w:val="007613D1"/>
    <w:rsid w:val="00763F1D"/>
    <w:rsid w:val="007652F1"/>
    <w:rsid w:val="0076593D"/>
    <w:rsid w:val="00765D71"/>
    <w:rsid w:val="00765FA2"/>
    <w:rsid w:val="007700FC"/>
    <w:rsid w:val="007702F1"/>
    <w:rsid w:val="00774448"/>
    <w:rsid w:val="007746FB"/>
    <w:rsid w:val="00775582"/>
    <w:rsid w:val="00775E5B"/>
    <w:rsid w:val="00781027"/>
    <w:rsid w:val="00784190"/>
    <w:rsid w:val="007855D0"/>
    <w:rsid w:val="00787B2D"/>
    <w:rsid w:val="007910ED"/>
    <w:rsid w:val="007919AE"/>
    <w:rsid w:val="00791F27"/>
    <w:rsid w:val="00792141"/>
    <w:rsid w:val="00792B36"/>
    <w:rsid w:val="00793D4B"/>
    <w:rsid w:val="0079483F"/>
    <w:rsid w:val="007975C7"/>
    <w:rsid w:val="00797F7E"/>
    <w:rsid w:val="007A157A"/>
    <w:rsid w:val="007A16D4"/>
    <w:rsid w:val="007A1AF4"/>
    <w:rsid w:val="007A1B85"/>
    <w:rsid w:val="007A3533"/>
    <w:rsid w:val="007A371E"/>
    <w:rsid w:val="007A39CB"/>
    <w:rsid w:val="007A564C"/>
    <w:rsid w:val="007A7A77"/>
    <w:rsid w:val="007B0310"/>
    <w:rsid w:val="007B0B5B"/>
    <w:rsid w:val="007B1526"/>
    <w:rsid w:val="007B1682"/>
    <w:rsid w:val="007B1F16"/>
    <w:rsid w:val="007B2718"/>
    <w:rsid w:val="007B586E"/>
    <w:rsid w:val="007B5BF7"/>
    <w:rsid w:val="007B6C9B"/>
    <w:rsid w:val="007B7360"/>
    <w:rsid w:val="007C05C9"/>
    <w:rsid w:val="007C1711"/>
    <w:rsid w:val="007C1922"/>
    <w:rsid w:val="007C2043"/>
    <w:rsid w:val="007C4359"/>
    <w:rsid w:val="007C4BB3"/>
    <w:rsid w:val="007C4C34"/>
    <w:rsid w:val="007C4D60"/>
    <w:rsid w:val="007C58AE"/>
    <w:rsid w:val="007C6CB7"/>
    <w:rsid w:val="007C753A"/>
    <w:rsid w:val="007D1742"/>
    <w:rsid w:val="007D3113"/>
    <w:rsid w:val="007D3574"/>
    <w:rsid w:val="007D50A0"/>
    <w:rsid w:val="007E203A"/>
    <w:rsid w:val="007E2A62"/>
    <w:rsid w:val="007E3734"/>
    <w:rsid w:val="007E4D2C"/>
    <w:rsid w:val="007E6284"/>
    <w:rsid w:val="007E65FA"/>
    <w:rsid w:val="007F25C3"/>
    <w:rsid w:val="007F3C9B"/>
    <w:rsid w:val="007F4F35"/>
    <w:rsid w:val="007F5D88"/>
    <w:rsid w:val="007F75E9"/>
    <w:rsid w:val="007F75FF"/>
    <w:rsid w:val="00803041"/>
    <w:rsid w:val="00803080"/>
    <w:rsid w:val="0080676C"/>
    <w:rsid w:val="008100F7"/>
    <w:rsid w:val="00812712"/>
    <w:rsid w:val="00816409"/>
    <w:rsid w:val="0081668A"/>
    <w:rsid w:val="008215A8"/>
    <w:rsid w:val="00821FCF"/>
    <w:rsid w:val="00826505"/>
    <w:rsid w:val="00831808"/>
    <w:rsid w:val="0083234B"/>
    <w:rsid w:val="00832462"/>
    <w:rsid w:val="00832BF7"/>
    <w:rsid w:val="00832FAA"/>
    <w:rsid w:val="00833C8A"/>
    <w:rsid w:val="00833CB5"/>
    <w:rsid w:val="00837598"/>
    <w:rsid w:val="00840689"/>
    <w:rsid w:val="00840809"/>
    <w:rsid w:val="00841C51"/>
    <w:rsid w:val="00850047"/>
    <w:rsid w:val="0085027D"/>
    <w:rsid w:val="008503EC"/>
    <w:rsid w:val="00851C57"/>
    <w:rsid w:val="00855B90"/>
    <w:rsid w:val="00855F07"/>
    <w:rsid w:val="008575B2"/>
    <w:rsid w:val="008576A5"/>
    <w:rsid w:val="008610D1"/>
    <w:rsid w:val="008614E3"/>
    <w:rsid w:val="0086234C"/>
    <w:rsid w:val="00862599"/>
    <w:rsid w:val="00862DFB"/>
    <w:rsid w:val="00864546"/>
    <w:rsid w:val="008658CD"/>
    <w:rsid w:val="0086765F"/>
    <w:rsid w:val="00870734"/>
    <w:rsid w:val="008720EE"/>
    <w:rsid w:val="008733A8"/>
    <w:rsid w:val="008738A6"/>
    <w:rsid w:val="0087746B"/>
    <w:rsid w:val="00877BCD"/>
    <w:rsid w:val="00880429"/>
    <w:rsid w:val="00880B06"/>
    <w:rsid w:val="0088125F"/>
    <w:rsid w:val="00881E7D"/>
    <w:rsid w:val="008821B7"/>
    <w:rsid w:val="00882C2B"/>
    <w:rsid w:val="00884D70"/>
    <w:rsid w:val="008862DD"/>
    <w:rsid w:val="00887AAB"/>
    <w:rsid w:val="00890F7E"/>
    <w:rsid w:val="008918F6"/>
    <w:rsid w:val="00896FA4"/>
    <w:rsid w:val="008A0A47"/>
    <w:rsid w:val="008A1039"/>
    <w:rsid w:val="008A30B6"/>
    <w:rsid w:val="008A3E89"/>
    <w:rsid w:val="008A4EAD"/>
    <w:rsid w:val="008A6D35"/>
    <w:rsid w:val="008A7444"/>
    <w:rsid w:val="008A798C"/>
    <w:rsid w:val="008B01E1"/>
    <w:rsid w:val="008B04BB"/>
    <w:rsid w:val="008B2050"/>
    <w:rsid w:val="008B2DB7"/>
    <w:rsid w:val="008B2FDD"/>
    <w:rsid w:val="008B3F33"/>
    <w:rsid w:val="008B5DAC"/>
    <w:rsid w:val="008B7B9B"/>
    <w:rsid w:val="008C0818"/>
    <w:rsid w:val="008C0A59"/>
    <w:rsid w:val="008C0F86"/>
    <w:rsid w:val="008C12D7"/>
    <w:rsid w:val="008C27C6"/>
    <w:rsid w:val="008C3E9B"/>
    <w:rsid w:val="008C4549"/>
    <w:rsid w:val="008C4CE8"/>
    <w:rsid w:val="008C53E2"/>
    <w:rsid w:val="008C5B51"/>
    <w:rsid w:val="008C6719"/>
    <w:rsid w:val="008C6887"/>
    <w:rsid w:val="008C79A6"/>
    <w:rsid w:val="008D1E2C"/>
    <w:rsid w:val="008D2E24"/>
    <w:rsid w:val="008D3947"/>
    <w:rsid w:val="008D4B04"/>
    <w:rsid w:val="008D7664"/>
    <w:rsid w:val="008D78D6"/>
    <w:rsid w:val="008E22C4"/>
    <w:rsid w:val="008E3BCA"/>
    <w:rsid w:val="008E3F37"/>
    <w:rsid w:val="008E4BFA"/>
    <w:rsid w:val="008E559B"/>
    <w:rsid w:val="008F1760"/>
    <w:rsid w:val="008F3B7E"/>
    <w:rsid w:val="008F58BF"/>
    <w:rsid w:val="008F6068"/>
    <w:rsid w:val="008F61C1"/>
    <w:rsid w:val="008F7933"/>
    <w:rsid w:val="008F7ED9"/>
    <w:rsid w:val="00900616"/>
    <w:rsid w:val="009007AA"/>
    <w:rsid w:val="00900B2A"/>
    <w:rsid w:val="009043BD"/>
    <w:rsid w:val="00904A9F"/>
    <w:rsid w:val="0090658D"/>
    <w:rsid w:val="0091060B"/>
    <w:rsid w:val="00911E45"/>
    <w:rsid w:val="0091498E"/>
    <w:rsid w:val="00914DC0"/>
    <w:rsid w:val="00916A9C"/>
    <w:rsid w:val="00916E6A"/>
    <w:rsid w:val="00916F4E"/>
    <w:rsid w:val="00922874"/>
    <w:rsid w:val="00924181"/>
    <w:rsid w:val="009244CE"/>
    <w:rsid w:val="00924E86"/>
    <w:rsid w:val="00925CAA"/>
    <w:rsid w:val="00926963"/>
    <w:rsid w:val="00931FA9"/>
    <w:rsid w:val="00933248"/>
    <w:rsid w:val="009345C1"/>
    <w:rsid w:val="00937341"/>
    <w:rsid w:val="009408CB"/>
    <w:rsid w:val="00943191"/>
    <w:rsid w:val="009433D2"/>
    <w:rsid w:val="00943A19"/>
    <w:rsid w:val="00943FD1"/>
    <w:rsid w:val="0094479C"/>
    <w:rsid w:val="009459B3"/>
    <w:rsid w:val="00946323"/>
    <w:rsid w:val="009469CE"/>
    <w:rsid w:val="009508F0"/>
    <w:rsid w:val="00951398"/>
    <w:rsid w:val="00951CB1"/>
    <w:rsid w:val="00952E82"/>
    <w:rsid w:val="00952FD2"/>
    <w:rsid w:val="0095426B"/>
    <w:rsid w:val="00954540"/>
    <w:rsid w:val="00954BCF"/>
    <w:rsid w:val="00954C91"/>
    <w:rsid w:val="00955B2C"/>
    <w:rsid w:val="00956429"/>
    <w:rsid w:val="00957ED3"/>
    <w:rsid w:val="00960082"/>
    <w:rsid w:val="00960889"/>
    <w:rsid w:val="00962388"/>
    <w:rsid w:val="00963FDA"/>
    <w:rsid w:val="0096499F"/>
    <w:rsid w:val="0096517A"/>
    <w:rsid w:val="00967ED4"/>
    <w:rsid w:val="00970A5E"/>
    <w:rsid w:val="009729D0"/>
    <w:rsid w:val="0097396C"/>
    <w:rsid w:val="009777AA"/>
    <w:rsid w:val="00984441"/>
    <w:rsid w:val="00987F6A"/>
    <w:rsid w:val="0099091F"/>
    <w:rsid w:val="00991EA8"/>
    <w:rsid w:val="00993760"/>
    <w:rsid w:val="00996085"/>
    <w:rsid w:val="00996B16"/>
    <w:rsid w:val="00996B6C"/>
    <w:rsid w:val="009A0B5C"/>
    <w:rsid w:val="009A1739"/>
    <w:rsid w:val="009A2953"/>
    <w:rsid w:val="009A465B"/>
    <w:rsid w:val="009A507D"/>
    <w:rsid w:val="009A537A"/>
    <w:rsid w:val="009A67B7"/>
    <w:rsid w:val="009B03CD"/>
    <w:rsid w:val="009B0CA0"/>
    <w:rsid w:val="009B0F48"/>
    <w:rsid w:val="009B14A4"/>
    <w:rsid w:val="009B1CDB"/>
    <w:rsid w:val="009B3793"/>
    <w:rsid w:val="009B3977"/>
    <w:rsid w:val="009B3E87"/>
    <w:rsid w:val="009B4C52"/>
    <w:rsid w:val="009B7961"/>
    <w:rsid w:val="009C0553"/>
    <w:rsid w:val="009C0CA2"/>
    <w:rsid w:val="009C2A91"/>
    <w:rsid w:val="009C443A"/>
    <w:rsid w:val="009C4F16"/>
    <w:rsid w:val="009C7C43"/>
    <w:rsid w:val="009D02F0"/>
    <w:rsid w:val="009D0B45"/>
    <w:rsid w:val="009D0BF6"/>
    <w:rsid w:val="009D19BD"/>
    <w:rsid w:val="009D1C20"/>
    <w:rsid w:val="009D1D78"/>
    <w:rsid w:val="009D234B"/>
    <w:rsid w:val="009D3B94"/>
    <w:rsid w:val="009D5505"/>
    <w:rsid w:val="009D6372"/>
    <w:rsid w:val="009E0C6C"/>
    <w:rsid w:val="009E1663"/>
    <w:rsid w:val="009E2FC4"/>
    <w:rsid w:val="009E411F"/>
    <w:rsid w:val="009E4808"/>
    <w:rsid w:val="009E61C3"/>
    <w:rsid w:val="009F16E5"/>
    <w:rsid w:val="009F18A1"/>
    <w:rsid w:val="009F2C73"/>
    <w:rsid w:val="009F3CC2"/>
    <w:rsid w:val="009F4253"/>
    <w:rsid w:val="009F4EFF"/>
    <w:rsid w:val="00A01577"/>
    <w:rsid w:val="00A03164"/>
    <w:rsid w:val="00A04166"/>
    <w:rsid w:val="00A04D10"/>
    <w:rsid w:val="00A078CC"/>
    <w:rsid w:val="00A07918"/>
    <w:rsid w:val="00A103F8"/>
    <w:rsid w:val="00A12E9C"/>
    <w:rsid w:val="00A14884"/>
    <w:rsid w:val="00A207AF"/>
    <w:rsid w:val="00A23065"/>
    <w:rsid w:val="00A26E66"/>
    <w:rsid w:val="00A27C6C"/>
    <w:rsid w:val="00A27FA1"/>
    <w:rsid w:val="00A304DC"/>
    <w:rsid w:val="00A31E6D"/>
    <w:rsid w:val="00A32BB9"/>
    <w:rsid w:val="00A32FDC"/>
    <w:rsid w:val="00A33DAE"/>
    <w:rsid w:val="00A33F5E"/>
    <w:rsid w:val="00A36B5C"/>
    <w:rsid w:val="00A37E3C"/>
    <w:rsid w:val="00A40421"/>
    <w:rsid w:val="00A41882"/>
    <w:rsid w:val="00A43446"/>
    <w:rsid w:val="00A43F13"/>
    <w:rsid w:val="00A445AF"/>
    <w:rsid w:val="00A44869"/>
    <w:rsid w:val="00A4492A"/>
    <w:rsid w:val="00A45EF6"/>
    <w:rsid w:val="00A50B5C"/>
    <w:rsid w:val="00A50BA6"/>
    <w:rsid w:val="00A50F82"/>
    <w:rsid w:val="00A510BB"/>
    <w:rsid w:val="00A55F43"/>
    <w:rsid w:val="00A56B6C"/>
    <w:rsid w:val="00A71E8F"/>
    <w:rsid w:val="00A73FDB"/>
    <w:rsid w:val="00A75EE4"/>
    <w:rsid w:val="00A77D96"/>
    <w:rsid w:val="00A80075"/>
    <w:rsid w:val="00A80FD5"/>
    <w:rsid w:val="00A810BA"/>
    <w:rsid w:val="00A8336E"/>
    <w:rsid w:val="00A8362A"/>
    <w:rsid w:val="00A839A1"/>
    <w:rsid w:val="00A846D2"/>
    <w:rsid w:val="00A850D3"/>
    <w:rsid w:val="00A868E4"/>
    <w:rsid w:val="00A86D9B"/>
    <w:rsid w:val="00A86E62"/>
    <w:rsid w:val="00A90D2C"/>
    <w:rsid w:val="00A93A0D"/>
    <w:rsid w:val="00A93F93"/>
    <w:rsid w:val="00A95428"/>
    <w:rsid w:val="00A957B0"/>
    <w:rsid w:val="00A97823"/>
    <w:rsid w:val="00AA034E"/>
    <w:rsid w:val="00AA128E"/>
    <w:rsid w:val="00AA15F7"/>
    <w:rsid w:val="00AA22E6"/>
    <w:rsid w:val="00AA2AA3"/>
    <w:rsid w:val="00AA377E"/>
    <w:rsid w:val="00AA520E"/>
    <w:rsid w:val="00AA7880"/>
    <w:rsid w:val="00AB009A"/>
    <w:rsid w:val="00AB1889"/>
    <w:rsid w:val="00AB3351"/>
    <w:rsid w:val="00AB3F37"/>
    <w:rsid w:val="00AB573E"/>
    <w:rsid w:val="00AB6D01"/>
    <w:rsid w:val="00AB735A"/>
    <w:rsid w:val="00AC266A"/>
    <w:rsid w:val="00AC3B41"/>
    <w:rsid w:val="00AC5700"/>
    <w:rsid w:val="00AC649D"/>
    <w:rsid w:val="00AD2161"/>
    <w:rsid w:val="00AD25B5"/>
    <w:rsid w:val="00AD295F"/>
    <w:rsid w:val="00AD456C"/>
    <w:rsid w:val="00AD555E"/>
    <w:rsid w:val="00AD5BEF"/>
    <w:rsid w:val="00AD620C"/>
    <w:rsid w:val="00AD6399"/>
    <w:rsid w:val="00AE2588"/>
    <w:rsid w:val="00AE33FA"/>
    <w:rsid w:val="00AE3817"/>
    <w:rsid w:val="00AE4E3D"/>
    <w:rsid w:val="00AE4F7A"/>
    <w:rsid w:val="00AE7001"/>
    <w:rsid w:val="00AE721D"/>
    <w:rsid w:val="00AF0132"/>
    <w:rsid w:val="00AF1A13"/>
    <w:rsid w:val="00AF2D27"/>
    <w:rsid w:val="00AF3768"/>
    <w:rsid w:val="00AF4286"/>
    <w:rsid w:val="00AF4E9D"/>
    <w:rsid w:val="00AF5AD6"/>
    <w:rsid w:val="00B02E9E"/>
    <w:rsid w:val="00B05538"/>
    <w:rsid w:val="00B0685A"/>
    <w:rsid w:val="00B06A35"/>
    <w:rsid w:val="00B1124B"/>
    <w:rsid w:val="00B11609"/>
    <w:rsid w:val="00B11DEB"/>
    <w:rsid w:val="00B1221A"/>
    <w:rsid w:val="00B142CE"/>
    <w:rsid w:val="00B146C1"/>
    <w:rsid w:val="00B154B0"/>
    <w:rsid w:val="00B15790"/>
    <w:rsid w:val="00B158B8"/>
    <w:rsid w:val="00B1754D"/>
    <w:rsid w:val="00B177B9"/>
    <w:rsid w:val="00B2166B"/>
    <w:rsid w:val="00B21D6F"/>
    <w:rsid w:val="00B21ECD"/>
    <w:rsid w:val="00B22EB6"/>
    <w:rsid w:val="00B25DD6"/>
    <w:rsid w:val="00B27FDA"/>
    <w:rsid w:val="00B31C23"/>
    <w:rsid w:val="00B33DE9"/>
    <w:rsid w:val="00B34DB9"/>
    <w:rsid w:val="00B35117"/>
    <w:rsid w:val="00B3527C"/>
    <w:rsid w:val="00B35986"/>
    <w:rsid w:val="00B37526"/>
    <w:rsid w:val="00B37550"/>
    <w:rsid w:val="00B40D7B"/>
    <w:rsid w:val="00B43708"/>
    <w:rsid w:val="00B453AB"/>
    <w:rsid w:val="00B4624E"/>
    <w:rsid w:val="00B47D9A"/>
    <w:rsid w:val="00B5218D"/>
    <w:rsid w:val="00B55244"/>
    <w:rsid w:val="00B55819"/>
    <w:rsid w:val="00B65748"/>
    <w:rsid w:val="00B66628"/>
    <w:rsid w:val="00B6780B"/>
    <w:rsid w:val="00B67CDE"/>
    <w:rsid w:val="00B70DD3"/>
    <w:rsid w:val="00B73BB3"/>
    <w:rsid w:val="00B76841"/>
    <w:rsid w:val="00B770C9"/>
    <w:rsid w:val="00B7727C"/>
    <w:rsid w:val="00B80B5E"/>
    <w:rsid w:val="00B81A50"/>
    <w:rsid w:val="00B82CBB"/>
    <w:rsid w:val="00B830DE"/>
    <w:rsid w:val="00B85715"/>
    <w:rsid w:val="00B8623C"/>
    <w:rsid w:val="00B8681D"/>
    <w:rsid w:val="00B87863"/>
    <w:rsid w:val="00B87A70"/>
    <w:rsid w:val="00B91EB9"/>
    <w:rsid w:val="00B93A24"/>
    <w:rsid w:val="00B9400C"/>
    <w:rsid w:val="00B943BF"/>
    <w:rsid w:val="00B95AEF"/>
    <w:rsid w:val="00B968B4"/>
    <w:rsid w:val="00B96BC9"/>
    <w:rsid w:val="00BA0054"/>
    <w:rsid w:val="00BA0150"/>
    <w:rsid w:val="00BA20E4"/>
    <w:rsid w:val="00BA4626"/>
    <w:rsid w:val="00BA6723"/>
    <w:rsid w:val="00BA696F"/>
    <w:rsid w:val="00BB0962"/>
    <w:rsid w:val="00BB0FA5"/>
    <w:rsid w:val="00BB34D6"/>
    <w:rsid w:val="00BB5071"/>
    <w:rsid w:val="00BB5074"/>
    <w:rsid w:val="00BB6CDC"/>
    <w:rsid w:val="00BC0B41"/>
    <w:rsid w:val="00BC1292"/>
    <w:rsid w:val="00BC3AEA"/>
    <w:rsid w:val="00BC427B"/>
    <w:rsid w:val="00BC4BBE"/>
    <w:rsid w:val="00BD0E94"/>
    <w:rsid w:val="00BD1502"/>
    <w:rsid w:val="00BD1ACC"/>
    <w:rsid w:val="00BD24A7"/>
    <w:rsid w:val="00BD3E6D"/>
    <w:rsid w:val="00BD7F62"/>
    <w:rsid w:val="00BE0B36"/>
    <w:rsid w:val="00BE0CBE"/>
    <w:rsid w:val="00BE2C72"/>
    <w:rsid w:val="00BE589E"/>
    <w:rsid w:val="00BE668A"/>
    <w:rsid w:val="00BE6C06"/>
    <w:rsid w:val="00BE7986"/>
    <w:rsid w:val="00BF15F7"/>
    <w:rsid w:val="00BF29BF"/>
    <w:rsid w:val="00BF356D"/>
    <w:rsid w:val="00BF4112"/>
    <w:rsid w:val="00BF511B"/>
    <w:rsid w:val="00BF55F2"/>
    <w:rsid w:val="00C00A28"/>
    <w:rsid w:val="00C00E5B"/>
    <w:rsid w:val="00C015F0"/>
    <w:rsid w:val="00C03E4E"/>
    <w:rsid w:val="00C04D5E"/>
    <w:rsid w:val="00C055C9"/>
    <w:rsid w:val="00C06717"/>
    <w:rsid w:val="00C10026"/>
    <w:rsid w:val="00C10303"/>
    <w:rsid w:val="00C1270A"/>
    <w:rsid w:val="00C12DAF"/>
    <w:rsid w:val="00C14B7B"/>
    <w:rsid w:val="00C14E54"/>
    <w:rsid w:val="00C23D4F"/>
    <w:rsid w:val="00C251F5"/>
    <w:rsid w:val="00C31597"/>
    <w:rsid w:val="00C31D12"/>
    <w:rsid w:val="00C31D76"/>
    <w:rsid w:val="00C3408F"/>
    <w:rsid w:val="00C356B3"/>
    <w:rsid w:val="00C361D2"/>
    <w:rsid w:val="00C369E5"/>
    <w:rsid w:val="00C3722F"/>
    <w:rsid w:val="00C376D8"/>
    <w:rsid w:val="00C4092A"/>
    <w:rsid w:val="00C40F66"/>
    <w:rsid w:val="00C4206B"/>
    <w:rsid w:val="00C42DEE"/>
    <w:rsid w:val="00C434C5"/>
    <w:rsid w:val="00C45BC9"/>
    <w:rsid w:val="00C50C80"/>
    <w:rsid w:val="00C53FCD"/>
    <w:rsid w:val="00C54DC2"/>
    <w:rsid w:val="00C55B4C"/>
    <w:rsid w:val="00C56707"/>
    <w:rsid w:val="00C5689D"/>
    <w:rsid w:val="00C57C78"/>
    <w:rsid w:val="00C60A92"/>
    <w:rsid w:val="00C610FC"/>
    <w:rsid w:val="00C61796"/>
    <w:rsid w:val="00C643FB"/>
    <w:rsid w:val="00C649F0"/>
    <w:rsid w:val="00C65721"/>
    <w:rsid w:val="00C67C1C"/>
    <w:rsid w:val="00C72AEB"/>
    <w:rsid w:val="00C7351C"/>
    <w:rsid w:val="00C75F5E"/>
    <w:rsid w:val="00C802AA"/>
    <w:rsid w:val="00C823FB"/>
    <w:rsid w:val="00C82897"/>
    <w:rsid w:val="00C8418E"/>
    <w:rsid w:val="00C84477"/>
    <w:rsid w:val="00C850A2"/>
    <w:rsid w:val="00C867CE"/>
    <w:rsid w:val="00C90E5B"/>
    <w:rsid w:val="00C921B8"/>
    <w:rsid w:val="00C92654"/>
    <w:rsid w:val="00C93E37"/>
    <w:rsid w:val="00C945BC"/>
    <w:rsid w:val="00C94FFA"/>
    <w:rsid w:val="00C955C5"/>
    <w:rsid w:val="00CA073A"/>
    <w:rsid w:val="00CA1467"/>
    <w:rsid w:val="00CA625F"/>
    <w:rsid w:val="00CA679D"/>
    <w:rsid w:val="00CA7C53"/>
    <w:rsid w:val="00CA7CDF"/>
    <w:rsid w:val="00CB417B"/>
    <w:rsid w:val="00CB451C"/>
    <w:rsid w:val="00CB512C"/>
    <w:rsid w:val="00CC05C4"/>
    <w:rsid w:val="00CC067B"/>
    <w:rsid w:val="00CC15ED"/>
    <w:rsid w:val="00CC600E"/>
    <w:rsid w:val="00CC6915"/>
    <w:rsid w:val="00CC7612"/>
    <w:rsid w:val="00CD01BB"/>
    <w:rsid w:val="00CD0E5E"/>
    <w:rsid w:val="00CD2A59"/>
    <w:rsid w:val="00CD37AD"/>
    <w:rsid w:val="00CD3CEB"/>
    <w:rsid w:val="00CD44F8"/>
    <w:rsid w:val="00CD4738"/>
    <w:rsid w:val="00CD55BD"/>
    <w:rsid w:val="00CD61AD"/>
    <w:rsid w:val="00CD66A9"/>
    <w:rsid w:val="00CD67E3"/>
    <w:rsid w:val="00CE0C10"/>
    <w:rsid w:val="00CE19C2"/>
    <w:rsid w:val="00CE7051"/>
    <w:rsid w:val="00CE7AC3"/>
    <w:rsid w:val="00CF5C81"/>
    <w:rsid w:val="00D00295"/>
    <w:rsid w:val="00D01EAA"/>
    <w:rsid w:val="00D03AE0"/>
    <w:rsid w:val="00D041CC"/>
    <w:rsid w:val="00D051E2"/>
    <w:rsid w:val="00D05698"/>
    <w:rsid w:val="00D05F83"/>
    <w:rsid w:val="00D06B38"/>
    <w:rsid w:val="00D06FB6"/>
    <w:rsid w:val="00D07A48"/>
    <w:rsid w:val="00D111D1"/>
    <w:rsid w:val="00D12D2D"/>
    <w:rsid w:val="00D142CD"/>
    <w:rsid w:val="00D166B8"/>
    <w:rsid w:val="00D22590"/>
    <w:rsid w:val="00D22863"/>
    <w:rsid w:val="00D23FEF"/>
    <w:rsid w:val="00D2440E"/>
    <w:rsid w:val="00D2720A"/>
    <w:rsid w:val="00D2741F"/>
    <w:rsid w:val="00D27673"/>
    <w:rsid w:val="00D313F6"/>
    <w:rsid w:val="00D3192F"/>
    <w:rsid w:val="00D338AB"/>
    <w:rsid w:val="00D34C7F"/>
    <w:rsid w:val="00D36A38"/>
    <w:rsid w:val="00D40DF3"/>
    <w:rsid w:val="00D41318"/>
    <w:rsid w:val="00D42212"/>
    <w:rsid w:val="00D46E13"/>
    <w:rsid w:val="00D5316E"/>
    <w:rsid w:val="00D53684"/>
    <w:rsid w:val="00D548AB"/>
    <w:rsid w:val="00D55E0D"/>
    <w:rsid w:val="00D565A2"/>
    <w:rsid w:val="00D568D6"/>
    <w:rsid w:val="00D576CA"/>
    <w:rsid w:val="00D57828"/>
    <w:rsid w:val="00D6308D"/>
    <w:rsid w:val="00D63777"/>
    <w:rsid w:val="00D70199"/>
    <w:rsid w:val="00D72BDD"/>
    <w:rsid w:val="00D7708D"/>
    <w:rsid w:val="00D77EE2"/>
    <w:rsid w:val="00D80A06"/>
    <w:rsid w:val="00D81B61"/>
    <w:rsid w:val="00D85A76"/>
    <w:rsid w:val="00D8752E"/>
    <w:rsid w:val="00D9246F"/>
    <w:rsid w:val="00D9279F"/>
    <w:rsid w:val="00D95469"/>
    <w:rsid w:val="00D95E43"/>
    <w:rsid w:val="00D95F72"/>
    <w:rsid w:val="00DA1212"/>
    <w:rsid w:val="00DA1FB3"/>
    <w:rsid w:val="00DA22F2"/>
    <w:rsid w:val="00DA319E"/>
    <w:rsid w:val="00DA3A2A"/>
    <w:rsid w:val="00DA452D"/>
    <w:rsid w:val="00DA52A7"/>
    <w:rsid w:val="00DB12C1"/>
    <w:rsid w:val="00DB15E7"/>
    <w:rsid w:val="00DB1AD5"/>
    <w:rsid w:val="00DB265E"/>
    <w:rsid w:val="00DB2EA9"/>
    <w:rsid w:val="00DB67B5"/>
    <w:rsid w:val="00DC2DC3"/>
    <w:rsid w:val="00DC3E42"/>
    <w:rsid w:val="00DC4A6A"/>
    <w:rsid w:val="00DD0FFF"/>
    <w:rsid w:val="00DD1763"/>
    <w:rsid w:val="00DD3DC1"/>
    <w:rsid w:val="00DE06B0"/>
    <w:rsid w:val="00DE0A15"/>
    <w:rsid w:val="00DE0EFE"/>
    <w:rsid w:val="00DE39D7"/>
    <w:rsid w:val="00DE4535"/>
    <w:rsid w:val="00DE4D52"/>
    <w:rsid w:val="00DE5477"/>
    <w:rsid w:val="00DE6805"/>
    <w:rsid w:val="00DE6F05"/>
    <w:rsid w:val="00DF0589"/>
    <w:rsid w:val="00DF0E14"/>
    <w:rsid w:val="00DF1711"/>
    <w:rsid w:val="00DF2FFC"/>
    <w:rsid w:val="00DF4EB2"/>
    <w:rsid w:val="00DF5521"/>
    <w:rsid w:val="00E00022"/>
    <w:rsid w:val="00E00539"/>
    <w:rsid w:val="00E05F3E"/>
    <w:rsid w:val="00E05FA3"/>
    <w:rsid w:val="00E10585"/>
    <w:rsid w:val="00E13364"/>
    <w:rsid w:val="00E139D2"/>
    <w:rsid w:val="00E159E0"/>
    <w:rsid w:val="00E2110E"/>
    <w:rsid w:val="00E22B06"/>
    <w:rsid w:val="00E22C84"/>
    <w:rsid w:val="00E25697"/>
    <w:rsid w:val="00E263F3"/>
    <w:rsid w:val="00E268EF"/>
    <w:rsid w:val="00E27CA2"/>
    <w:rsid w:val="00E3172D"/>
    <w:rsid w:val="00E32074"/>
    <w:rsid w:val="00E323C3"/>
    <w:rsid w:val="00E327FB"/>
    <w:rsid w:val="00E32EC3"/>
    <w:rsid w:val="00E33FB3"/>
    <w:rsid w:val="00E3457C"/>
    <w:rsid w:val="00E34D40"/>
    <w:rsid w:val="00E34EED"/>
    <w:rsid w:val="00E36D38"/>
    <w:rsid w:val="00E37091"/>
    <w:rsid w:val="00E41267"/>
    <w:rsid w:val="00E436E4"/>
    <w:rsid w:val="00E45522"/>
    <w:rsid w:val="00E46169"/>
    <w:rsid w:val="00E47373"/>
    <w:rsid w:val="00E4759D"/>
    <w:rsid w:val="00E4784C"/>
    <w:rsid w:val="00E50F4C"/>
    <w:rsid w:val="00E516E8"/>
    <w:rsid w:val="00E53A78"/>
    <w:rsid w:val="00E544BE"/>
    <w:rsid w:val="00E5586F"/>
    <w:rsid w:val="00E56D86"/>
    <w:rsid w:val="00E56DDD"/>
    <w:rsid w:val="00E57E5C"/>
    <w:rsid w:val="00E6075C"/>
    <w:rsid w:val="00E60893"/>
    <w:rsid w:val="00E6240D"/>
    <w:rsid w:val="00E62E1C"/>
    <w:rsid w:val="00E640DD"/>
    <w:rsid w:val="00E6448F"/>
    <w:rsid w:val="00E646D9"/>
    <w:rsid w:val="00E72968"/>
    <w:rsid w:val="00E736FB"/>
    <w:rsid w:val="00E760DC"/>
    <w:rsid w:val="00E76A21"/>
    <w:rsid w:val="00E8150A"/>
    <w:rsid w:val="00E81FFE"/>
    <w:rsid w:val="00E82081"/>
    <w:rsid w:val="00E84ABB"/>
    <w:rsid w:val="00E8719A"/>
    <w:rsid w:val="00E87961"/>
    <w:rsid w:val="00E90A5F"/>
    <w:rsid w:val="00E92867"/>
    <w:rsid w:val="00E96550"/>
    <w:rsid w:val="00E96575"/>
    <w:rsid w:val="00E9678F"/>
    <w:rsid w:val="00E96C13"/>
    <w:rsid w:val="00E97F41"/>
    <w:rsid w:val="00EA01E1"/>
    <w:rsid w:val="00EA2ED2"/>
    <w:rsid w:val="00EA4804"/>
    <w:rsid w:val="00EB00D9"/>
    <w:rsid w:val="00EB22AC"/>
    <w:rsid w:val="00EB42B1"/>
    <w:rsid w:val="00EB4D4B"/>
    <w:rsid w:val="00EB4F1E"/>
    <w:rsid w:val="00EB5C16"/>
    <w:rsid w:val="00EB60F2"/>
    <w:rsid w:val="00EB752A"/>
    <w:rsid w:val="00EC10A4"/>
    <w:rsid w:val="00EC1EFE"/>
    <w:rsid w:val="00EC22C4"/>
    <w:rsid w:val="00EC2DCB"/>
    <w:rsid w:val="00EC66A1"/>
    <w:rsid w:val="00EC6DCC"/>
    <w:rsid w:val="00ED2216"/>
    <w:rsid w:val="00ED3FA0"/>
    <w:rsid w:val="00ED4573"/>
    <w:rsid w:val="00ED566A"/>
    <w:rsid w:val="00ED747C"/>
    <w:rsid w:val="00EE1112"/>
    <w:rsid w:val="00EE1539"/>
    <w:rsid w:val="00EE1557"/>
    <w:rsid w:val="00EE1755"/>
    <w:rsid w:val="00EE69A8"/>
    <w:rsid w:val="00EE7B06"/>
    <w:rsid w:val="00EE7E05"/>
    <w:rsid w:val="00EF0089"/>
    <w:rsid w:val="00EF0E4A"/>
    <w:rsid w:val="00EF13AF"/>
    <w:rsid w:val="00EF35B9"/>
    <w:rsid w:val="00EF4DCC"/>
    <w:rsid w:val="00F04FCE"/>
    <w:rsid w:val="00F0526B"/>
    <w:rsid w:val="00F06241"/>
    <w:rsid w:val="00F06BCE"/>
    <w:rsid w:val="00F06EEA"/>
    <w:rsid w:val="00F07A5E"/>
    <w:rsid w:val="00F11E8B"/>
    <w:rsid w:val="00F12C89"/>
    <w:rsid w:val="00F137DB"/>
    <w:rsid w:val="00F13AA6"/>
    <w:rsid w:val="00F1452C"/>
    <w:rsid w:val="00F20EEF"/>
    <w:rsid w:val="00F24679"/>
    <w:rsid w:val="00F300D0"/>
    <w:rsid w:val="00F358B3"/>
    <w:rsid w:val="00F35D95"/>
    <w:rsid w:val="00F36265"/>
    <w:rsid w:val="00F40FE1"/>
    <w:rsid w:val="00F41324"/>
    <w:rsid w:val="00F41B7F"/>
    <w:rsid w:val="00F41F85"/>
    <w:rsid w:val="00F42549"/>
    <w:rsid w:val="00F440B4"/>
    <w:rsid w:val="00F5337A"/>
    <w:rsid w:val="00F558FD"/>
    <w:rsid w:val="00F565BF"/>
    <w:rsid w:val="00F56E48"/>
    <w:rsid w:val="00F614F0"/>
    <w:rsid w:val="00F6490F"/>
    <w:rsid w:val="00F65A84"/>
    <w:rsid w:val="00F70F74"/>
    <w:rsid w:val="00F736BF"/>
    <w:rsid w:val="00F73AAF"/>
    <w:rsid w:val="00F747DB"/>
    <w:rsid w:val="00F754C1"/>
    <w:rsid w:val="00F7778A"/>
    <w:rsid w:val="00F813A3"/>
    <w:rsid w:val="00F81A33"/>
    <w:rsid w:val="00F81CF1"/>
    <w:rsid w:val="00F81DD9"/>
    <w:rsid w:val="00F820EE"/>
    <w:rsid w:val="00F8375D"/>
    <w:rsid w:val="00F83AA1"/>
    <w:rsid w:val="00F84039"/>
    <w:rsid w:val="00F84151"/>
    <w:rsid w:val="00F86C55"/>
    <w:rsid w:val="00F90D69"/>
    <w:rsid w:val="00F94118"/>
    <w:rsid w:val="00F94BD8"/>
    <w:rsid w:val="00F96A82"/>
    <w:rsid w:val="00FA0FA4"/>
    <w:rsid w:val="00FA16BB"/>
    <w:rsid w:val="00FA1A7F"/>
    <w:rsid w:val="00FA384D"/>
    <w:rsid w:val="00FA5A26"/>
    <w:rsid w:val="00FA6A93"/>
    <w:rsid w:val="00FB2A6B"/>
    <w:rsid w:val="00FB4023"/>
    <w:rsid w:val="00FB6942"/>
    <w:rsid w:val="00FB7871"/>
    <w:rsid w:val="00FC0552"/>
    <w:rsid w:val="00FC0F6A"/>
    <w:rsid w:val="00FC5F33"/>
    <w:rsid w:val="00FC63AA"/>
    <w:rsid w:val="00FD00D2"/>
    <w:rsid w:val="00FD140B"/>
    <w:rsid w:val="00FD1CDE"/>
    <w:rsid w:val="00FD2610"/>
    <w:rsid w:val="00FD41F4"/>
    <w:rsid w:val="00FE1332"/>
    <w:rsid w:val="00FE2361"/>
    <w:rsid w:val="00FE2CD7"/>
    <w:rsid w:val="00FE3194"/>
    <w:rsid w:val="00FE3C37"/>
    <w:rsid w:val="00FE3DE5"/>
    <w:rsid w:val="00FE6397"/>
    <w:rsid w:val="00FE7916"/>
    <w:rsid w:val="00FE7E1B"/>
    <w:rsid w:val="00FF5F0F"/>
    <w:rsid w:val="00FF6527"/>
    <w:rsid w:val="00FF74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263DE2B"/>
  <w15:chartTrackingRefBased/>
  <w15:docId w15:val="{682EC7AA-A6FD-4B34-93C1-A007AC8E7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imes New Roman" w:hAnsi="Segoe U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760"/>
  </w:style>
  <w:style w:type="paragraph" w:styleId="Heading1">
    <w:name w:val="heading 1"/>
    <w:basedOn w:val="Normal"/>
    <w:next w:val="FirstParagraph"/>
    <w:link w:val="Heading1Char"/>
    <w:qFormat/>
    <w:rsid w:val="000A79D7"/>
    <w:pPr>
      <w:keepNext/>
      <w:keepLines/>
      <w:spacing w:before="600" w:after="360"/>
      <w:outlineLvl w:val="0"/>
    </w:pPr>
    <w:rPr>
      <w:color w:val="AA322F"/>
      <w:sz w:val="28"/>
    </w:rPr>
  </w:style>
  <w:style w:type="paragraph" w:styleId="Heading2">
    <w:name w:val="heading 2"/>
    <w:basedOn w:val="Normal"/>
    <w:next w:val="FirstParagraph"/>
    <w:link w:val="Heading2Char"/>
    <w:qFormat/>
    <w:rsid w:val="000A79D7"/>
    <w:pPr>
      <w:keepNext/>
      <w:spacing w:before="360" w:after="240"/>
      <w:outlineLvl w:val="1"/>
    </w:pPr>
    <w:rPr>
      <w:color w:val="AA322F"/>
      <w:sz w:val="24"/>
    </w:rPr>
  </w:style>
  <w:style w:type="paragraph" w:styleId="Heading3">
    <w:name w:val="heading 3"/>
    <w:basedOn w:val="Normal"/>
    <w:next w:val="FirstParagraph"/>
    <w:link w:val="Heading3Char"/>
    <w:qFormat/>
    <w:rsid w:val="00BD7F62"/>
    <w:pPr>
      <w:keepNext/>
      <w:spacing w:before="240" w:after="120"/>
      <w:outlineLvl w:val="2"/>
    </w:pPr>
    <w:rPr>
      <w:sz w:val="22"/>
    </w:rPr>
  </w:style>
  <w:style w:type="paragraph" w:styleId="Heading4">
    <w:name w:val="heading 4"/>
    <w:basedOn w:val="Normal"/>
    <w:next w:val="FirstParagraph"/>
    <w:link w:val="Heading4Char"/>
    <w:rsid w:val="00BD7F62"/>
    <w:pPr>
      <w:keepNext/>
      <w:spacing w:before="240" w:after="120"/>
      <w:outlineLvl w:val="3"/>
    </w:pPr>
    <w:rPr>
      <w:i/>
      <w:sz w:val="22"/>
    </w:rPr>
  </w:style>
  <w:style w:type="paragraph" w:styleId="Heading5">
    <w:name w:val="heading 5"/>
    <w:basedOn w:val="Heading4"/>
    <w:next w:val="FirstParagraph"/>
    <w:link w:val="Heading5Char"/>
    <w:rsid w:val="00BD7F62"/>
    <w:pPr>
      <w:outlineLvl w:val="4"/>
    </w:pPr>
    <w:rPr>
      <w:i w:val="0"/>
      <w:sz w:val="20"/>
    </w:rPr>
  </w:style>
  <w:style w:type="paragraph" w:styleId="Heading6">
    <w:name w:val="heading 6"/>
    <w:basedOn w:val="Heading4"/>
    <w:next w:val="FirstParagraph"/>
    <w:link w:val="Heading6Char"/>
    <w:rsid w:val="00BD7F62"/>
    <w:pPr>
      <w:outlineLvl w:val="5"/>
    </w:pPr>
    <w:rPr>
      <w:sz w:val="20"/>
    </w:rPr>
  </w:style>
  <w:style w:type="paragraph" w:styleId="Heading7">
    <w:name w:val="heading 7"/>
    <w:basedOn w:val="Heading6"/>
    <w:next w:val="Paragraph"/>
    <w:link w:val="Heading7Char"/>
    <w:uiPriority w:val="9"/>
    <w:rsid w:val="00D81B61"/>
    <w:pPr>
      <w:outlineLvl w:val="6"/>
    </w:pPr>
  </w:style>
  <w:style w:type="paragraph" w:styleId="Heading8">
    <w:name w:val="heading 8"/>
    <w:basedOn w:val="Heading7"/>
    <w:next w:val="Paragraph"/>
    <w:link w:val="Heading8Char"/>
    <w:uiPriority w:val="9"/>
    <w:rsid w:val="00D81B61"/>
    <w:pPr>
      <w:outlineLvl w:val="7"/>
    </w:pPr>
  </w:style>
  <w:style w:type="paragraph" w:styleId="Heading9">
    <w:name w:val="heading 9"/>
    <w:basedOn w:val="Heading8"/>
    <w:next w:val="Paragraph"/>
    <w:link w:val="Heading9Char"/>
    <w:uiPriority w:val="9"/>
    <w:rsid w:val="00D81B6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79D7"/>
    <w:rPr>
      <w:rFonts w:ascii="Segoe UI" w:hAnsi="Segoe UI"/>
      <w:color w:val="AA322F"/>
      <w:sz w:val="28"/>
      <w:lang w:eastAsia="en-US"/>
    </w:rPr>
  </w:style>
  <w:style w:type="character" w:customStyle="1" w:styleId="Heading2Char">
    <w:name w:val="Heading 2 Char"/>
    <w:link w:val="Heading2"/>
    <w:rsid w:val="000A79D7"/>
    <w:rPr>
      <w:rFonts w:ascii="Segoe UI" w:hAnsi="Segoe UI"/>
      <w:color w:val="AA322F"/>
      <w:sz w:val="24"/>
      <w:lang w:eastAsia="en-US"/>
    </w:rPr>
  </w:style>
  <w:style w:type="character" w:customStyle="1" w:styleId="Heading3Char">
    <w:name w:val="Heading 3 Char"/>
    <w:link w:val="Heading3"/>
    <w:rsid w:val="00BD7F62"/>
    <w:rPr>
      <w:rFonts w:ascii="Segoe UI" w:hAnsi="Segoe UI"/>
      <w:sz w:val="22"/>
      <w:lang w:eastAsia="en-US"/>
    </w:rPr>
  </w:style>
  <w:style w:type="character" w:customStyle="1" w:styleId="Heading4Char">
    <w:name w:val="Heading 4 Char"/>
    <w:link w:val="Heading4"/>
    <w:rsid w:val="00BD7F62"/>
    <w:rPr>
      <w:rFonts w:ascii="Segoe UI" w:hAnsi="Segoe UI"/>
      <w:i/>
      <w:sz w:val="22"/>
      <w:lang w:eastAsia="en-US"/>
    </w:rPr>
  </w:style>
  <w:style w:type="character" w:customStyle="1" w:styleId="Heading5Char">
    <w:name w:val="Heading 5 Char"/>
    <w:link w:val="Heading5"/>
    <w:rsid w:val="00BD7F62"/>
    <w:rPr>
      <w:rFonts w:ascii="Segoe UI" w:hAnsi="Segoe UI"/>
      <w:lang w:eastAsia="en-US"/>
    </w:rPr>
  </w:style>
  <w:style w:type="character" w:customStyle="1" w:styleId="Heading6Char">
    <w:name w:val="Heading 6 Char"/>
    <w:link w:val="Heading6"/>
    <w:rsid w:val="00BD7F62"/>
    <w:rPr>
      <w:rFonts w:ascii="Segoe UI" w:hAnsi="Segoe UI"/>
      <w:i/>
      <w:lang w:eastAsia="en-US"/>
    </w:rPr>
  </w:style>
  <w:style w:type="character" w:customStyle="1" w:styleId="Heading7Char">
    <w:name w:val="Heading 7 Char"/>
    <w:link w:val="Heading7"/>
    <w:uiPriority w:val="9"/>
    <w:rPr>
      <w:rFonts w:ascii="Calibri" w:eastAsia="Times New Roman" w:hAnsi="Calibri" w:cs="Times New Roman"/>
      <w:sz w:val="24"/>
      <w:szCs w:val="24"/>
      <w:lang w:eastAsia="en-US"/>
    </w:rPr>
  </w:style>
  <w:style w:type="character" w:customStyle="1" w:styleId="Heading8Char">
    <w:name w:val="Heading 8 Char"/>
    <w:link w:val="Heading8"/>
    <w:uiPriority w:val="9"/>
    <w:rPr>
      <w:rFonts w:ascii="Calibri" w:eastAsia="Times New Roman" w:hAnsi="Calibri" w:cs="Times New Roman"/>
      <w:i/>
      <w:iCs/>
      <w:sz w:val="24"/>
      <w:szCs w:val="24"/>
      <w:lang w:eastAsia="en-US"/>
    </w:rPr>
  </w:style>
  <w:style w:type="character" w:customStyle="1" w:styleId="Heading9Char">
    <w:name w:val="Heading 9 Char"/>
    <w:link w:val="Heading9"/>
    <w:uiPriority w:val="9"/>
    <w:rPr>
      <w:rFonts w:ascii="Cambria" w:eastAsia="Times New Roman" w:hAnsi="Cambria" w:cs="Times New Roman"/>
      <w:sz w:val="22"/>
      <w:szCs w:val="22"/>
      <w:lang w:eastAsia="en-US"/>
    </w:rPr>
  </w:style>
  <w:style w:type="paragraph" w:customStyle="1" w:styleId="Paragraph">
    <w:name w:val="Paragraph"/>
    <w:basedOn w:val="Normal"/>
    <w:link w:val="ParagraphChar"/>
    <w:qFormat/>
    <w:rsid w:val="00BD7F62"/>
    <w:pPr>
      <w:spacing w:after="120"/>
      <w:ind w:firstLine="397"/>
      <w:jc w:val="both"/>
    </w:pPr>
  </w:style>
  <w:style w:type="paragraph" w:styleId="Header">
    <w:name w:val="header"/>
    <w:basedOn w:val="Normal"/>
    <w:link w:val="HeaderChar"/>
    <w:uiPriority w:val="99"/>
    <w:rsid w:val="00D81B61"/>
    <w:pPr>
      <w:tabs>
        <w:tab w:val="right" w:pos="8845"/>
      </w:tabs>
      <w:spacing w:after="120"/>
      <w:jc w:val="right"/>
    </w:pPr>
  </w:style>
  <w:style w:type="character" w:customStyle="1" w:styleId="HeaderChar">
    <w:name w:val="Header Char"/>
    <w:link w:val="Header"/>
    <w:uiPriority w:val="99"/>
    <w:rPr>
      <w:rFonts w:ascii="Arial" w:hAnsi="Arial"/>
      <w:sz w:val="22"/>
      <w:lang w:eastAsia="en-US"/>
    </w:rPr>
  </w:style>
  <w:style w:type="paragraph" w:styleId="Footer">
    <w:name w:val="footer"/>
    <w:basedOn w:val="Normal"/>
    <w:link w:val="FooterChar"/>
    <w:uiPriority w:val="99"/>
    <w:rsid w:val="00BD7F62"/>
    <w:pPr>
      <w:tabs>
        <w:tab w:val="center" w:pos="4513"/>
        <w:tab w:val="right" w:pos="9026"/>
      </w:tabs>
    </w:pPr>
  </w:style>
  <w:style w:type="character" w:customStyle="1" w:styleId="FooterChar">
    <w:name w:val="Footer Char"/>
    <w:link w:val="Footer"/>
    <w:uiPriority w:val="99"/>
    <w:rsid w:val="00BD7F62"/>
    <w:rPr>
      <w:rFonts w:ascii="Segoe UI" w:hAnsi="Segoe UI"/>
      <w:lang w:eastAsia="en-US"/>
    </w:rPr>
  </w:style>
  <w:style w:type="paragraph" w:customStyle="1" w:styleId="Footerempty">
    <w:name w:val="Footerempty"/>
    <w:basedOn w:val="Footer"/>
    <w:rsid w:val="00D81B61"/>
    <w:pPr>
      <w:tabs>
        <w:tab w:val="clear" w:pos="4513"/>
      </w:tabs>
    </w:pPr>
    <w:rPr>
      <w:color w:val="FFFFFF"/>
      <w:sz w:val="2"/>
    </w:rPr>
  </w:style>
  <w:style w:type="paragraph" w:customStyle="1" w:styleId="Footertext">
    <w:name w:val="Footertext"/>
    <w:basedOn w:val="Normal"/>
    <w:rsid w:val="00AA2AA3"/>
    <w:pPr>
      <w:spacing w:before="120"/>
    </w:pPr>
    <w:rPr>
      <w:sz w:val="14"/>
    </w:rPr>
  </w:style>
  <w:style w:type="paragraph" w:customStyle="1" w:styleId="PubliSubtitle">
    <w:name w:val="PubliSubtitle"/>
    <w:basedOn w:val="Normal"/>
    <w:next w:val="FirstParagraph"/>
    <w:rsid w:val="001333A4"/>
    <w:pPr>
      <w:keepNext/>
      <w:spacing w:after="600"/>
      <w:outlineLvl w:val="0"/>
    </w:pPr>
    <w:rPr>
      <w:sz w:val="28"/>
    </w:rPr>
  </w:style>
  <w:style w:type="paragraph" w:styleId="FootnoteText">
    <w:name w:val="footnote text"/>
    <w:basedOn w:val="Normal"/>
    <w:link w:val="FootnoteTextChar"/>
    <w:rsid w:val="006B4812"/>
    <w:pPr>
      <w:tabs>
        <w:tab w:val="left" w:pos="397"/>
      </w:tabs>
      <w:spacing w:before="120"/>
      <w:ind w:left="397" w:hanging="397"/>
      <w:jc w:val="both"/>
    </w:pPr>
    <w:rPr>
      <w:sz w:val="16"/>
    </w:rPr>
  </w:style>
  <w:style w:type="character" w:customStyle="1" w:styleId="FootnoteTextChar">
    <w:name w:val="Footnote Text Char"/>
    <w:link w:val="FootnoteText"/>
    <w:rsid w:val="006B4812"/>
    <w:rPr>
      <w:rFonts w:ascii="Segoe UI" w:hAnsi="Segoe UI"/>
      <w:sz w:val="16"/>
      <w:lang w:eastAsia="en-US"/>
    </w:rPr>
  </w:style>
  <w:style w:type="character" w:styleId="FootnoteReference">
    <w:name w:val="footnote reference"/>
    <w:rsid w:val="00BD7F62"/>
    <w:rPr>
      <w:rFonts w:ascii="Segoe UI" w:hAnsi="Segoe UI" w:cs="Times New Roman"/>
      <w:vertAlign w:val="superscript"/>
    </w:rPr>
  </w:style>
  <w:style w:type="paragraph" w:customStyle="1" w:styleId="PubliTitle">
    <w:name w:val="PubliTitle"/>
    <w:basedOn w:val="Normal"/>
    <w:next w:val="FirstParagraph"/>
    <w:rsid w:val="000A79D7"/>
    <w:pPr>
      <w:keepNext/>
      <w:spacing w:after="600"/>
      <w:outlineLvl w:val="0"/>
    </w:pPr>
    <w:rPr>
      <w:color w:val="AA322F"/>
      <w:sz w:val="32"/>
    </w:rPr>
  </w:style>
  <w:style w:type="paragraph" w:customStyle="1" w:styleId="TableColumnHeading">
    <w:name w:val="TableColumnHeading"/>
    <w:basedOn w:val="Normal"/>
    <w:rsid w:val="00BD7F62"/>
    <w:pPr>
      <w:spacing w:before="40" w:after="40"/>
      <w:jc w:val="center"/>
    </w:pPr>
    <w:rPr>
      <w:sz w:val="17"/>
    </w:rPr>
  </w:style>
  <w:style w:type="paragraph" w:customStyle="1" w:styleId="TableText">
    <w:name w:val="TableText"/>
    <w:basedOn w:val="TableCell"/>
    <w:qFormat/>
    <w:rsid w:val="00840689"/>
    <w:pPr>
      <w:tabs>
        <w:tab w:val="clear" w:pos="425"/>
      </w:tabs>
    </w:pPr>
  </w:style>
  <w:style w:type="paragraph" w:customStyle="1" w:styleId="TableRowHeading">
    <w:name w:val="TableRowHeading"/>
    <w:basedOn w:val="Normal"/>
    <w:rsid w:val="00BD7F62"/>
    <w:pPr>
      <w:tabs>
        <w:tab w:val="left" w:pos="397"/>
        <w:tab w:val="left" w:pos="794"/>
        <w:tab w:val="left" w:pos="1191"/>
      </w:tabs>
      <w:spacing w:before="40" w:after="40"/>
    </w:pPr>
    <w:rPr>
      <w:sz w:val="17"/>
    </w:rPr>
  </w:style>
  <w:style w:type="paragraph" w:customStyle="1" w:styleId="TableNumber">
    <w:name w:val="TableNumber"/>
    <w:basedOn w:val="Paragraph"/>
    <w:link w:val="TableNumberChar"/>
    <w:rsid w:val="00BD7F62"/>
    <w:pPr>
      <w:ind w:firstLine="0"/>
      <w:jc w:val="right"/>
    </w:pPr>
    <w:rPr>
      <w:sz w:val="18"/>
    </w:rPr>
  </w:style>
  <w:style w:type="paragraph" w:customStyle="1" w:styleId="TableTitle">
    <w:name w:val="TableTitle"/>
    <w:basedOn w:val="TableMainHeading"/>
    <w:next w:val="TableSubtitle"/>
    <w:rsid w:val="00A77D96"/>
  </w:style>
  <w:style w:type="paragraph" w:customStyle="1" w:styleId="TableNote">
    <w:name w:val="TableNote"/>
    <w:basedOn w:val="Normal"/>
    <w:rsid w:val="00BD7F62"/>
    <w:pPr>
      <w:spacing w:before="60" w:after="120"/>
      <w:jc w:val="both"/>
    </w:pPr>
    <w:rPr>
      <w:sz w:val="15"/>
    </w:rPr>
  </w:style>
  <w:style w:type="paragraph" w:customStyle="1" w:styleId="empty">
    <w:name w:val="empty"/>
    <w:basedOn w:val="Normal"/>
    <w:rsid w:val="00BD7F62"/>
    <w:rPr>
      <w:color w:val="FFFFFF"/>
      <w:sz w:val="2"/>
    </w:rPr>
  </w:style>
  <w:style w:type="paragraph" w:customStyle="1" w:styleId="FootnoteSeparator">
    <w:name w:val="FootnoteSeparator"/>
    <w:basedOn w:val="Normal"/>
    <w:rsid w:val="00D81B61"/>
    <w:pPr>
      <w:spacing w:before="240" w:after="120"/>
    </w:pPr>
  </w:style>
  <w:style w:type="paragraph" w:customStyle="1" w:styleId="IndentedHeading1">
    <w:name w:val="Indented Heading 1"/>
    <w:basedOn w:val="Heading1"/>
    <w:next w:val="FirstParagraph"/>
    <w:qFormat/>
    <w:rsid w:val="00956429"/>
    <w:pPr>
      <w:ind w:left="397" w:hanging="397"/>
    </w:pPr>
  </w:style>
  <w:style w:type="paragraph" w:customStyle="1" w:styleId="IndentedHeading2">
    <w:name w:val="Indented Heading 2"/>
    <w:basedOn w:val="Heading2"/>
    <w:next w:val="FirstParagraph"/>
    <w:qFormat/>
    <w:rsid w:val="00956429"/>
    <w:pPr>
      <w:ind w:left="397" w:hanging="397"/>
    </w:pPr>
  </w:style>
  <w:style w:type="paragraph" w:customStyle="1" w:styleId="IndentedHeading3">
    <w:name w:val="Indented Heading 3"/>
    <w:basedOn w:val="Heading3"/>
    <w:next w:val="FirstParagraph"/>
    <w:qFormat/>
    <w:rsid w:val="00BD7F62"/>
    <w:pPr>
      <w:ind w:left="397" w:hanging="397"/>
    </w:pPr>
  </w:style>
  <w:style w:type="paragraph" w:customStyle="1" w:styleId="IndentedHeading4">
    <w:name w:val="Indented Heading 4"/>
    <w:basedOn w:val="Heading4"/>
    <w:next w:val="FirstParagraph"/>
    <w:rsid w:val="00BD7F62"/>
    <w:pPr>
      <w:ind w:left="397" w:hanging="397"/>
    </w:pPr>
  </w:style>
  <w:style w:type="paragraph" w:styleId="TOC1">
    <w:name w:val="toc 1"/>
    <w:basedOn w:val="Normal"/>
    <w:next w:val="TOC2"/>
    <w:uiPriority w:val="39"/>
    <w:rsid w:val="005F43F9"/>
    <w:pPr>
      <w:tabs>
        <w:tab w:val="right" w:leader="dot" w:pos="7428"/>
      </w:tabs>
      <w:spacing w:before="240" w:after="120" w:line="240" w:lineRule="exact"/>
      <w:ind w:left="340" w:right="170" w:hanging="340"/>
      <w:outlineLvl w:val="0"/>
    </w:pPr>
    <w:rPr>
      <w:rFonts w:cs="Segoe UI"/>
      <w:noProof/>
    </w:rPr>
  </w:style>
  <w:style w:type="paragraph" w:styleId="TOC2">
    <w:name w:val="toc 2"/>
    <w:basedOn w:val="Normal"/>
    <w:next w:val="TOC3"/>
    <w:uiPriority w:val="39"/>
    <w:rsid w:val="005F43F9"/>
    <w:pPr>
      <w:tabs>
        <w:tab w:val="right" w:leader="dot" w:pos="7428"/>
      </w:tabs>
      <w:spacing w:after="120"/>
      <w:ind w:left="794" w:right="170" w:hanging="397"/>
      <w:outlineLvl w:val="1"/>
    </w:pPr>
    <w:rPr>
      <w:noProof/>
    </w:rPr>
  </w:style>
  <w:style w:type="paragraph" w:styleId="TOC3">
    <w:name w:val="toc 3"/>
    <w:basedOn w:val="Normal"/>
    <w:next w:val="TOC4"/>
    <w:uiPriority w:val="39"/>
    <w:rsid w:val="00A8362A"/>
    <w:pPr>
      <w:tabs>
        <w:tab w:val="right" w:leader="dot" w:pos="7428"/>
      </w:tabs>
      <w:spacing w:after="120"/>
      <w:ind w:left="1191" w:hanging="397"/>
      <w:outlineLvl w:val="2"/>
    </w:pPr>
    <w:rPr>
      <w:noProof/>
    </w:rPr>
  </w:style>
  <w:style w:type="paragraph" w:styleId="TOC4">
    <w:name w:val="toc 4"/>
    <w:basedOn w:val="TOC3"/>
    <w:next w:val="FirstParagraph"/>
    <w:uiPriority w:val="39"/>
    <w:rsid w:val="000004DE"/>
    <w:pPr>
      <w:ind w:left="1588"/>
    </w:pPr>
  </w:style>
  <w:style w:type="paragraph" w:styleId="TOC5">
    <w:name w:val="toc 5"/>
    <w:basedOn w:val="TOC4"/>
    <w:next w:val="Paragraph"/>
    <w:autoRedefine/>
    <w:uiPriority w:val="39"/>
    <w:semiHidden/>
    <w:rsid w:val="00D81B61"/>
  </w:style>
  <w:style w:type="paragraph" w:styleId="TOC6">
    <w:name w:val="toc 6"/>
    <w:basedOn w:val="TOC5"/>
    <w:next w:val="Paragraph"/>
    <w:autoRedefine/>
    <w:uiPriority w:val="39"/>
    <w:semiHidden/>
    <w:rsid w:val="00D81B61"/>
  </w:style>
  <w:style w:type="paragraph" w:styleId="TOC7">
    <w:name w:val="toc 7"/>
    <w:basedOn w:val="TOC6"/>
    <w:next w:val="Paragraph"/>
    <w:autoRedefine/>
    <w:uiPriority w:val="39"/>
    <w:semiHidden/>
    <w:rsid w:val="00D81B61"/>
  </w:style>
  <w:style w:type="paragraph" w:styleId="TOC8">
    <w:name w:val="toc 8"/>
    <w:basedOn w:val="TOC7"/>
    <w:next w:val="Paragraph"/>
    <w:autoRedefine/>
    <w:uiPriority w:val="39"/>
    <w:semiHidden/>
    <w:rsid w:val="00D81B61"/>
  </w:style>
  <w:style w:type="paragraph" w:styleId="TOC9">
    <w:name w:val="toc 9"/>
    <w:basedOn w:val="TOC8"/>
    <w:next w:val="Paragraph"/>
    <w:autoRedefine/>
    <w:uiPriority w:val="39"/>
    <w:semiHidden/>
    <w:rsid w:val="00D81B61"/>
  </w:style>
  <w:style w:type="paragraph" w:customStyle="1" w:styleId="ContentsTitle">
    <w:name w:val="ContentsTitle"/>
    <w:basedOn w:val="Normal"/>
    <w:next w:val="Paragraph"/>
    <w:rsid w:val="00B33DE9"/>
    <w:pPr>
      <w:spacing w:after="360"/>
    </w:pPr>
    <w:rPr>
      <w:color w:val="AA322F"/>
      <w:sz w:val="24"/>
    </w:rPr>
  </w:style>
  <w:style w:type="paragraph" w:customStyle="1" w:styleId="NTIndentedHeading1">
    <w:name w:val="NT Indented Heading 1"/>
    <w:basedOn w:val="IndentedHeading1"/>
    <w:next w:val="FirstParagraph"/>
    <w:rsid w:val="00D81B61"/>
  </w:style>
  <w:style w:type="paragraph" w:customStyle="1" w:styleId="NTIndentedHeading2">
    <w:name w:val="NT Indented Heading 2"/>
    <w:basedOn w:val="IndentedHeading2"/>
    <w:next w:val="FirstParagraph"/>
    <w:rsid w:val="00D81B61"/>
  </w:style>
  <w:style w:type="paragraph" w:customStyle="1" w:styleId="NTIndentedHeading3">
    <w:name w:val="NT Indented Heading 3"/>
    <w:basedOn w:val="IndentedHeading3"/>
    <w:next w:val="FirstParagraph"/>
    <w:rsid w:val="00D81B61"/>
  </w:style>
  <w:style w:type="paragraph" w:customStyle="1" w:styleId="NTIndentedHeading4">
    <w:name w:val="NT Indented Heading 4"/>
    <w:basedOn w:val="IndentedHeading4"/>
    <w:next w:val="FirstParagraph"/>
    <w:rsid w:val="00D81B61"/>
  </w:style>
  <w:style w:type="paragraph" w:customStyle="1" w:styleId="TableSubtitle">
    <w:name w:val="TableSubtitle"/>
    <w:basedOn w:val="TableMainSubHeading"/>
    <w:rsid w:val="00A77D96"/>
  </w:style>
  <w:style w:type="character" w:styleId="Hyperlink">
    <w:name w:val="Hyperlink"/>
    <w:uiPriority w:val="99"/>
    <w:rsid w:val="00BD7F62"/>
    <w:rPr>
      <w:rFonts w:ascii="Segoe UI" w:hAnsi="Segoe UI" w:cs="Times New Roman"/>
      <w:color w:val="auto"/>
      <w:u w:val="none"/>
    </w:rPr>
  </w:style>
  <w:style w:type="character" w:styleId="FollowedHyperlink">
    <w:name w:val="FollowedHyperlink"/>
    <w:rsid w:val="00BD7F62"/>
    <w:rPr>
      <w:rFonts w:ascii="Segoe UI" w:hAnsi="Segoe UI" w:cs="Times New Roman"/>
      <w:color w:val="auto"/>
      <w:u w:val="none"/>
    </w:rPr>
  </w:style>
  <w:style w:type="paragraph" w:customStyle="1" w:styleId="BoxAuthor">
    <w:name w:val="BoxAuthor"/>
    <w:basedOn w:val="Normal"/>
    <w:next w:val="Normal"/>
    <w:rsid w:val="00AB1889"/>
    <w:pPr>
      <w:spacing w:before="120" w:after="240" w:line="240" w:lineRule="exact"/>
    </w:pPr>
    <w:rPr>
      <w:i/>
    </w:rPr>
  </w:style>
  <w:style w:type="paragraph" w:customStyle="1" w:styleId="BoxFirstParagraph">
    <w:name w:val="BoxFirstParagraph"/>
    <w:basedOn w:val="Normal"/>
    <w:next w:val="Normal"/>
    <w:rsid w:val="00AB1889"/>
    <w:pPr>
      <w:spacing w:before="240" w:after="120" w:line="240" w:lineRule="exact"/>
      <w:jc w:val="both"/>
    </w:pPr>
    <w:rPr>
      <w:sz w:val="18"/>
    </w:rPr>
  </w:style>
  <w:style w:type="paragraph" w:customStyle="1" w:styleId="Author">
    <w:name w:val="Author"/>
    <w:basedOn w:val="AuthorName"/>
    <w:next w:val="Paragraph"/>
    <w:rsid w:val="001333A4"/>
  </w:style>
  <w:style w:type="paragraph" w:customStyle="1" w:styleId="BoxFootnote">
    <w:name w:val="BoxFootnote"/>
    <w:basedOn w:val="TableNote"/>
    <w:rsid w:val="00AB1889"/>
    <w:pPr>
      <w:spacing w:before="0" w:line="240" w:lineRule="exact"/>
    </w:pPr>
  </w:style>
  <w:style w:type="paragraph" w:customStyle="1" w:styleId="ConfidentialityOdd">
    <w:name w:val="ConfidentialityOdd"/>
    <w:basedOn w:val="Normal"/>
    <w:next w:val="Normal"/>
    <w:rsid w:val="00BD7F62"/>
    <w:pPr>
      <w:spacing w:after="120"/>
      <w:jc w:val="right"/>
    </w:pPr>
    <w:rPr>
      <w:rFonts w:cs="Arial"/>
      <w:b/>
      <w:bCs/>
      <w:sz w:val="18"/>
    </w:rPr>
  </w:style>
  <w:style w:type="paragraph" w:customStyle="1" w:styleId="ConfidentialityEven">
    <w:name w:val="ConfidentialityEven"/>
    <w:basedOn w:val="ConfidentialityOdd"/>
    <w:next w:val="Normal"/>
    <w:rsid w:val="00BD7F62"/>
    <w:pPr>
      <w:jc w:val="left"/>
    </w:pPr>
  </w:style>
  <w:style w:type="paragraph" w:styleId="BalloonText">
    <w:name w:val="Balloon Text"/>
    <w:basedOn w:val="Normal"/>
    <w:link w:val="BalloonTextChar"/>
    <w:uiPriority w:val="99"/>
    <w:semiHidden/>
    <w:rsid w:val="00BD7F62"/>
    <w:rPr>
      <w:rFonts w:ascii="Tahoma" w:hAnsi="Tahoma" w:cs="Tahoma"/>
      <w:sz w:val="16"/>
      <w:szCs w:val="16"/>
    </w:rPr>
  </w:style>
  <w:style w:type="character" w:customStyle="1" w:styleId="BalloonTextChar">
    <w:name w:val="Balloon Text Char"/>
    <w:link w:val="BalloonText"/>
    <w:uiPriority w:val="99"/>
    <w:semiHidden/>
    <w:rsid w:val="00BD7F62"/>
    <w:rPr>
      <w:rFonts w:ascii="Tahoma" w:hAnsi="Tahoma" w:cs="Tahoma"/>
      <w:sz w:val="16"/>
      <w:szCs w:val="16"/>
      <w:lang w:eastAsia="en-US"/>
    </w:rPr>
  </w:style>
  <w:style w:type="paragraph" w:customStyle="1" w:styleId="Bulletpoint">
    <w:name w:val="Bullet point"/>
    <w:basedOn w:val="Paragraph"/>
    <w:qFormat/>
    <w:rsid w:val="00F81CF1"/>
    <w:pPr>
      <w:numPr>
        <w:numId w:val="26"/>
      </w:numPr>
      <w:tabs>
        <w:tab w:val="clear" w:pos="2042"/>
        <w:tab w:val="left" w:pos="397"/>
        <w:tab w:val="left" w:pos="794"/>
        <w:tab w:val="left" w:pos="1191"/>
      </w:tabs>
      <w:ind w:left="397" w:hanging="397"/>
    </w:pPr>
  </w:style>
  <w:style w:type="paragraph" w:customStyle="1" w:styleId="BoxHeading">
    <w:name w:val="BoxHeading"/>
    <w:basedOn w:val="Normal"/>
    <w:next w:val="BoxFirstParagraph"/>
    <w:rsid w:val="00546E58"/>
    <w:pPr>
      <w:spacing w:before="120" w:after="120" w:line="240" w:lineRule="exact"/>
    </w:pPr>
    <w:rPr>
      <w:i/>
    </w:rPr>
  </w:style>
  <w:style w:type="paragraph" w:customStyle="1" w:styleId="BoxNumber">
    <w:name w:val="BoxNumber"/>
    <w:basedOn w:val="TableNumber"/>
    <w:next w:val="Normal"/>
    <w:rsid w:val="00AB1889"/>
    <w:pPr>
      <w:spacing w:before="120" w:after="0" w:line="240" w:lineRule="exact"/>
      <w:ind w:left="113" w:right="113"/>
    </w:pPr>
    <w:rPr>
      <w:rFonts w:cs="Segoe UI"/>
    </w:rPr>
  </w:style>
  <w:style w:type="paragraph" w:customStyle="1" w:styleId="BoxParagraph">
    <w:name w:val="BoxParagraph"/>
    <w:basedOn w:val="Normal"/>
    <w:link w:val="BoxParagraphChar"/>
    <w:rsid w:val="00AB1889"/>
    <w:pPr>
      <w:spacing w:after="120" w:line="240" w:lineRule="exact"/>
      <w:ind w:firstLine="397"/>
      <w:jc w:val="both"/>
    </w:pPr>
    <w:rPr>
      <w:sz w:val="18"/>
    </w:rPr>
  </w:style>
  <w:style w:type="paragraph" w:customStyle="1" w:styleId="AuthorName">
    <w:name w:val="AuthorName"/>
    <w:basedOn w:val="Normal"/>
    <w:next w:val="FirstParagraph"/>
    <w:rsid w:val="00C55B4C"/>
    <w:pPr>
      <w:spacing w:after="360"/>
    </w:pPr>
  </w:style>
  <w:style w:type="character" w:customStyle="1" w:styleId="BoxParagraphChar">
    <w:name w:val="BoxParagraph Char"/>
    <w:link w:val="BoxParagraph"/>
    <w:locked/>
    <w:rsid w:val="00AB1889"/>
    <w:rPr>
      <w:rFonts w:ascii="Segoe UI" w:hAnsi="Segoe UI"/>
      <w:sz w:val="18"/>
      <w:lang w:eastAsia="en-US"/>
    </w:rPr>
  </w:style>
  <w:style w:type="paragraph" w:customStyle="1" w:styleId="BoxSub-Title">
    <w:name w:val="BoxSub-Title"/>
    <w:basedOn w:val="Normal"/>
    <w:next w:val="BoxFirstParagraph"/>
    <w:rsid w:val="004D6BA4"/>
    <w:pPr>
      <w:spacing w:before="120" w:after="240" w:line="240" w:lineRule="exact"/>
      <w:outlineLvl w:val="1"/>
    </w:pPr>
  </w:style>
  <w:style w:type="paragraph" w:customStyle="1" w:styleId="BoxTitle">
    <w:name w:val="BoxTitle"/>
    <w:basedOn w:val="Normal"/>
    <w:next w:val="BoxFirstParagraph"/>
    <w:rsid w:val="00AB1889"/>
    <w:pPr>
      <w:keepNext/>
      <w:keepLines/>
      <w:spacing w:before="240" w:line="240" w:lineRule="exact"/>
      <w:outlineLvl w:val="0"/>
    </w:pPr>
    <w:rPr>
      <w:sz w:val="24"/>
    </w:rPr>
  </w:style>
  <w:style w:type="character" w:customStyle="1" w:styleId="ParagraphChar">
    <w:name w:val="Paragraph Char"/>
    <w:link w:val="Paragraph"/>
    <w:locked/>
    <w:rsid w:val="00BD7F62"/>
    <w:rPr>
      <w:rFonts w:ascii="Segoe UI" w:hAnsi="Segoe UI"/>
      <w:lang w:eastAsia="en-US"/>
    </w:rPr>
  </w:style>
  <w:style w:type="paragraph" w:customStyle="1" w:styleId="FirstParagraph">
    <w:name w:val="FirstParagraph"/>
    <w:basedOn w:val="Paragraph"/>
    <w:next w:val="Paragraph"/>
    <w:qFormat/>
    <w:rsid w:val="00BD7F62"/>
    <w:pPr>
      <w:spacing w:before="120"/>
      <w:ind w:firstLine="0"/>
    </w:pPr>
  </w:style>
  <w:style w:type="paragraph" w:customStyle="1" w:styleId="FooterTextEven">
    <w:name w:val="FooterTextEven"/>
    <w:basedOn w:val="Normal"/>
    <w:rsid w:val="00BD7F62"/>
    <w:pPr>
      <w:jc w:val="right"/>
    </w:pPr>
    <w:rPr>
      <w:sz w:val="15"/>
    </w:rPr>
  </w:style>
  <w:style w:type="paragraph" w:customStyle="1" w:styleId="FooterTextOdd">
    <w:name w:val="FooterTextOdd"/>
    <w:basedOn w:val="FooterTextEven"/>
    <w:rsid w:val="00BD7F62"/>
    <w:pPr>
      <w:spacing w:line="205" w:lineRule="exact"/>
      <w:jc w:val="left"/>
    </w:pPr>
  </w:style>
  <w:style w:type="paragraph" w:customStyle="1" w:styleId="Graphplaceholder">
    <w:name w:val="Graph placeholder"/>
    <w:basedOn w:val="Normal"/>
    <w:next w:val="Normal"/>
    <w:rsid w:val="00BD7F62"/>
    <w:pPr>
      <w:pBdr>
        <w:top w:val="single" w:sz="6" w:space="1" w:color="auto"/>
        <w:left w:val="single" w:sz="6" w:space="1" w:color="auto"/>
        <w:bottom w:val="single" w:sz="6" w:space="1" w:color="auto"/>
        <w:right w:val="single" w:sz="6" w:space="1" w:color="auto"/>
      </w:pBdr>
      <w:spacing w:before="480" w:after="480"/>
      <w:jc w:val="center"/>
    </w:pPr>
  </w:style>
  <w:style w:type="paragraph" w:customStyle="1" w:styleId="GraphPanelHeading">
    <w:name w:val="GraphPanelHeading"/>
    <w:basedOn w:val="Normal"/>
    <w:link w:val="GraphPanelHeadingChar"/>
    <w:rsid w:val="00BD7F62"/>
    <w:pPr>
      <w:spacing w:before="100" w:after="40" w:line="200" w:lineRule="exact"/>
    </w:pPr>
  </w:style>
  <w:style w:type="paragraph" w:customStyle="1" w:styleId="GraphFootnote">
    <w:name w:val="GraphFootnote"/>
    <w:basedOn w:val="Normal"/>
    <w:rsid w:val="00BD7F62"/>
    <w:pPr>
      <w:framePr w:hSpace="181" w:vSpace="284" w:wrap="around" w:vAnchor="text" w:hAnchor="text" w:y="1"/>
      <w:spacing w:before="60" w:after="120"/>
      <w:suppressOverlap/>
      <w:jc w:val="both"/>
    </w:pPr>
    <w:rPr>
      <w:rFonts w:cs="Segoe UI"/>
      <w:sz w:val="15"/>
      <w:szCs w:val="14"/>
    </w:rPr>
  </w:style>
  <w:style w:type="paragraph" w:customStyle="1" w:styleId="TableMainHeading">
    <w:name w:val="TableMainHeading"/>
    <w:basedOn w:val="Normal"/>
    <w:next w:val="Normal"/>
    <w:rsid w:val="00BD7F62"/>
    <w:pPr>
      <w:spacing w:before="120" w:after="120"/>
    </w:pPr>
    <w:rPr>
      <w:sz w:val="22"/>
    </w:rPr>
  </w:style>
  <w:style w:type="paragraph" w:customStyle="1" w:styleId="GraphMainHeading">
    <w:name w:val="GraphMainHeading"/>
    <w:basedOn w:val="TableMainHeading"/>
    <w:next w:val="Normal"/>
    <w:rsid w:val="00BD7F62"/>
  </w:style>
  <w:style w:type="paragraph" w:customStyle="1" w:styleId="GraphMainSubHeading">
    <w:name w:val="GraphMainSubHeading"/>
    <w:basedOn w:val="Normal"/>
    <w:rsid w:val="00BD7F62"/>
    <w:pPr>
      <w:keepNext/>
      <w:spacing w:after="120"/>
    </w:pPr>
    <w:rPr>
      <w:sz w:val="18"/>
    </w:rPr>
  </w:style>
  <w:style w:type="paragraph" w:customStyle="1" w:styleId="GraphNumber">
    <w:name w:val="GraphNumber"/>
    <w:basedOn w:val="Normal"/>
    <w:link w:val="GraphNumberChar"/>
    <w:rsid w:val="00BD7F62"/>
    <w:pPr>
      <w:spacing w:after="120"/>
      <w:jc w:val="right"/>
    </w:pPr>
    <w:rPr>
      <w:sz w:val="18"/>
    </w:rPr>
  </w:style>
  <w:style w:type="character" w:customStyle="1" w:styleId="GraphNumberChar">
    <w:name w:val="GraphNumber Char"/>
    <w:link w:val="GraphNumber"/>
    <w:locked/>
    <w:rsid w:val="00BD7F62"/>
    <w:rPr>
      <w:rFonts w:ascii="Segoe UI" w:hAnsi="Segoe UI"/>
      <w:sz w:val="18"/>
      <w:lang w:eastAsia="en-US"/>
    </w:rPr>
  </w:style>
  <w:style w:type="paragraph" w:customStyle="1" w:styleId="TableMainSubHeading">
    <w:name w:val="TableMainSubHeading"/>
    <w:basedOn w:val="TableMainHeading"/>
    <w:rsid w:val="00BD7F62"/>
    <w:pPr>
      <w:spacing w:before="0"/>
    </w:pPr>
    <w:rPr>
      <w:sz w:val="18"/>
    </w:rPr>
  </w:style>
  <w:style w:type="paragraph" w:customStyle="1" w:styleId="GraphScaleText">
    <w:name w:val="GraphScaleText"/>
    <w:basedOn w:val="TableMainSubHeading"/>
    <w:rsid w:val="00BD7F62"/>
    <w:pPr>
      <w:spacing w:before="60" w:after="40"/>
      <w:jc w:val="center"/>
    </w:pPr>
  </w:style>
  <w:style w:type="paragraph" w:customStyle="1" w:styleId="IndentedParagraph">
    <w:name w:val="Indented Paragraph"/>
    <w:basedOn w:val="Paragraph"/>
    <w:rsid w:val="00BD7F62"/>
    <w:pPr>
      <w:tabs>
        <w:tab w:val="left" w:pos="397"/>
      </w:tabs>
      <w:ind w:left="397" w:hanging="397"/>
    </w:pPr>
  </w:style>
  <w:style w:type="paragraph" w:styleId="ListParagraph">
    <w:name w:val="List Paragraph"/>
    <w:basedOn w:val="Normal"/>
    <w:uiPriority w:val="34"/>
    <w:qFormat/>
    <w:rsid w:val="00BD7F62"/>
    <w:pPr>
      <w:ind w:left="720"/>
      <w:contextualSpacing/>
    </w:pPr>
  </w:style>
  <w:style w:type="paragraph" w:customStyle="1" w:styleId="NTHeading1">
    <w:name w:val="NT Heading 1"/>
    <w:basedOn w:val="Heading1"/>
    <w:next w:val="FirstParagraph"/>
    <w:rsid w:val="00BD7F62"/>
  </w:style>
  <w:style w:type="paragraph" w:customStyle="1" w:styleId="NTHeading2">
    <w:name w:val="NT Heading 2"/>
    <w:basedOn w:val="Heading2"/>
    <w:next w:val="FirstParagraph"/>
    <w:rsid w:val="00BD7F62"/>
  </w:style>
  <w:style w:type="paragraph" w:customStyle="1" w:styleId="NTHeading3">
    <w:name w:val="NT Heading 3"/>
    <w:basedOn w:val="Heading3"/>
    <w:next w:val="FirstParagraph"/>
    <w:rsid w:val="00BD7F62"/>
  </w:style>
  <w:style w:type="paragraph" w:customStyle="1" w:styleId="NTHeading4">
    <w:name w:val="NT Heading 4"/>
    <w:basedOn w:val="Heading4"/>
    <w:next w:val="FirstParagraph"/>
    <w:rsid w:val="00BD7F62"/>
  </w:style>
  <w:style w:type="paragraph" w:customStyle="1" w:styleId="PageNumberEven">
    <w:name w:val="PageNumberEven"/>
    <w:basedOn w:val="Normal"/>
    <w:next w:val="Normal"/>
    <w:rsid w:val="001A6FE8"/>
    <w:rPr>
      <w:sz w:val="15"/>
    </w:rPr>
  </w:style>
  <w:style w:type="paragraph" w:customStyle="1" w:styleId="PageNumberOdd">
    <w:name w:val="PageNumberOdd"/>
    <w:basedOn w:val="Normal"/>
    <w:next w:val="Normal"/>
    <w:rsid w:val="001A6FE8"/>
    <w:pPr>
      <w:jc w:val="right"/>
    </w:pPr>
    <w:rPr>
      <w:sz w:val="15"/>
    </w:rPr>
  </w:style>
  <w:style w:type="paragraph" w:customStyle="1" w:styleId="BoxFootnoteText">
    <w:name w:val="BoxFootnoteText"/>
    <w:basedOn w:val="BoxFootnote"/>
    <w:rsid w:val="0048031A"/>
    <w:pPr>
      <w:framePr w:hSpace="187" w:vSpace="284" w:wrap="around" w:vAnchor="text" w:hAnchor="page" w:xAlign="center" w:y="285"/>
      <w:spacing w:after="0"/>
      <w:suppressOverlap/>
      <w:jc w:val="left"/>
    </w:pPr>
    <w:rPr>
      <w:lang w:eastAsia="en-US"/>
    </w:rPr>
  </w:style>
  <w:style w:type="paragraph" w:customStyle="1" w:styleId="BoxText">
    <w:name w:val="BoxText"/>
    <w:basedOn w:val="Normal"/>
    <w:rsid w:val="0048031A"/>
    <w:pPr>
      <w:framePr w:hSpace="187" w:vSpace="284" w:wrap="around" w:vAnchor="text" w:hAnchor="page" w:xAlign="center" w:y="285"/>
      <w:tabs>
        <w:tab w:val="left" w:pos="794"/>
      </w:tabs>
      <w:spacing w:after="120"/>
      <w:ind w:firstLine="794"/>
      <w:suppressOverlap/>
      <w:jc w:val="both"/>
    </w:pPr>
    <w:rPr>
      <w:sz w:val="18"/>
      <w:lang w:eastAsia="en-US"/>
    </w:rPr>
  </w:style>
  <w:style w:type="paragraph" w:customStyle="1" w:styleId="References">
    <w:name w:val="References"/>
    <w:basedOn w:val="FirstParagraph"/>
    <w:rsid w:val="00BD7F62"/>
  </w:style>
  <w:style w:type="table" w:styleId="TableGrid">
    <w:name w:val="Table Grid"/>
    <w:basedOn w:val="TableNormal"/>
    <w:rsid w:val="00BD7F62"/>
    <w:pPr>
      <w:spacing w:line="596"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laceholder">
    <w:name w:val="Table placeholder"/>
    <w:basedOn w:val="Normal"/>
    <w:next w:val="Paragraph"/>
    <w:rsid w:val="00BD7F62"/>
    <w:pPr>
      <w:pBdr>
        <w:top w:val="single" w:sz="6" w:space="1" w:color="auto"/>
        <w:left w:val="single" w:sz="6" w:space="1" w:color="auto"/>
        <w:bottom w:val="single" w:sz="6" w:space="1" w:color="auto"/>
        <w:right w:val="single" w:sz="6" w:space="1" w:color="auto"/>
      </w:pBdr>
      <w:spacing w:before="480" w:after="480"/>
      <w:jc w:val="center"/>
    </w:pPr>
  </w:style>
  <w:style w:type="paragraph" w:customStyle="1" w:styleId="TableCell">
    <w:name w:val="TableCell"/>
    <w:basedOn w:val="Normal"/>
    <w:rsid w:val="00840689"/>
    <w:pPr>
      <w:tabs>
        <w:tab w:val="decimal" w:pos="425"/>
      </w:tabs>
      <w:spacing w:before="40" w:after="40"/>
    </w:pPr>
    <w:rPr>
      <w:sz w:val="17"/>
    </w:rPr>
  </w:style>
  <w:style w:type="character" w:customStyle="1" w:styleId="TableNumberChar">
    <w:name w:val="TableNumber Char"/>
    <w:link w:val="TableNumber"/>
    <w:locked/>
    <w:rsid w:val="00BD7F62"/>
    <w:rPr>
      <w:rFonts w:ascii="Segoe UI" w:hAnsi="Segoe UI"/>
      <w:sz w:val="18"/>
      <w:lang w:eastAsia="en-US"/>
    </w:rPr>
  </w:style>
  <w:style w:type="paragraph" w:customStyle="1" w:styleId="GraphPanelMain">
    <w:name w:val="GraphPanelMain"/>
    <w:basedOn w:val="Normal"/>
    <w:rsid w:val="009C2A91"/>
    <w:pPr>
      <w:ind w:left="-11"/>
    </w:pPr>
    <w:rPr>
      <w:rFonts w:eastAsia="Calibri"/>
      <w:szCs w:val="22"/>
    </w:rPr>
  </w:style>
  <w:style w:type="paragraph" w:customStyle="1" w:styleId="GraphUnitDescriptionLeft">
    <w:name w:val="GraphUnitDescriptionLeft"/>
    <w:basedOn w:val="Normal"/>
    <w:rsid w:val="007A39CB"/>
    <w:pPr>
      <w:tabs>
        <w:tab w:val="right" w:pos="2954"/>
        <w:tab w:val="right" w:pos="5222"/>
      </w:tabs>
      <w:spacing w:before="40"/>
    </w:pPr>
    <w:rPr>
      <w:color w:val="706F6F"/>
      <w:sz w:val="15"/>
    </w:rPr>
  </w:style>
  <w:style w:type="paragraph" w:customStyle="1" w:styleId="GraphUnitDescriptionRight">
    <w:name w:val="GraphUnitDescriptionRight"/>
    <w:basedOn w:val="Normal"/>
    <w:rsid w:val="007A39CB"/>
    <w:pPr>
      <w:spacing w:before="40"/>
      <w:jc w:val="right"/>
    </w:pPr>
    <w:rPr>
      <w:color w:val="706F6F"/>
      <w:sz w:val="15"/>
    </w:rPr>
  </w:style>
  <w:style w:type="character" w:customStyle="1" w:styleId="GraphPanelHeadingChar">
    <w:name w:val="GraphPanelHeading Char"/>
    <w:link w:val="GraphPanelHeading"/>
    <w:locked/>
    <w:rsid w:val="006238C4"/>
    <w:rPr>
      <w:rFonts w:ascii="Segoe UI" w:hAnsi="Segoe UI"/>
      <w:lang w:eastAsia="en-US"/>
    </w:rPr>
  </w:style>
  <w:style w:type="paragraph" w:customStyle="1" w:styleId="Bullethyphen">
    <w:name w:val="Bullet hyphen"/>
    <w:basedOn w:val="Paragraph"/>
    <w:qFormat/>
    <w:rsid w:val="00DE0EFE"/>
    <w:pPr>
      <w:numPr>
        <w:numId w:val="24"/>
      </w:numPr>
      <w:tabs>
        <w:tab w:val="left" w:pos="397"/>
        <w:tab w:val="left" w:pos="794"/>
        <w:tab w:val="left" w:pos="1191"/>
      </w:tabs>
      <w:ind w:left="397" w:hanging="397"/>
    </w:pPr>
    <w:rPr>
      <w:noProof/>
    </w:rPr>
  </w:style>
  <w:style w:type="paragraph" w:customStyle="1" w:styleId="Bulletnumber">
    <w:name w:val="Bullet number"/>
    <w:basedOn w:val="Paragraph"/>
    <w:qFormat/>
    <w:rsid w:val="00F81CF1"/>
    <w:pPr>
      <w:numPr>
        <w:numId w:val="25"/>
      </w:numPr>
      <w:tabs>
        <w:tab w:val="clear" w:pos="851"/>
        <w:tab w:val="left" w:pos="397"/>
        <w:tab w:val="left" w:pos="794"/>
      </w:tabs>
      <w:ind w:left="397" w:hanging="397"/>
    </w:pPr>
    <w:rPr>
      <w:noProof/>
    </w:rPr>
  </w:style>
  <w:style w:type="paragraph" w:styleId="NoSpacing">
    <w:name w:val="No Spacing"/>
    <w:link w:val="NoSpacingChar"/>
    <w:uiPriority w:val="1"/>
    <w:qFormat/>
    <w:rsid w:val="001E1FB2"/>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1E1FB2"/>
    <w:rPr>
      <w:rFonts w:asciiTheme="minorHAnsi" w:eastAsiaTheme="minorEastAsia" w:hAnsiTheme="minorHAnsi" w:cstheme="minorBidi"/>
      <w:sz w:val="22"/>
      <w:szCs w:val="22"/>
      <w:lang w:val="en-US" w:eastAsia="ja-JP"/>
    </w:rPr>
  </w:style>
  <w:style w:type="character" w:customStyle="1" w:styleId="Charactergrey">
    <w:name w:val="Character grey"/>
    <w:basedOn w:val="DefaultParagraphFont"/>
    <w:rsid w:val="00106B6A"/>
    <w:rPr>
      <w:rFonts w:cs="Segoe UI"/>
      <w:i w:val="0"/>
      <w:iCs/>
      <w:color w:val="A5A5A5"/>
    </w:rPr>
  </w:style>
  <w:style w:type="character" w:customStyle="1" w:styleId="Characterred">
    <w:name w:val="Character red"/>
    <w:basedOn w:val="DefaultParagraphFont"/>
    <w:rsid w:val="00106B6A"/>
    <w:rPr>
      <w:rFonts w:cs="Segoe UI"/>
      <w:i w:val="0"/>
      <w:iCs/>
      <w:color w:val="AA322F"/>
    </w:rPr>
  </w:style>
  <w:style w:type="character" w:customStyle="1" w:styleId="HyperlinkBIS">
    <w:name w:val="HyperlinkBIS"/>
    <w:basedOn w:val="DefaultParagraphFont"/>
    <w:uiPriority w:val="1"/>
    <w:qFormat/>
    <w:rsid w:val="00D5316E"/>
    <w:rPr>
      <w:rFonts w:cs="Segoe UI"/>
      <w:u w:val="single" w:color="929993"/>
      <w:bdr w:val="none" w:sz="0" w:space="0" w:color="auto"/>
    </w:rPr>
  </w:style>
  <w:style w:type="paragraph" w:customStyle="1" w:styleId="NumberedParagraph">
    <w:name w:val="Numbered Paragraph"/>
    <w:basedOn w:val="IndentedParagraph"/>
    <w:qFormat/>
    <w:rsid w:val="007E6284"/>
    <w:pPr>
      <w:tabs>
        <w:tab w:val="left" w:pos="794"/>
      </w:tabs>
      <w:ind w:left="0" w:firstLine="0"/>
    </w:pPr>
  </w:style>
  <w:style w:type="paragraph" w:customStyle="1" w:styleId="Graphcell">
    <w:name w:val="Graph cell"/>
    <w:basedOn w:val="Paragraph"/>
    <w:rsid w:val="00D05F83"/>
    <w:pPr>
      <w:keepNext/>
      <w:ind w:right="-68" w:firstLine="0"/>
      <w:jc w:val="left"/>
    </w:pPr>
    <w:rPr>
      <w:spacing w:val="-1"/>
      <w:lang w:eastAsia="en-US"/>
    </w:rPr>
  </w:style>
  <w:style w:type="paragraph" w:customStyle="1" w:styleId="TableSources">
    <w:name w:val="TableSources"/>
    <w:basedOn w:val="Normal"/>
    <w:rsid w:val="00D05F83"/>
    <w:pPr>
      <w:tabs>
        <w:tab w:val="right" w:pos="7314"/>
        <w:tab w:val="right" w:pos="9129"/>
      </w:tabs>
      <w:spacing w:before="60" w:after="56"/>
      <w:ind w:right="113"/>
      <w:jc w:val="both"/>
    </w:pPr>
    <w:rPr>
      <w:sz w:val="15"/>
      <w:szCs w:val="15"/>
      <w:lang w:eastAsia="en-US"/>
    </w:rPr>
  </w:style>
  <w:style w:type="character" w:styleId="PageNumber">
    <w:name w:val="page number"/>
    <w:uiPriority w:val="99"/>
    <w:rsid w:val="00306283"/>
    <w:rPr>
      <w:rFonts w:ascii="Segoe UI" w:hAnsi="Segoe UI" w:cs="Times New Roman"/>
      <w:sz w:val="15"/>
    </w:rPr>
  </w:style>
  <w:style w:type="paragraph" w:customStyle="1" w:styleId="FootertextEven0">
    <w:name w:val="FootertextEven"/>
    <w:basedOn w:val="Normal"/>
    <w:rsid w:val="00306283"/>
    <w:pPr>
      <w:spacing w:before="120"/>
      <w:jc w:val="right"/>
    </w:pPr>
    <w:rPr>
      <w:sz w:val="14"/>
      <w:lang w:eastAsia="en-US"/>
    </w:rPr>
  </w:style>
  <w:style w:type="paragraph" w:customStyle="1" w:styleId="PageNumbereven0">
    <w:name w:val="Page Numbereven"/>
    <w:basedOn w:val="Normal"/>
    <w:rsid w:val="00306283"/>
    <w:pPr>
      <w:spacing w:before="120"/>
    </w:pPr>
    <w:rPr>
      <w:sz w:val="18"/>
      <w:lang w:eastAsia="en-US"/>
    </w:rPr>
  </w:style>
  <w:style w:type="paragraph" w:customStyle="1" w:styleId="FooterPageNumber">
    <w:name w:val="FooterPageNumber"/>
    <w:basedOn w:val="FootertextOdd0"/>
    <w:rsid w:val="00306283"/>
    <w:pPr>
      <w:jc w:val="right"/>
    </w:pPr>
    <w:rPr>
      <w:sz w:val="18"/>
    </w:rPr>
  </w:style>
  <w:style w:type="paragraph" w:customStyle="1" w:styleId="FootertextOdd0">
    <w:name w:val="FootertextOdd"/>
    <w:basedOn w:val="Normal"/>
    <w:rsid w:val="00306283"/>
    <w:pPr>
      <w:spacing w:before="120"/>
    </w:pPr>
    <w:rPr>
      <w:sz w:val="14"/>
      <w:lang w:eastAsia="en-US"/>
    </w:rPr>
  </w:style>
  <w:style w:type="paragraph" w:customStyle="1" w:styleId="StyleBoxSub-Title">
    <w:name w:val="Style BoxSub-Title +"/>
    <w:basedOn w:val="Normal"/>
    <w:rsid w:val="009043BD"/>
    <w:pPr>
      <w:spacing w:before="120" w:after="240" w:line="240" w:lineRule="exact"/>
      <w:outlineLvl w:val="1"/>
    </w:pPr>
    <w:rPr>
      <w:lang w:eastAsia="en-US"/>
    </w:rPr>
  </w:style>
  <w:style w:type="paragraph" w:customStyle="1" w:styleId="NTHeading10">
    <w:name w:val="NTHeading 1"/>
    <w:basedOn w:val="Heading1"/>
    <w:next w:val="Paragraph"/>
    <w:rsid w:val="00401CD1"/>
    <w:pPr>
      <w:spacing w:line="276" w:lineRule="auto"/>
    </w:pPr>
    <w:rPr>
      <w:rFonts w:eastAsiaTheme="minorHAnsi" w:cstheme="minorBidi"/>
      <w:szCs w:val="22"/>
      <w:lang w:eastAsia="en-US"/>
    </w:rPr>
  </w:style>
  <w:style w:type="paragraph" w:customStyle="1" w:styleId="NTHeading20">
    <w:name w:val="NTHeading 2"/>
    <w:basedOn w:val="Heading2"/>
    <w:next w:val="Paragraph"/>
    <w:rsid w:val="00401CD1"/>
    <w:pPr>
      <w:spacing w:line="276" w:lineRule="auto"/>
    </w:pPr>
    <w:rPr>
      <w:rFonts w:eastAsiaTheme="minorHAnsi" w:cs="Segoe UI"/>
      <w:szCs w:val="22"/>
      <w:lang w:eastAsia="en-US"/>
    </w:rPr>
  </w:style>
  <w:style w:type="paragraph" w:customStyle="1" w:styleId="NTHeading30">
    <w:name w:val="NTHeading 3"/>
    <w:basedOn w:val="Heading3"/>
    <w:next w:val="Paragraph"/>
    <w:rsid w:val="00401CD1"/>
    <w:pPr>
      <w:spacing w:line="276" w:lineRule="auto"/>
    </w:pPr>
    <w:rPr>
      <w:rFonts w:eastAsiaTheme="minorHAnsi" w:cstheme="minorBidi"/>
      <w:szCs w:val="22"/>
      <w:lang w:eastAsia="en-US"/>
    </w:rPr>
  </w:style>
  <w:style w:type="paragraph" w:customStyle="1" w:styleId="NTHeading40">
    <w:name w:val="NTHeading 4"/>
    <w:basedOn w:val="Heading4"/>
    <w:next w:val="Paragraph"/>
    <w:rsid w:val="00401CD1"/>
    <w:pPr>
      <w:spacing w:line="276" w:lineRule="auto"/>
    </w:pPr>
    <w:rPr>
      <w:rFonts w:eastAsiaTheme="minorHAnsi" w:cstheme="minorBidi"/>
      <w:szCs w:val="22"/>
      <w:lang w:eastAsia="en-US"/>
    </w:rPr>
  </w:style>
  <w:style w:type="paragraph" w:customStyle="1" w:styleId="NTIndentedHeading10">
    <w:name w:val="NTIndented Heading 1"/>
    <w:basedOn w:val="IndentedHeading1"/>
    <w:next w:val="Paragraph"/>
    <w:rsid w:val="00401CD1"/>
    <w:pPr>
      <w:spacing w:line="276" w:lineRule="auto"/>
    </w:pPr>
    <w:rPr>
      <w:rFonts w:eastAsiaTheme="minorHAnsi" w:cstheme="minorBidi"/>
      <w:szCs w:val="22"/>
      <w:lang w:eastAsia="en-US"/>
    </w:rPr>
  </w:style>
  <w:style w:type="paragraph" w:customStyle="1" w:styleId="NTIndentedHeading20">
    <w:name w:val="NTIndented Heading 2"/>
    <w:basedOn w:val="IndentedHeading2"/>
    <w:next w:val="Paragraph"/>
    <w:rsid w:val="00401CD1"/>
    <w:pPr>
      <w:spacing w:line="276" w:lineRule="auto"/>
    </w:pPr>
    <w:rPr>
      <w:rFonts w:eastAsiaTheme="minorHAnsi" w:cs="Segoe UI"/>
      <w:szCs w:val="22"/>
      <w:lang w:eastAsia="en-US"/>
    </w:rPr>
  </w:style>
  <w:style w:type="paragraph" w:customStyle="1" w:styleId="NTIndentedHeading30">
    <w:name w:val="NTIndented Heading 3"/>
    <w:basedOn w:val="IndentedHeading3"/>
    <w:next w:val="Paragraph"/>
    <w:rsid w:val="00401CD1"/>
    <w:pPr>
      <w:spacing w:line="276" w:lineRule="auto"/>
    </w:pPr>
    <w:rPr>
      <w:rFonts w:eastAsiaTheme="minorHAnsi" w:cstheme="minorBidi"/>
      <w:szCs w:val="22"/>
      <w:lang w:eastAsia="en-US"/>
    </w:rPr>
  </w:style>
  <w:style w:type="paragraph" w:customStyle="1" w:styleId="NTIndentedHeading40">
    <w:name w:val="NTIndented Heading 4"/>
    <w:basedOn w:val="IndentedHeading4"/>
    <w:next w:val="Paragraph"/>
    <w:rsid w:val="00401CD1"/>
    <w:pPr>
      <w:spacing w:line="276" w:lineRule="auto"/>
    </w:pPr>
    <w:rPr>
      <w:rFonts w:eastAsiaTheme="minorHAnsi" w:cstheme="minorBidi"/>
      <w:szCs w:val="22"/>
      <w:lang w:eastAsia="en-US"/>
    </w:rPr>
  </w:style>
  <w:style w:type="paragraph" w:customStyle="1" w:styleId="ContactDetails">
    <w:name w:val="ContactDetails"/>
    <w:basedOn w:val="Normal"/>
    <w:next w:val="Normal"/>
    <w:rsid w:val="00401CD1"/>
    <w:pPr>
      <w:spacing w:after="200" w:line="276" w:lineRule="auto"/>
      <w:jc w:val="right"/>
    </w:pPr>
    <w:rPr>
      <w:rFonts w:eastAsiaTheme="minorHAnsi" w:cstheme="minorBidi"/>
      <w:i/>
      <w:sz w:val="16"/>
      <w:szCs w:val="22"/>
      <w:lang w:eastAsia="en-US"/>
    </w:rPr>
  </w:style>
  <w:style w:type="paragraph" w:customStyle="1" w:styleId="ContentsBISQly">
    <w:name w:val="ContentsBISQly"/>
    <w:basedOn w:val="Normal"/>
    <w:next w:val="Normal"/>
    <w:rsid w:val="00401CD1"/>
    <w:pPr>
      <w:spacing w:after="360" w:line="380" w:lineRule="exact"/>
      <w:outlineLvl w:val="0"/>
    </w:pPr>
    <w:rPr>
      <w:rFonts w:eastAsiaTheme="minorHAnsi" w:cstheme="minorBidi"/>
      <w:sz w:val="31"/>
      <w:szCs w:val="22"/>
      <w:lang w:eastAsia="en-US"/>
    </w:rPr>
  </w:style>
  <w:style w:type="paragraph" w:customStyle="1" w:styleId="ContentsMonthYear">
    <w:name w:val="ContentsMonthYear"/>
    <w:basedOn w:val="Normal"/>
    <w:rsid w:val="00401CD1"/>
    <w:pPr>
      <w:spacing w:before="360" w:after="840" w:line="276" w:lineRule="auto"/>
    </w:pPr>
    <w:rPr>
      <w:rFonts w:eastAsiaTheme="minorHAnsi" w:cstheme="minorBidi"/>
      <w:sz w:val="24"/>
      <w:szCs w:val="22"/>
      <w:lang w:eastAsia="en-US"/>
    </w:rPr>
  </w:style>
  <w:style w:type="paragraph" w:customStyle="1" w:styleId="Heading3Activitiesonly">
    <w:name w:val="Heading 3 Activities only"/>
    <w:basedOn w:val="Heading2"/>
    <w:next w:val="FirstParagraph"/>
    <w:rsid w:val="00401CD1"/>
    <w:pPr>
      <w:spacing w:line="276" w:lineRule="auto"/>
      <w:outlineLvl w:val="2"/>
    </w:pPr>
    <w:rPr>
      <w:rFonts w:eastAsiaTheme="minorHAnsi" w:cs="Segoe UI"/>
      <w:color w:val="auto"/>
      <w:szCs w:val="22"/>
      <w:lang w:eastAsia="en-US"/>
    </w:rPr>
  </w:style>
  <w:style w:type="paragraph" w:customStyle="1" w:styleId="QRAbstract">
    <w:name w:val="QR Abstract"/>
    <w:basedOn w:val="FirstParagraph"/>
    <w:next w:val="Normal"/>
    <w:rsid w:val="00401CD1"/>
    <w:pPr>
      <w:spacing w:line="276" w:lineRule="auto"/>
    </w:pPr>
    <w:rPr>
      <w:rFonts w:eastAsiaTheme="minorHAnsi" w:cstheme="minorBidi"/>
      <w:i/>
      <w:sz w:val="18"/>
      <w:szCs w:val="18"/>
      <w:lang w:eastAsia="en-US"/>
    </w:rPr>
  </w:style>
  <w:style w:type="paragraph" w:customStyle="1" w:styleId="QRClassification">
    <w:name w:val="QR Classification"/>
    <w:basedOn w:val="QRAbstract"/>
    <w:next w:val="FirstParagraph"/>
    <w:rsid w:val="00401CD1"/>
    <w:pPr>
      <w:spacing w:after="1080"/>
    </w:pPr>
    <w:rPr>
      <w:sz w:val="16"/>
    </w:rPr>
  </w:style>
  <w:style w:type="character" w:styleId="Emphasis">
    <w:name w:val="Emphasis"/>
    <w:aliases w:val="Emphasis italic"/>
    <w:qFormat/>
    <w:rsid w:val="00401CD1"/>
    <w:rPr>
      <w:i/>
      <w:iCs/>
    </w:rPr>
  </w:style>
  <w:style w:type="character" w:customStyle="1" w:styleId="Emphasisbold">
    <w:name w:val="Emphasis bold"/>
    <w:qFormat/>
    <w:rsid w:val="00401CD1"/>
    <w:rPr>
      <w:b/>
      <w:bCs/>
      <w:i w:val="0"/>
      <w:iCs/>
    </w:rPr>
  </w:style>
  <w:style w:type="character" w:styleId="CommentReference">
    <w:name w:val="annotation reference"/>
    <w:basedOn w:val="DefaultParagraphFont"/>
    <w:uiPriority w:val="99"/>
    <w:unhideWhenUsed/>
    <w:rsid w:val="00401CD1"/>
    <w:rPr>
      <w:sz w:val="16"/>
      <w:szCs w:val="16"/>
    </w:rPr>
  </w:style>
  <w:style w:type="paragraph" w:styleId="CommentText">
    <w:name w:val="annotation text"/>
    <w:basedOn w:val="Normal"/>
    <w:link w:val="CommentTextChar"/>
    <w:uiPriority w:val="99"/>
    <w:unhideWhenUsed/>
    <w:rsid w:val="00401CD1"/>
    <w:pPr>
      <w:spacing w:after="200"/>
    </w:pPr>
    <w:rPr>
      <w:rFonts w:eastAsiaTheme="minorHAnsi" w:cstheme="minorBidi"/>
      <w:lang w:eastAsia="en-US"/>
    </w:rPr>
  </w:style>
  <w:style w:type="character" w:customStyle="1" w:styleId="CommentTextChar">
    <w:name w:val="Comment Text Char"/>
    <w:basedOn w:val="DefaultParagraphFont"/>
    <w:link w:val="CommentText"/>
    <w:uiPriority w:val="99"/>
    <w:rsid w:val="00401CD1"/>
    <w:rPr>
      <w:rFonts w:eastAsiaTheme="minorHAnsi" w:cstheme="minorBidi"/>
      <w:lang w:eastAsia="en-US"/>
    </w:rPr>
  </w:style>
  <w:style w:type="paragraph" w:styleId="CommentSubject">
    <w:name w:val="annotation subject"/>
    <w:basedOn w:val="CommentText"/>
    <w:next w:val="CommentText"/>
    <w:link w:val="CommentSubjectChar"/>
    <w:uiPriority w:val="99"/>
    <w:unhideWhenUsed/>
    <w:rsid w:val="00401CD1"/>
    <w:rPr>
      <w:b/>
      <w:bCs/>
    </w:rPr>
  </w:style>
  <w:style w:type="character" w:customStyle="1" w:styleId="CommentSubjectChar">
    <w:name w:val="Comment Subject Char"/>
    <w:basedOn w:val="CommentTextChar"/>
    <w:link w:val="CommentSubject"/>
    <w:uiPriority w:val="99"/>
    <w:rsid w:val="00401CD1"/>
    <w:rPr>
      <w:rFonts w:eastAsiaTheme="minorHAnsi" w:cstheme="minorBidi"/>
      <w:b/>
      <w:bCs/>
      <w:lang w:eastAsia="en-US"/>
    </w:rPr>
  </w:style>
  <w:style w:type="paragraph" w:customStyle="1" w:styleId="GraphMainSubHeadingSegoeUI">
    <w:name w:val="GraphMainSubHeading_SegoeUI"/>
    <w:basedOn w:val="Normal"/>
    <w:rsid w:val="00401CD1"/>
    <w:pPr>
      <w:spacing w:after="120"/>
    </w:pPr>
    <w:rPr>
      <w:sz w:val="18"/>
      <w:lang w:eastAsia="en-US"/>
    </w:rPr>
  </w:style>
  <w:style w:type="paragraph" w:customStyle="1" w:styleId="GraphFootnoteSegoeUI">
    <w:name w:val="GraphFootnote_SegoeUI"/>
    <w:basedOn w:val="Normal"/>
    <w:autoRedefine/>
    <w:rsid w:val="00E25697"/>
    <w:pPr>
      <w:framePr w:hSpace="180" w:vSpace="120" w:wrap="around" w:vAnchor="text" w:hAnchor="text" w:y="121"/>
      <w:spacing w:before="60" w:after="120"/>
      <w:suppressOverlap/>
      <w:jc w:val="both"/>
    </w:pPr>
    <w:rPr>
      <w:rFonts w:ascii="Times New Roman" w:eastAsia="Malgun Gothic" w:hAnsi="Times New Roman"/>
      <w:sz w:val="24"/>
      <w:szCs w:val="24"/>
      <w:lang w:eastAsia="ko-KR"/>
    </w:rPr>
  </w:style>
  <w:style w:type="paragraph" w:customStyle="1" w:styleId="GraphNumberSegoeUI">
    <w:name w:val="GraphNumber_SegoeUI"/>
    <w:basedOn w:val="Normal"/>
    <w:link w:val="GraphNumberSegoeUIChar"/>
    <w:rsid w:val="00401CD1"/>
    <w:pPr>
      <w:spacing w:after="120"/>
      <w:jc w:val="right"/>
    </w:pPr>
    <w:rPr>
      <w:sz w:val="18"/>
      <w:lang w:eastAsia="en-US"/>
    </w:rPr>
  </w:style>
  <w:style w:type="character" w:customStyle="1" w:styleId="GraphNumberSegoeUIChar">
    <w:name w:val="GraphNumber_SegoeUI Char"/>
    <w:link w:val="GraphNumberSegoeUI"/>
    <w:locked/>
    <w:rsid w:val="00401CD1"/>
    <w:rPr>
      <w:sz w:val="18"/>
      <w:lang w:eastAsia="en-US"/>
    </w:rPr>
  </w:style>
  <w:style w:type="paragraph" w:customStyle="1" w:styleId="TblTitle0">
    <w:name w:val="TblTitle.0"/>
    <w:basedOn w:val="Normal"/>
    <w:qFormat/>
    <w:rsid w:val="00401CD1"/>
    <w:pPr>
      <w:spacing w:before="120" w:after="120"/>
    </w:pPr>
    <w:rPr>
      <w:sz w:val="22"/>
      <w:lang w:eastAsia="en-US"/>
    </w:rPr>
  </w:style>
  <w:style w:type="paragraph" w:customStyle="1" w:styleId="TblCol">
    <w:name w:val="TblCol"/>
    <w:basedOn w:val="Normal"/>
    <w:rsid w:val="00401CD1"/>
    <w:pPr>
      <w:spacing w:before="40" w:after="40"/>
      <w:jc w:val="center"/>
    </w:pPr>
    <w:rPr>
      <w:sz w:val="17"/>
      <w:lang w:eastAsia="en-US"/>
    </w:rPr>
  </w:style>
  <w:style w:type="paragraph" w:customStyle="1" w:styleId="TblRow">
    <w:name w:val="TblRow"/>
    <w:basedOn w:val="Normal"/>
    <w:rsid w:val="00401CD1"/>
    <w:pPr>
      <w:tabs>
        <w:tab w:val="left" w:pos="397"/>
        <w:tab w:val="left" w:pos="794"/>
        <w:tab w:val="left" w:pos="1191"/>
      </w:tabs>
      <w:spacing w:before="40" w:after="40"/>
    </w:pPr>
    <w:rPr>
      <w:sz w:val="17"/>
      <w:lang w:eastAsia="en-US"/>
    </w:rPr>
  </w:style>
  <w:style w:type="paragraph" w:customStyle="1" w:styleId="TblNote">
    <w:name w:val="TblNote"/>
    <w:basedOn w:val="Normal"/>
    <w:rsid w:val="00401CD1"/>
    <w:pPr>
      <w:spacing w:before="60" w:after="120"/>
      <w:jc w:val="both"/>
    </w:pPr>
    <w:rPr>
      <w:sz w:val="15"/>
      <w:lang w:eastAsia="en-US"/>
    </w:rPr>
  </w:style>
  <w:style w:type="paragraph" w:customStyle="1" w:styleId="TblFirstCell">
    <w:name w:val="TblFirstCell"/>
    <w:basedOn w:val="TblRow"/>
    <w:rsid w:val="00401CD1"/>
    <w:pPr>
      <w:spacing w:before="60"/>
    </w:pPr>
  </w:style>
  <w:style w:type="paragraph" w:customStyle="1" w:styleId="TblAnnotation">
    <w:name w:val="TblAnnotation"/>
    <w:basedOn w:val="Normal"/>
    <w:rsid w:val="00401CD1"/>
    <w:pPr>
      <w:spacing w:line="60" w:lineRule="exact"/>
    </w:pPr>
    <w:rPr>
      <w:sz w:val="14"/>
      <w:lang w:eastAsia="en-US"/>
    </w:rPr>
  </w:style>
  <w:style w:type="paragraph" w:customStyle="1" w:styleId="TblNumber">
    <w:name w:val="TblNumber"/>
    <w:basedOn w:val="Normal"/>
    <w:rsid w:val="00401CD1"/>
    <w:pPr>
      <w:spacing w:after="120"/>
      <w:jc w:val="right"/>
    </w:pPr>
    <w:rPr>
      <w:sz w:val="18"/>
      <w:lang w:eastAsia="en-US"/>
    </w:rPr>
  </w:style>
  <w:style w:type="paragraph" w:customStyle="1" w:styleId="TblCell1">
    <w:name w:val="TblCell.1"/>
    <w:basedOn w:val="Normal"/>
    <w:rsid w:val="00401CD1"/>
    <w:pPr>
      <w:tabs>
        <w:tab w:val="decimal" w:pos="284"/>
      </w:tabs>
      <w:spacing w:before="40" w:after="40"/>
      <w:jc w:val="center"/>
    </w:pPr>
    <w:rPr>
      <w:sz w:val="17"/>
      <w:lang w:eastAsia="en-US"/>
    </w:rPr>
  </w:style>
  <w:style w:type="paragraph" w:customStyle="1" w:styleId="GraphMainHeadingSegoeUI">
    <w:name w:val="GraphMainHeading_SegoeUI"/>
    <w:basedOn w:val="Normal"/>
    <w:rsid w:val="00401CD1"/>
    <w:pPr>
      <w:spacing w:before="120" w:after="120"/>
    </w:pPr>
    <w:rPr>
      <w:sz w:val="22"/>
      <w:lang w:eastAsia="en-US"/>
    </w:rPr>
  </w:style>
  <w:style w:type="paragraph" w:customStyle="1" w:styleId="GraphPanelHeadingSegoeUI">
    <w:name w:val="GraphPanelHeading_SegoeUI"/>
    <w:basedOn w:val="Normal"/>
    <w:autoRedefine/>
    <w:rsid w:val="00401CD1"/>
    <w:pPr>
      <w:spacing w:before="100" w:after="40" w:line="200" w:lineRule="exact"/>
    </w:pPr>
    <w:rPr>
      <w:sz w:val="18"/>
      <w:lang w:eastAsia="en-US"/>
    </w:rPr>
  </w:style>
  <w:style w:type="paragraph" w:styleId="Revision">
    <w:name w:val="Revision"/>
    <w:hidden/>
    <w:uiPriority w:val="99"/>
    <w:semiHidden/>
    <w:rsid w:val="00401CD1"/>
    <w:rPr>
      <w:rFonts w:asciiTheme="minorHAnsi" w:eastAsiaTheme="minorHAnsi" w:hAnsiTheme="minorHAnsi" w:cstheme="minorBidi"/>
      <w:sz w:val="22"/>
      <w:szCs w:val="22"/>
      <w:lang w:eastAsia="en-US"/>
    </w:rPr>
  </w:style>
  <w:style w:type="paragraph" w:customStyle="1" w:styleId="CoverLogoCell">
    <w:name w:val="CoverLogoCell"/>
    <w:basedOn w:val="FirstParagraph"/>
    <w:rsid w:val="00401CD1"/>
    <w:pPr>
      <w:spacing w:before="0" w:after="0" w:line="276" w:lineRule="auto"/>
    </w:pPr>
    <w:rPr>
      <w:rFonts w:eastAsiaTheme="minorEastAsia" w:cstheme="minorBidi"/>
      <w:szCs w:val="22"/>
    </w:rPr>
  </w:style>
  <w:style w:type="paragraph" w:customStyle="1" w:styleId="CoverMED">
    <w:name w:val="CoverMED"/>
    <w:basedOn w:val="Normal"/>
    <w:next w:val="Normal"/>
    <w:qFormat/>
    <w:rsid w:val="00401CD1"/>
    <w:pPr>
      <w:spacing w:before="120" w:after="480"/>
      <w:ind w:right="284"/>
      <w:jc w:val="both"/>
    </w:pPr>
    <w:rPr>
      <w:rFonts w:eastAsiaTheme="minorEastAsia"/>
      <w:sz w:val="28"/>
    </w:rPr>
  </w:style>
  <w:style w:type="paragraph" w:customStyle="1" w:styleId="CoverDate">
    <w:name w:val="CoverDate"/>
    <w:basedOn w:val="CoverMED"/>
    <w:qFormat/>
    <w:rsid w:val="00401CD1"/>
    <w:pPr>
      <w:spacing w:before="0" w:after="0"/>
    </w:pPr>
    <w:rPr>
      <w:sz w:val="20"/>
    </w:rPr>
  </w:style>
  <w:style w:type="paragraph" w:customStyle="1" w:styleId="CoverTitle">
    <w:name w:val="CoverTitle"/>
    <w:basedOn w:val="Normal"/>
    <w:next w:val="CoverAuthor"/>
    <w:qFormat/>
    <w:rsid w:val="00401CD1"/>
    <w:pPr>
      <w:spacing w:before="120" w:after="240" w:line="440" w:lineRule="exact"/>
      <w:ind w:right="284"/>
    </w:pPr>
    <w:rPr>
      <w:rFonts w:eastAsiaTheme="minorEastAsia"/>
      <w:sz w:val="44"/>
    </w:rPr>
  </w:style>
  <w:style w:type="paragraph" w:customStyle="1" w:styleId="CoverType">
    <w:name w:val="CoverType"/>
    <w:basedOn w:val="Normal"/>
    <w:next w:val="CoverNumber"/>
    <w:qFormat/>
    <w:rsid w:val="00401CD1"/>
    <w:pPr>
      <w:spacing w:before="120" w:line="480" w:lineRule="exact"/>
      <w:ind w:right="284"/>
      <w:jc w:val="both"/>
    </w:pPr>
    <w:rPr>
      <w:rFonts w:eastAsiaTheme="minorEastAsia"/>
      <w:sz w:val="48"/>
    </w:rPr>
  </w:style>
  <w:style w:type="paragraph" w:customStyle="1" w:styleId="CoverNumber">
    <w:name w:val="CoverNumber"/>
    <w:basedOn w:val="Normal"/>
    <w:next w:val="Normal"/>
    <w:qFormat/>
    <w:rsid w:val="00401CD1"/>
    <w:pPr>
      <w:ind w:right="284"/>
    </w:pPr>
    <w:rPr>
      <w:rFonts w:eastAsiaTheme="minorEastAsia"/>
      <w:sz w:val="36"/>
    </w:rPr>
  </w:style>
  <w:style w:type="paragraph" w:customStyle="1" w:styleId="CoverAuthor">
    <w:name w:val="CoverAuthor"/>
    <w:basedOn w:val="Normal"/>
    <w:next w:val="Normal"/>
    <w:qFormat/>
    <w:rsid w:val="00401CD1"/>
    <w:pPr>
      <w:spacing w:after="120"/>
      <w:ind w:right="284"/>
      <w:jc w:val="both"/>
    </w:pPr>
    <w:rPr>
      <w:rFonts w:eastAsiaTheme="minorEastAsia"/>
    </w:rPr>
  </w:style>
  <w:style w:type="paragraph" w:customStyle="1" w:styleId="AbstractText">
    <w:name w:val="AbstractText"/>
    <w:basedOn w:val="Normal"/>
    <w:rsid w:val="00401CD1"/>
    <w:pPr>
      <w:ind w:right="284"/>
      <w:jc w:val="both"/>
    </w:pPr>
    <w:rPr>
      <w:rFonts w:eastAsiaTheme="minorEastAsia"/>
      <w:lang w:val="en-US"/>
    </w:rPr>
  </w:style>
  <w:style w:type="paragraph" w:customStyle="1" w:styleId="CoverClassification">
    <w:name w:val="CoverClassification"/>
    <w:basedOn w:val="Normal"/>
    <w:rsid w:val="00401CD1"/>
    <w:pPr>
      <w:spacing w:after="240"/>
      <w:ind w:right="284"/>
      <w:jc w:val="both"/>
    </w:pPr>
    <w:rPr>
      <w:rFonts w:eastAsiaTheme="minorEastAsia"/>
    </w:rPr>
  </w:style>
  <w:style w:type="paragraph" w:customStyle="1" w:styleId="TblCell2">
    <w:name w:val="TblCell.2"/>
    <w:basedOn w:val="Normal"/>
    <w:rsid w:val="00401CD1"/>
    <w:pPr>
      <w:tabs>
        <w:tab w:val="decimal" w:pos="284"/>
      </w:tabs>
      <w:spacing w:before="40" w:after="40"/>
      <w:jc w:val="center"/>
    </w:pPr>
    <w:rPr>
      <w:sz w:val="17"/>
      <w:lang w:eastAsia="en-US"/>
    </w:rPr>
  </w:style>
  <w:style w:type="paragraph" w:customStyle="1" w:styleId="TblCell">
    <w:name w:val="TblCell"/>
    <w:basedOn w:val="Tbl"/>
    <w:rsid w:val="00401CD1"/>
    <w:pPr>
      <w:tabs>
        <w:tab w:val="decimal" w:pos="284"/>
      </w:tabs>
      <w:spacing w:before="40" w:after="40"/>
      <w:jc w:val="center"/>
    </w:pPr>
    <w:rPr>
      <w:sz w:val="17"/>
    </w:rPr>
  </w:style>
  <w:style w:type="paragraph" w:customStyle="1" w:styleId="TblCell0">
    <w:name w:val="TblCell.0"/>
    <w:basedOn w:val="TblCell"/>
    <w:rsid w:val="00401CD1"/>
  </w:style>
  <w:style w:type="paragraph" w:customStyle="1" w:styleId="TblCell3">
    <w:name w:val="TblCell.3"/>
    <w:basedOn w:val="TblCell"/>
    <w:rsid w:val="00401CD1"/>
  </w:style>
  <w:style w:type="paragraph" w:customStyle="1" w:styleId="TblCell4">
    <w:name w:val="TblCell.4"/>
    <w:basedOn w:val="TblCell"/>
    <w:rsid w:val="00401CD1"/>
  </w:style>
  <w:style w:type="paragraph" w:customStyle="1" w:styleId="TblCell5">
    <w:name w:val="TblCell.5"/>
    <w:basedOn w:val="TblCell"/>
    <w:rsid w:val="00401CD1"/>
  </w:style>
  <w:style w:type="paragraph" w:customStyle="1" w:styleId="Tbl">
    <w:name w:val="Tbl"/>
    <w:basedOn w:val="Normal"/>
    <w:rsid w:val="00401CD1"/>
    <w:rPr>
      <w:sz w:val="18"/>
      <w:lang w:eastAsia="en-US"/>
    </w:rPr>
  </w:style>
  <w:style w:type="paragraph" w:customStyle="1" w:styleId="TblTitle">
    <w:name w:val="TblTitle"/>
    <w:basedOn w:val="Tbl"/>
    <w:rsid w:val="00401CD1"/>
    <w:pPr>
      <w:spacing w:before="120" w:after="120"/>
    </w:pPr>
    <w:rPr>
      <w:sz w:val="22"/>
    </w:rPr>
  </w:style>
  <w:style w:type="paragraph" w:customStyle="1" w:styleId="TblCol0">
    <w:name w:val="TblCol.0"/>
    <w:basedOn w:val="TblCol"/>
    <w:rsid w:val="00401CD1"/>
  </w:style>
  <w:style w:type="paragraph" w:customStyle="1" w:styleId="TblRow0">
    <w:name w:val="TblRow.0"/>
    <w:basedOn w:val="TblRow"/>
    <w:rsid w:val="00401CD1"/>
  </w:style>
  <w:style w:type="paragraph" w:customStyle="1" w:styleId="TblCellD">
    <w:name w:val="TblCell.D"/>
    <w:basedOn w:val="TblCell"/>
    <w:rsid w:val="00401CD1"/>
  </w:style>
  <w:style w:type="paragraph" w:customStyle="1" w:styleId="TblCellC">
    <w:name w:val="TblCell.C"/>
    <w:basedOn w:val="TblCell"/>
    <w:rsid w:val="00401CD1"/>
  </w:style>
  <w:style w:type="paragraph" w:customStyle="1" w:styleId="TblCellA">
    <w:name w:val="TblCell.A"/>
    <w:basedOn w:val="TblCell"/>
    <w:rsid w:val="00401CD1"/>
  </w:style>
  <w:style w:type="paragraph" w:customStyle="1" w:styleId="TblCellB">
    <w:name w:val="TblCell.B"/>
    <w:basedOn w:val="TblCell"/>
    <w:rsid w:val="00401CD1"/>
  </w:style>
  <w:style w:type="paragraph" w:customStyle="1" w:styleId="TblCellI">
    <w:name w:val="TblCell.I"/>
    <w:basedOn w:val="TblCell"/>
    <w:rsid w:val="00401CD1"/>
  </w:style>
  <w:style w:type="paragraph" w:customStyle="1" w:styleId="TblSubTitle">
    <w:name w:val="TblSubTitle"/>
    <w:basedOn w:val="Normal"/>
    <w:qFormat/>
    <w:rsid w:val="00401CD1"/>
    <w:pPr>
      <w:spacing w:after="120"/>
    </w:pPr>
    <w:rPr>
      <w:sz w:val="18"/>
      <w:lang w:eastAsia="en-US"/>
    </w:rPr>
  </w:style>
  <w:style w:type="paragraph" w:customStyle="1" w:styleId="TblRowResize0">
    <w:name w:val="TblRowResize.0"/>
    <w:basedOn w:val="TblRow0"/>
    <w:rsid w:val="00401CD1"/>
  </w:style>
  <w:style w:type="paragraph" w:customStyle="1" w:styleId="TblColResize0">
    <w:name w:val="TblColResize.0"/>
    <w:basedOn w:val="TblCol0"/>
    <w:rsid w:val="00401CD1"/>
  </w:style>
  <w:style w:type="paragraph" w:customStyle="1" w:styleId="MTDisplayEquation">
    <w:name w:val="MTDisplayEquation"/>
    <w:basedOn w:val="Normal"/>
    <w:next w:val="Normal"/>
    <w:link w:val="MTDisplayEquationChar"/>
    <w:rsid w:val="00401CD1"/>
    <w:pPr>
      <w:tabs>
        <w:tab w:val="center" w:pos="4520"/>
        <w:tab w:val="right" w:pos="9020"/>
      </w:tabs>
      <w:spacing w:after="200" w:line="276" w:lineRule="auto"/>
    </w:pPr>
    <w:rPr>
      <w:rFonts w:asciiTheme="minorHAnsi" w:eastAsiaTheme="minorHAnsi" w:hAnsiTheme="minorHAnsi" w:cstheme="minorBidi"/>
      <w:sz w:val="22"/>
      <w:szCs w:val="22"/>
      <w:lang w:eastAsia="en-US"/>
    </w:rPr>
  </w:style>
  <w:style w:type="character" w:customStyle="1" w:styleId="MTDisplayEquationChar">
    <w:name w:val="MTDisplayEquation Char"/>
    <w:basedOn w:val="DefaultParagraphFont"/>
    <w:link w:val="MTDisplayEquation"/>
    <w:rsid w:val="00401CD1"/>
    <w:rPr>
      <w:rFonts w:asciiTheme="minorHAnsi" w:eastAsiaTheme="minorHAnsi" w:hAnsiTheme="minorHAnsi" w:cstheme="minorBidi"/>
      <w:sz w:val="22"/>
      <w:szCs w:val="22"/>
      <w:lang w:eastAsia="en-US"/>
    </w:rPr>
  </w:style>
  <w:style w:type="paragraph" w:customStyle="1" w:styleId="GraphUnitDescription">
    <w:name w:val="GraphUnitDescription"/>
    <w:basedOn w:val="Normal"/>
    <w:rsid w:val="00401CD1"/>
    <w:pPr>
      <w:spacing w:before="40"/>
      <w:ind w:right="28"/>
      <w:jc w:val="right"/>
    </w:pPr>
    <w:rPr>
      <w:color w:val="706F6F"/>
      <w:sz w:val="15"/>
      <w:lang w:eastAsia="en-US"/>
    </w:rPr>
  </w:style>
  <w:style w:type="paragraph" w:customStyle="1" w:styleId="Default">
    <w:name w:val="Default"/>
    <w:rsid w:val="00401CD1"/>
    <w:pPr>
      <w:autoSpaceDE w:val="0"/>
      <w:autoSpaceDN w:val="0"/>
      <w:adjustRightInd w:val="0"/>
    </w:pPr>
    <w:rPr>
      <w:rFonts w:ascii="Calibri" w:eastAsia="Batang" w:hAnsi="Calibri" w:cs="Calibri"/>
      <w:color w:val="000000"/>
      <w:sz w:val="24"/>
      <w:szCs w:val="24"/>
    </w:rPr>
  </w:style>
  <w:style w:type="paragraph" w:styleId="BodyText">
    <w:name w:val="Body Text"/>
    <w:basedOn w:val="Normal"/>
    <w:link w:val="BodyTextChar"/>
    <w:rsid w:val="00401CD1"/>
    <w:pPr>
      <w:spacing w:line="360" w:lineRule="auto"/>
    </w:pPr>
    <w:rPr>
      <w:rFonts w:ascii="Times New Roman" w:eastAsia="Batang" w:hAnsi="Times New Roman"/>
      <w:snapToGrid w:val="0"/>
      <w:sz w:val="22"/>
      <w:lang w:val="x-none" w:eastAsia="en-US"/>
    </w:rPr>
  </w:style>
  <w:style w:type="character" w:customStyle="1" w:styleId="BodyTextChar">
    <w:name w:val="Body Text Char"/>
    <w:basedOn w:val="DefaultParagraphFont"/>
    <w:link w:val="BodyText"/>
    <w:rsid w:val="00401CD1"/>
    <w:rPr>
      <w:rFonts w:ascii="Times New Roman" w:eastAsia="Batang" w:hAnsi="Times New Roman"/>
      <w:snapToGrid w:val="0"/>
      <w:sz w:val="22"/>
      <w:lang w:val="x-none" w:eastAsia="en-US"/>
    </w:rPr>
  </w:style>
  <w:style w:type="paragraph" w:styleId="Date">
    <w:name w:val="Date"/>
    <w:basedOn w:val="Normal"/>
    <w:next w:val="Normal"/>
    <w:link w:val="DateChar"/>
    <w:rsid w:val="00401CD1"/>
    <w:pPr>
      <w:widowControl w:val="0"/>
      <w:wordWrap w:val="0"/>
      <w:autoSpaceDE w:val="0"/>
      <w:autoSpaceDN w:val="0"/>
      <w:jc w:val="both"/>
    </w:pPr>
    <w:rPr>
      <w:rFonts w:ascii="Batang" w:eastAsia="Batang" w:hAnsi="Times New Roman"/>
      <w:color w:val="0000FF"/>
      <w:kern w:val="2"/>
      <w:szCs w:val="24"/>
      <w:lang w:val="x-none" w:eastAsia="x-none"/>
    </w:rPr>
  </w:style>
  <w:style w:type="character" w:customStyle="1" w:styleId="DateChar">
    <w:name w:val="Date Char"/>
    <w:basedOn w:val="DefaultParagraphFont"/>
    <w:link w:val="Date"/>
    <w:rsid w:val="00401CD1"/>
    <w:rPr>
      <w:rFonts w:ascii="Batang" w:eastAsia="Batang" w:hAnsi="Times New Roman"/>
      <w:color w:val="0000FF"/>
      <w:kern w:val="2"/>
      <w:szCs w:val="24"/>
      <w:lang w:val="x-none" w:eastAsia="x-none"/>
    </w:rPr>
  </w:style>
  <w:style w:type="character" w:styleId="PlaceholderText">
    <w:name w:val="Placeholder Text"/>
    <w:basedOn w:val="DefaultParagraphFont"/>
    <w:uiPriority w:val="99"/>
    <w:semiHidden/>
    <w:rsid w:val="00401CD1"/>
    <w:rPr>
      <w:color w:val="808080"/>
    </w:rPr>
  </w:style>
  <w:style w:type="paragraph" w:customStyle="1" w:styleId="CoverCopyright">
    <w:name w:val="CoverCopyright"/>
    <w:basedOn w:val="Normal"/>
    <w:rsid w:val="00EE69A8"/>
    <w:pPr>
      <w:spacing w:after="120"/>
      <w:ind w:left="397" w:hanging="397"/>
      <w:jc w:val="both"/>
    </w:pPr>
    <w:rPr>
      <w:rFonts w:eastAsiaTheme="minorEastAsia"/>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46162">
      <w:bodyDiv w:val="1"/>
      <w:marLeft w:val="0"/>
      <w:marRight w:val="0"/>
      <w:marTop w:val="0"/>
      <w:marBottom w:val="0"/>
      <w:divBdr>
        <w:top w:val="none" w:sz="0" w:space="0" w:color="auto"/>
        <w:left w:val="none" w:sz="0" w:space="0" w:color="auto"/>
        <w:bottom w:val="none" w:sz="0" w:space="0" w:color="auto"/>
        <w:right w:val="none" w:sz="0" w:space="0" w:color="auto"/>
      </w:divBdr>
    </w:div>
    <w:div w:id="467672694">
      <w:bodyDiv w:val="1"/>
      <w:marLeft w:val="0"/>
      <w:marRight w:val="0"/>
      <w:marTop w:val="0"/>
      <w:marBottom w:val="0"/>
      <w:divBdr>
        <w:top w:val="none" w:sz="0" w:space="0" w:color="auto"/>
        <w:left w:val="none" w:sz="0" w:space="0" w:color="auto"/>
        <w:bottom w:val="none" w:sz="0" w:space="0" w:color="auto"/>
        <w:right w:val="none" w:sz="0" w:space="0" w:color="auto"/>
      </w:divBdr>
    </w:div>
    <w:div w:id="991640749">
      <w:bodyDiv w:val="1"/>
      <w:marLeft w:val="0"/>
      <w:marRight w:val="0"/>
      <w:marTop w:val="0"/>
      <w:marBottom w:val="0"/>
      <w:divBdr>
        <w:top w:val="none" w:sz="0" w:space="0" w:color="auto"/>
        <w:left w:val="none" w:sz="0" w:space="0" w:color="auto"/>
        <w:bottom w:val="none" w:sz="0" w:space="0" w:color="auto"/>
        <w:right w:val="none" w:sz="0" w:space="0" w:color="auto"/>
      </w:divBdr>
    </w:div>
    <w:div w:id="139843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e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bnz.govt.nz/-/media/ReserveBank/Files/Publications/Research/additional-research/leo-krippner/5892888.pdf" TargetMode="External"/><Relationship Id="rId24" Type="http://schemas.openxmlformats.org/officeDocument/2006/relationships/image" Target="media/image8.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oleObject" Target="embeddings/oleObject3.bin"/><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mailto:aaron.mehrotra@bi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Shared\BIS\Office_Templates\Publications\Publication%2013.1c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169B7D01B6BE41B76CEEC62B7D8DB7" ma:contentTypeVersion="0" ma:contentTypeDescription="Create a new document." ma:contentTypeScope="" ma:versionID="55abbdf417b261d87b3a39e4cca8f607">
  <xsd:schema xmlns:xsd="http://www.w3.org/2001/XMLSchema" xmlns:xs="http://www.w3.org/2001/XMLSchema" xmlns:p="http://schemas.microsoft.com/office/2006/metadata/properties" targetNamespace="http://schemas.microsoft.com/office/2006/metadata/properties" ma:root="true" ma:fieldsID="dfed8e4b4e03827f578a6fc9e8e1271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409D5-66BA-456E-9C1D-055D6B6111DE}">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8FB8916-5C8F-415A-8CC8-BB32F767F148}">
  <ds:schemaRefs>
    <ds:schemaRef ds:uri="http://schemas.microsoft.com/sharepoint/v3/contenttype/forms"/>
  </ds:schemaRefs>
</ds:datastoreItem>
</file>

<file path=customXml/itemProps3.xml><?xml version="1.0" encoding="utf-8"?>
<ds:datastoreItem xmlns:ds="http://schemas.openxmlformats.org/officeDocument/2006/customXml" ds:itemID="{FECC57C4-BDF1-41EB-8EB0-DD32227E9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4EE344-C52D-4569-ADF7-83D9F8752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13.1cm</Template>
  <TotalTime>4</TotalTime>
  <Pages>31</Pages>
  <Words>7057</Words>
  <Characters>41896</Characters>
  <Application>Microsoft Office Word</Application>
  <DocSecurity>0</DocSecurity>
  <Lines>1257</Lines>
  <Paragraphs>710</Paragraphs>
  <ScaleCrop>false</ScaleCrop>
  <HeadingPairs>
    <vt:vector size="2" baseType="variant">
      <vt:variant>
        <vt:lpstr>Title</vt:lpstr>
      </vt:variant>
      <vt:variant>
        <vt:i4>1</vt:i4>
      </vt:variant>
    </vt:vector>
  </HeadingPairs>
  <TitlesOfParts>
    <vt:vector size="1" baseType="lpstr">
      <vt:lpstr>Publication 13.1cm</vt:lpstr>
    </vt:vector>
  </TitlesOfParts>
  <Company>Bank for International Settlements</Company>
  <LinksUpToDate>false</LinksUpToDate>
  <CharactersWithSpaces>48258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 13.1cm</dc:title>
  <dc:creator>Wagner, Louisa</dc:creator>
  <cp:keywords/>
  <dc:description>Quick parts support on even and odd footer and headers/tables/boxes and graphs
Autotext functionalities deleted</dc:description>
  <cp:lastModifiedBy>Banerjee, Ryan</cp:lastModifiedBy>
  <cp:revision>3</cp:revision>
  <cp:lastPrinted>2019-09-16T13:06:00Z</cp:lastPrinted>
  <dcterms:created xsi:type="dcterms:W3CDTF">2020-02-03T09:03:00Z</dcterms:created>
  <dcterms:modified xsi:type="dcterms:W3CDTF">2020-02-03T09:09:00Z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0x01010048169B7D01B6BE41B76CEEC62B7D8DB7</vt:lpwstr>
  </property>
</Properties>
</file>