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6CD6D" w14:textId="683FB0C8" w:rsidR="000B7672" w:rsidRPr="00FA7FE0" w:rsidRDefault="000B7672" w:rsidP="00201929">
      <w:pPr>
        <w:shd w:val="clear" w:color="auto" w:fill="FFFFFF"/>
        <w:spacing w:after="0" w:line="240" w:lineRule="auto"/>
        <w:jc w:val="both"/>
      </w:pPr>
      <w:r w:rsidRPr="00FA7FE0">
        <w:t xml:space="preserve">Dear Editorial Office, </w:t>
      </w:r>
    </w:p>
    <w:p w14:paraId="6E6DE735" w14:textId="094BD471" w:rsidR="00201929" w:rsidRPr="00FA7FE0" w:rsidRDefault="00201929" w:rsidP="00201929">
      <w:pPr>
        <w:shd w:val="clear" w:color="auto" w:fill="FFFFFF"/>
        <w:spacing w:after="0" w:line="240" w:lineRule="auto"/>
        <w:jc w:val="both"/>
      </w:pPr>
    </w:p>
    <w:p w14:paraId="79728B60" w14:textId="61DB3448" w:rsidR="000B7672" w:rsidRDefault="00201929" w:rsidP="00BA0AAB">
      <w:pPr>
        <w:shd w:val="clear" w:color="auto" w:fill="FFFFFF"/>
        <w:spacing w:after="0" w:line="240" w:lineRule="auto"/>
        <w:jc w:val="both"/>
      </w:pPr>
      <w:r w:rsidRPr="00201929">
        <w:t>I hereby submit the d</w:t>
      </w:r>
      <w:r>
        <w:t>ocuments for the publication of our paper “</w:t>
      </w:r>
      <w:r w:rsidRPr="00201929">
        <w:t>Global banks and synthetic funding: the benefits of foreign relatives</w:t>
      </w:r>
      <w:r>
        <w:t>” (MS21-250), accepted for publication in the Journal of Money, Credit</w:t>
      </w:r>
      <w:r w:rsidR="00BA0AAB">
        <w:t xml:space="preserve"> </w:t>
      </w:r>
      <w:r>
        <w:t xml:space="preserve">and Banking. </w:t>
      </w:r>
      <w:r w:rsidR="00BA0AAB">
        <w:t xml:space="preserve">Following your request, we submit the following material attached to this E-mail: </w:t>
      </w:r>
    </w:p>
    <w:p w14:paraId="055C46E0" w14:textId="77777777" w:rsidR="00BA0AAB" w:rsidRPr="00201929" w:rsidRDefault="00BA0AAB" w:rsidP="00BA0AAB">
      <w:pPr>
        <w:shd w:val="clear" w:color="auto" w:fill="FFFFFF"/>
        <w:spacing w:after="0" w:line="240" w:lineRule="auto"/>
        <w:jc w:val="both"/>
      </w:pPr>
    </w:p>
    <w:p w14:paraId="224C0D28" w14:textId="0D79D5F6" w:rsidR="000B7672" w:rsidRPr="005C3BDF" w:rsidRDefault="000B7672" w:rsidP="000B7672">
      <w:pPr>
        <w:pStyle w:val="Prrafodelista"/>
        <w:numPr>
          <w:ilvl w:val="0"/>
          <w:numId w:val="1"/>
        </w:numPr>
        <w:shd w:val="clear" w:color="auto" w:fill="FFFFFF"/>
        <w:spacing w:after="0" w:line="240" w:lineRule="auto"/>
        <w:rPr>
          <w:rFonts w:eastAsia="Times New Roman" w:cstheme="minorHAnsi"/>
          <w:color w:val="000000" w:themeColor="text1"/>
        </w:rPr>
      </w:pPr>
      <w:r w:rsidRPr="005C3BDF">
        <w:rPr>
          <w:rFonts w:eastAsia="Times New Roman" w:cstheme="minorHAnsi"/>
          <w:color w:val="000000" w:themeColor="text1"/>
        </w:rPr>
        <w:t xml:space="preserve">PDF files for the draft and its related online appendix </w:t>
      </w:r>
    </w:p>
    <w:p w14:paraId="7F8FC787" w14:textId="66EEC7D7" w:rsidR="000B7672" w:rsidRPr="005C3BDF" w:rsidRDefault="000B7672" w:rsidP="000B7672">
      <w:pPr>
        <w:pStyle w:val="Prrafodelista"/>
        <w:numPr>
          <w:ilvl w:val="0"/>
          <w:numId w:val="1"/>
        </w:numPr>
        <w:shd w:val="clear" w:color="auto" w:fill="FFFFFF"/>
        <w:spacing w:after="0" w:line="240" w:lineRule="auto"/>
        <w:rPr>
          <w:rFonts w:eastAsia="Times New Roman" w:cstheme="minorHAnsi"/>
          <w:color w:val="000000" w:themeColor="text1"/>
        </w:rPr>
      </w:pPr>
      <w:r w:rsidRPr="005C3BDF">
        <w:rPr>
          <w:rFonts w:eastAsia="Times New Roman" w:cstheme="minorHAnsi"/>
          <w:color w:val="000000" w:themeColor="text1"/>
        </w:rPr>
        <w:t>A cover letter with the information on each author</w:t>
      </w:r>
      <w:r w:rsidR="0017238F">
        <w:rPr>
          <w:rFonts w:eastAsia="Times New Roman" w:cstheme="minorHAnsi"/>
          <w:color w:val="000000" w:themeColor="text1"/>
        </w:rPr>
        <w:t>’s</w:t>
      </w:r>
      <w:r w:rsidRPr="005C3BDF">
        <w:rPr>
          <w:rFonts w:eastAsia="Times New Roman" w:cstheme="minorHAnsi"/>
          <w:color w:val="000000" w:themeColor="text1"/>
        </w:rPr>
        <w:t xml:space="preserve"> affiliation </w:t>
      </w:r>
    </w:p>
    <w:p w14:paraId="10BED068" w14:textId="3FDA7B7D" w:rsidR="00B12B75" w:rsidRPr="005C3BDF" w:rsidRDefault="00B12B75" w:rsidP="00B12B75">
      <w:pPr>
        <w:pStyle w:val="Prrafodelista"/>
        <w:numPr>
          <w:ilvl w:val="0"/>
          <w:numId w:val="1"/>
        </w:numPr>
        <w:shd w:val="clear" w:color="auto" w:fill="FFFFFF"/>
        <w:spacing w:after="0" w:line="240" w:lineRule="auto"/>
        <w:rPr>
          <w:rFonts w:eastAsia="Times New Roman" w:cstheme="minorHAnsi"/>
          <w:color w:val="000000" w:themeColor="text1"/>
        </w:rPr>
      </w:pPr>
      <w:r w:rsidRPr="005C3BDF">
        <w:rPr>
          <w:rFonts w:eastAsia="Times New Roman" w:cstheme="minorHAnsi"/>
          <w:color w:val="000000" w:themeColor="text1"/>
        </w:rPr>
        <w:t>LaTex files for the compilation of the draft, the online appendix, and cover letter</w:t>
      </w:r>
    </w:p>
    <w:p w14:paraId="56258285" w14:textId="11238556" w:rsidR="000B7672" w:rsidRDefault="00B12B75" w:rsidP="00BA0AAB">
      <w:pPr>
        <w:pStyle w:val="Prrafodelista"/>
        <w:numPr>
          <w:ilvl w:val="0"/>
          <w:numId w:val="1"/>
        </w:numPr>
        <w:shd w:val="clear" w:color="auto" w:fill="FFFFFF"/>
        <w:spacing w:after="0" w:line="240" w:lineRule="auto"/>
        <w:rPr>
          <w:rFonts w:eastAsia="Times New Roman" w:cstheme="minorHAnsi"/>
          <w:color w:val="000000" w:themeColor="text1"/>
        </w:rPr>
      </w:pPr>
      <w:r w:rsidRPr="005C3BDF">
        <w:rPr>
          <w:rFonts w:eastAsia="Times New Roman" w:cstheme="minorHAnsi"/>
          <w:color w:val="000000" w:themeColor="text1"/>
        </w:rPr>
        <w:t xml:space="preserve">Graphic files (eps and png) </w:t>
      </w:r>
    </w:p>
    <w:p w14:paraId="1ABEF68E" w14:textId="5454C6A3" w:rsidR="00BA0AAB" w:rsidRDefault="00BA0AAB" w:rsidP="00BA0AAB">
      <w:pPr>
        <w:pStyle w:val="Prrafodelista"/>
        <w:numPr>
          <w:ilvl w:val="0"/>
          <w:numId w:val="1"/>
        </w:numPr>
        <w:shd w:val="clear" w:color="auto" w:fill="FFFFFF"/>
        <w:spacing w:after="0" w:line="240" w:lineRule="auto"/>
        <w:rPr>
          <w:rFonts w:eastAsia="Times New Roman" w:cstheme="minorHAnsi"/>
          <w:color w:val="000000" w:themeColor="text1"/>
        </w:rPr>
      </w:pPr>
      <w:r>
        <w:rPr>
          <w:rFonts w:eastAsia="Times New Roman" w:cstheme="minorHAnsi"/>
          <w:color w:val="000000" w:themeColor="text1"/>
        </w:rPr>
        <w:t>The code that replicates our findings as a Stata Dofile</w:t>
      </w:r>
    </w:p>
    <w:p w14:paraId="53553773" w14:textId="251E9B8F" w:rsidR="00600AA7" w:rsidRDefault="00600AA7" w:rsidP="00600AA7">
      <w:pPr>
        <w:shd w:val="clear" w:color="auto" w:fill="FFFFFF"/>
        <w:spacing w:after="0" w:line="240" w:lineRule="auto"/>
        <w:rPr>
          <w:rFonts w:eastAsia="Times New Roman" w:cstheme="minorHAnsi"/>
          <w:color w:val="000000" w:themeColor="text1"/>
        </w:rPr>
      </w:pPr>
    </w:p>
    <w:p w14:paraId="22427719" w14:textId="78B6217A" w:rsidR="00600AA7" w:rsidRPr="00600AA7" w:rsidRDefault="00600AA7" w:rsidP="00E65365">
      <w:pPr>
        <w:shd w:val="clear" w:color="auto" w:fill="FFFFFF"/>
        <w:spacing w:after="0" w:line="240" w:lineRule="auto"/>
        <w:jc w:val="both"/>
        <w:rPr>
          <w:rFonts w:eastAsia="Times New Roman" w:cstheme="minorHAnsi"/>
          <w:color w:val="000000" w:themeColor="text1"/>
        </w:rPr>
      </w:pPr>
      <w:r>
        <w:rPr>
          <w:rFonts w:eastAsia="Times New Roman" w:cstheme="minorHAnsi"/>
          <w:color w:val="000000" w:themeColor="text1"/>
        </w:rPr>
        <w:t xml:space="preserve">We kindly note that </w:t>
      </w:r>
      <w:r w:rsidR="00127425">
        <w:rPr>
          <w:rFonts w:eastAsia="Times New Roman" w:cstheme="minorHAnsi"/>
          <w:color w:val="000000" w:themeColor="text1"/>
        </w:rPr>
        <w:t>the LaTeX codes for the draft (</w:t>
      </w:r>
      <w:r w:rsidR="00127425" w:rsidRPr="00127425">
        <w:rPr>
          <w:rFonts w:eastAsia="Times New Roman" w:cstheme="minorHAnsi"/>
          <w:color w:val="000000" w:themeColor="text1"/>
        </w:rPr>
        <w:t>MS21-250 Draft</w:t>
      </w:r>
      <w:r w:rsidR="00A41529">
        <w:rPr>
          <w:rFonts w:eastAsia="Times New Roman" w:cstheme="minorHAnsi"/>
          <w:color w:val="000000" w:themeColor="text1"/>
        </w:rPr>
        <w:t>.tex</w:t>
      </w:r>
      <w:r w:rsidR="00127425">
        <w:rPr>
          <w:rFonts w:eastAsia="Times New Roman" w:cstheme="minorHAnsi"/>
          <w:color w:val="000000" w:themeColor="text1"/>
        </w:rPr>
        <w:t>) and online appendix (</w:t>
      </w:r>
      <w:r w:rsidR="00127425" w:rsidRPr="00127425">
        <w:rPr>
          <w:rFonts w:eastAsia="Times New Roman" w:cstheme="minorHAnsi"/>
          <w:color w:val="000000" w:themeColor="text1"/>
        </w:rPr>
        <w:t xml:space="preserve">MS21-250 </w:t>
      </w:r>
      <w:r w:rsidR="00127425">
        <w:rPr>
          <w:rFonts w:eastAsia="Times New Roman" w:cstheme="minorHAnsi"/>
          <w:color w:val="000000" w:themeColor="text1"/>
        </w:rPr>
        <w:t>Online Appendix</w:t>
      </w:r>
      <w:r w:rsidR="00A41529">
        <w:rPr>
          <w:rFonts w:eastAsia="Times New Roman" w:cstheme="minorHAnsi"/>
          <w:color w:val="000000" w:themeColor="text1"/>
        </w:rPr>
        <w:t>.tex</w:t>
      </w:r>
      <w:r w:rsidR="00127425">
        <w:rPr>
          <w:rFonts w:eastAsia="Times New Roman" w:cstheme="minorHAnsi"/>
          <w:color w:val="000000" w:themeColor="text1"/>
        </w:rPr>
        <w:t>) need to be compiled simultaneously given the use of cross-references between the documents.</w:t>
      </w:r>
    </w:p>
    <w:p w14:paraId="3A6622A4" w14:textId="3BD9B7E9" w:rsidR="00BA0AAB" w:rsidRDefault="00BA0AAB" w:rsidP="00BA0AAB">
      <w:pPr>
        <w:shd w:val="clear" w:color="auto" w:fill="FFFFFF"/>
        <w:spacing w:after="0" w:line="240" w:lineRule="auto"/>
        <w:rPr>
          <w:rFonts w:eastAsia="Times New Roman" w:cstheme="minorHAnsi"/>
          <w:color w:val="000000" w:themeColor="text1"/>
        </w:rPr>
      </w:pPr>
    </w:p>
    <w:p w14:paraId="644E0A71" w14:textId="102BEB05" w:rsidR="00A84165" w:rsidRDefault="00A84165" w:rsidP="00BA0AAB">
      <w:pPr>
        <w:shd w:val="clear" w:color="auto" w:fill="FFFFFF"/>
        <w:spacing w:after="0" w:line="240" w:lineRule="auto"/>
        <w:jc w:val="both"/>
        <w:rPr>
          <w:rFonts w:cstheme="minorHAnsi"/>
          <w:color w:val="000000" w:themeColor="text1"/>
          <w:shd w:val="clear" w:color="auto" w:fill="FFFFFF"/>
        </w:rPr>
      </w:pPr>
      <w:r>
        <w:rPr>
          <w:rFonts w:cstheme="minorHAnsi"/>
          <w:color w:val="000000" w:themeColor="text1"/>
          <w:shd w:val="clear" w:color="auto" w:fill="FFFFFF"/>
        </w:rPr>
        <w:t xml:space="preserve">We wanted to note that given confidentiality constraints, we are not allowed to share the </w:t>
      </w:r>
      <w:r w:rsidR="009B530F">
        <w:rPr>
          <w:rFonts w:cstheme="minorHAnsi"/>
          <w:color w:val="000000" w:themeColor="text1"/>
          <w:shd w:val="clear" w:color="auto" w:fill="FFFFFF"/>
        </w:rPr>
        <w:t>statistical</w:t>
      </w:r>
      <w:r>
        <w:rPr>
          <w:rFonts w:cstheme="minorHAnsi"/>
          <w:color w:val="000000" w:themeColor="text1"/>
          <w:shd w:val="clear" w:color="auto" w:fill="FFFFFF"/>
        </w:rPr>
        <w:t xml:space="preserve"> data used in our paper. We therefore include the following statement, which can be used in the printed version of the article if you deem it appropriate: </w:t>
      </w:r>
    </w:p>
    <w:p w14:paraId="3A604490" w14:textId="77777777" w:rsidR="00A84165" w:rsidRDefault="00A84165" w:rsidP="00BA0AAB">
      <w:pPr>
        <w:shd w:val="clear" w:color="auto" w:fill="FFFFFF"/>
        <w:spacing w:after="0" w:line="240" w:lineRule="auto"/>
        <w:jc w:val="both"/>
        <w:rPr>
          <w:rFonts w:cstheme="minorHAnsi"/>
          <w:color w:val="000000" w:themeColor="text1"/>
          <w:shd w:val="clear" w:color="auto" w:fill="FFFFFF"/>
        </w:rPr>
      </w:pPr>
    </w:p>
    <w:p w14:paraId="2720D27A" w14:textId="5583F66C" w:rsidR="00BA0AAB" w:rsidRDefault="00BA0AAB" w:rsidP="00BA0AAB">
      <w:pPr>
        <w:shd w:val="clear" w:color="auto" w:fill="FFFFFF"/>
        <w:spacing w:after="0" w:line="240" w:lineRule="auto"/>
        <w:jc w:val="both"/>
        <w:rPr>
          <w:rFonts w:cstheme="minorHAnsi"/>
          <w:i/>
          <w:iCs/>
          <w:color w:val="000000" w:themeColor="text1"/>
          <w:shd w:val="clear" w:color="auto" w:fill="FFFFFF"/>
        </w:rPr>
      </w:pPr>
      <w:r w:rsidRPr="00A84165">
        <w:rPr>
          <w:rFonts w:cstheme="minorHAnsi"/>
          <w:i/>
          <w:iCs/>
          <w:color w:val="000000" w:themeColor="text1"/>
          <w:shd w:val="clear" w:color="auto" w:fill="FFFFFF"/>
        </w:rPr>
        <w:t>Our main data source are the Bank of England’s confidential statistical datasets containing information on UK banks balance sheets including their cross-border lending. We employ both the BT and CC forms (see </w:t>
      </w:r>
      <w:hyperlink r:id="rId5" w:tgtFrame="_blank" w:history="1">
        <w:r w:rsidRPr="00A84165">
          <w:rPr>
            <w:rStyle w:val="Hipervnculo"/>
            <w:rFonts w:cstheme="minorHAnsi"/>
            <w:i/>
            <w:iCs/>
            <w:color w:val="000000" w:themeColor="text1"/>
            <w:shd w:val="clear" w:color="auto" w:fill="FFFFFF"/>
          </w:rPr>
          <w:t>here</w:t>
        </w:r>
      </w:hyperlink>
      <w:r w:rsidRPr="00A84165">
        <w:rPr>
          <w:rFonts w:cstheme="minorHAnsi"/>
          <w:i/>
          <w:iCs/>
          <w:color w:val="000000" w:themeColor="text1"/>
          <w:shd w:val="clear" w:color="auto" w:fill="FFFFFF"/>
        </w:rPr>
        <w:t>). For additional analysis we also employ the restricted BIS International Banking Statistics. Restricted parts of the international BIS data could be accessed through a contractual agreement with the BIS or most BIS member central banks such as the Bank of England (BoE). A similar agreement is needed to access the BoE’s confidential banking data. Concretely, for the case of the BoE, this would involve an arrangement as an academic visitor or consultancy contract, which includes confidentiality agreements (declaration of secrecy).</w:t>
      </w:r>
    </w:p>
    <w:p w14:paraId="42917F33" w14:textId="62C9ABEE" w:rsidR="00EC693B" w:rsidRDefault="00EC693B" w:rsidP="00BA0AAB">
      <w:pPr>
        <w:shd w:val="clear" w:color="auto" w:fill="FFFFFF"/>
        <w:spacing w:after="0" w:line="240" w:lineRule="auto"/>
        <w:jc w:val="both"/>
        <w:rPr>
          <w:rFonts w:cstheme="minorHAnsi"/>
          <w:i/>
          <w:iCs/>
          <w:color w:val="000000" w:themeColor="text1"/>
          <w:shd w:val="clear" w:color="auto" w:fill="FFFFFF"/>
        </w:rPr>
      </w:pPr>
    </w:p>
    <w:p w14:paraId="43B5D8AC" w14:textId="632B74CB" w:rsidR="00BA0AAB" w:rsidRDefault="00EC693B" w:rsidP="008F71CA">
      <w:pPr>
        <w:shd w:val="clear" w:color="auto" w:fill="FFFFFF"/>
        <w:spacing w:after="0" w:line="240" w:lineRule="auto"/>
        <w:jc w:val="both"/>
        <w:rPr>
          <w:rFonts w:eastAsia="Times New Roman" w:cstheme="minorHAnsi"/>
          <w:color w:val="000000" w:themeColor="text1"/>
        </w:rPr>
      </w:pPr>
      <w:r>
        <w:rPr>
          <w:rFonts w:eastAsia="Times New Roman" w:cstheme="minorHAnsi"/>
          <w:color w:val="000000" w:themeColor="text1"/>
        </w:rPr>
        <w:t xml:space="preserve">Regarding the Online Appendix, we understand that it can be stored in the journal’s website to make it available for readers. If this is not possible, </w:t>
      </w:r>
      <w:r w:rsidR="008F71CA">
        <w:rPr>
          <w:rFonts w:eastAsia="Times New Roman" w:cstheme="minorHAnsi"/>
          <w:color w:val="000000" w:themeColor="text1"/>
        </w:rPr>
        <w:t>we would appreciate the inclusion of the following</w:t>
      </w:r>
      <w:r>
        <w:rPr>
          <w:rFonts w:eastAsia="Times New Roman" w:cstheme="minorHAnsi"/>
          <w:color w:val="000000" w:themeColor="text1"/>
        </w:rPr>
        <w:t xml:space="preserve"> </w:t>
      </w:r>
      <w:r w:rsidR="008F71CA">
        <w:rPr>
          <w:rFonts w:eastAsia="Times New Roman" w:cstheme="minorHAnsi"/>
          <w:color w:val="000000" w:themeColor="text1"/>
        </w:rPr>
        <w:t>web link in the printe</w:t>
      </w:r>
      <w:r w:rsidR="009917BC">
        <w:rPr>
          <w:rFonts w:eastAsia="Times New Roman" w:cstheme="minorHAnsi"/>
          <w:color w:val="000000" w:themeColor="text1"/>
        </w:rPr>
        <w:t>d</w:t>
      </w:r>
      <w:r w:rsidR="008F71CA">
        <w:rPr>
          <w:rFonts w:eastAsia="Times New Roman" w:cstheme="minorHAnsi"/>
          <w:color w:val="000000" w:themeColor="text1"/>
        </w:rPr>
        <w:t xml:space="preserve"> article, in which</w:t>
      </w:r>
      <w:r>
        <w:rPr>
          <w:rFonts w:eastAsia="Times New Roman" w:cstheme="minorHAnsi"/>
          <w:color w:val="000000" w:themeColor="text1"/>
        </w:rPr>
        <w:t xml:space="preserve"> the Online Appendix can be found: </w:t>
      </w:r>
      <w:hyperlink r:id="rId6" w:history="1">
        <w:r w:rsidR="00E944F9" w:rsidRPr="00A405DD">
          <w:rPr>
            <w:rStyle w:val="Hipervnculo"/>
            <w:rFonts w:eastAsia="Times New Roman" w:cstheme="minorHAnsi"/>
          </w:rPr>
          <w:t>https://ossandon-busch.weebly.com/research.html</w:t>
        </w:r>
      </w:hyperlink>
      <w:r>
        <w:rPr>
          <w:rFonts w:eastAsia="Times New Roman" w:cstheme="minorHAnsi"/>
          <w:color w:val="000000" w:themeColor="text1"/>
        </w:rPr>
        <w:t xml:space="preserve">. </w:t>
      </w:r>
    </w:p>
    <w:p w14:paraId="475F0B78" w14:textId="2447D6E8" w:rsidR="00BA0AAB" w:rsidRDefault="00BA0AAB" w:rsidP="00BA0AAB">
      <w:pPr>
        <w:shd w:val="clear" w:color="auto" w:fill="FFFFFF"/>
        <w:spacing w:after="0" w:line="240" w:lineRule="auto"/>
        <w:rPr>
          <w:rFonts w:eastAsia="Times New Roman" w:cstheme="minorHAnsi"/>
          <w:color w:val="000000" w:themeColor="text1"/>
        </w:rPr>
      </w:pPr>
    </w:p>
    <w:p w14:paraId="730C53BA" w14:textId="3A490502" w:rsidR="00BA0AAB" w:rsidRDefault="00BA0AAB" w:rsidP="00BA0AAB">
      <w:pPr>
        <w:shd w:val="clear" w:color="auto" w:fill="FFFFFF"/>
        <w:spacing w:after="0" w:line="240" w:lineRule="auto"/>
        <w:rPr>
          <w:rFonts w:eastAsia="Times New Roman" w:cstheme="minorHAnsi"/>
          <w:color w:val="000000" w:themeColor="text1"/>
        </w:rPr>
      </w:pPr>
      <w:r>
        <w:rPr>
          <w:rFonts w:eastAsia="Times New Roman" w:cstheme="minorHAnsi"/>
          <w:color w:val="000000" w:themeColor="text1"/>
        </w:rPr>
        <w:t xml:space="preserve">Best regards, </w:t>
      </w:r>
    </w:p>
    <w:p w14:paraId="1E51F70B" w14:textId="497F2841" w:rsidR="00BA0AAB" w:rsidRDefault="00BA0AAB" w:rsidP="00BA0AAB">
      <w:pPr>
        <w:shd w:val="clear" w:color="auto" w:fill="FFFFFF"/>
        <w:spacing w:after="0" w:line="240" w:lineRule="auto"/>
        <w:rPr>
          <w:rFonts w:eastAsia="Times New Roman" w:cstheme="minorHAnsi"/>
          <w:color w:val="000000" w:themeColor="text1"/>
        </w:rPr>
      </w:pPr>
    </w:p>
    <w:p w14:paraId="2E38157D" w14:textId="21C91FE7" w:rsidR="00BA0AAB" w:rsidRPr="00BA0AAB" w:rsidRDefault="00BA0AAB" w:rsidP="00BA0AAB">
      <w:pPr>
        <w:shd w:val="clear" w:color="auto" w:fill="FFFFFF"/>
        <w:spacing w:after="0" w:line="240" w:lineRule="auto"/>
        <w:rPr>
          <w:rFonts w:eastAsia="Times New Roman" w:cstheme="minorHAnsi"/>
          <w:color w:val="000000" w:themeColor="text1"/>
        </w:rPr>
      </w:pPr>
      <w:r>
        <w:rPr>
          <w:rFonts w:eastAsia="Times New Roman" w:cstheme="minorHAnsi"/>
          <w:color w:val="000000" w:themeColor="text1"/>
        </w:rPr>
        <w:t>Matias Ossandon Busch</w:t>
      </w:r>
    </w:p>
    <w:p w14:paraId="4EAF9D69" w14:textId="6F9B0916" w:rsidR="003655D3" w:rsidRDefault="003655D3"/>
    <w:p w14:paraId="3BEA4ADF" w14:textId="384F8311" w:rsidR="005F5CE6" w:rsidRDefault="005F5CE6"/>
    <w:p w14:paraId="5D63E8EF" w14:textId="5CEBF6C8" w:rsidR="001B3FCF" w:rsidRDefault="001B3FCF"/>
    <w:p w14:paraId="63674E51" w14:textId="0D345657" w:rsidR="001B3FCF" w:rsidRDefault="001B3FCF"/>
    <w:p w14:paraId="555BA440" w14:textId="237E3DCC" w:rsidR="00056348" w:rsidRDefault="00056348" w:rsidP="00300E90"/>
    <w:sectPr w:rsidR="00056348" w:rsidSect="007616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0009D"/>
    <w:multiLevelType w:val="hybridMultilevel"/>
    <w:tmpl w:val="8F32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C2"/>
    <w:rsid w:val="00056348"/>
    <w:rsid w:val="00072073"/>
    <w:rsid w:val="000B7672"/>
    <w:rsid w:val="000F621D"/>
    <w:rsid w:val="001161DA"/>
    <w:rsid w:val="00127425"/>
    <w:rsid w:val="0017238F"/>
    <w:rsid w:val="001B3FCF"/>
    <w:rsid w:val="001D173F"/>
    <w:rsid w:val="001D380F"/>
    <w:rsid w:val="00201929"/>
    <w:rsid w:val="002770B8"/>
    <w:rsid w:val="0028009F"/>
    <w:rsid w:val="00300E90"/>
    <w:rsid w:val="00307E9B"/>
    <w:rsid w:val="00354DB8"/>
    <w:rsid w:val="003655D3"/>
    <w:rsid w:val="003B390C"/>
    <w:rsid w:val="003D7D59"/>
    <w:rsid w:val="00425470"/>
    <w:rsid w:val="00456ACA"/>
    <w:rsid w:val="004F7D4F"/>
    <w:rsid w:val="005740C2"/>
    <w:rsid w:val="005C3BDF"/>
    <w:rsid w:val="005F43ED"/>
    <w:rsid w:val="005F5CE6"/>
    <w:rsid w:val="00600AA7"/>
    <w:rsid w:val="006A1E01"/>
    <w:rsid w:val="006A5B29"/>
    <w:rsid w:val="00761687"/>
    <w:rsid w:val="00872AE0"/>
    <w:rsid w:val="008F57A1"/>
    <w:rsid w:val="008F71CA"/>
    <w:rsid w:val="00942D48"/>
    <w:rsid w:val="009917BC"/>
    <w:rsid w:val="00991E0B"/>
    <w:rsid w:val="009B530F"/>
    <w:rsid w:val="00A41529"/>
    <w:rsid w:val="00A84165"/>
    <w:rsid w:val="00B12B75"/>
    <w:rsid w:val="00BA0AAB"/>
    <w:rsid w:val="00DC2899"/>
    <w:rsid w:val="00DE4EED"/>
    <w:rsid w:val="00E65365"/>
    <w:rsid w:val="00E944F9"/>
    <w:rsid w:val="00E95546"/>
    <w:rsid w:val="00EC693B"/>
    <w:rsid w:val="00F44B35"/>
    <w:rsid w:val="00F61C25"/>
    <w:rsid w:val="00F95118"/>
    <w:rsid w:val="00FA7FE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1C01"/>
  <w15:chartTrackingRefBased/>
  <w15:docId w15:val="{37F8D780-AAD6-498B-BEFC-8379F1F1D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B7672"/>
    <w:pPr>
      <w:autoSpaceDE w:val="0"/>
      <w:autoSpaceDN w:val="0"/>
      <w:adjustRightInd w:val="0"/>
      <w:spacing w:after="0" w:line="240" w:lineRule="auto"/>
    </w:pPr>
    <w:rPr>
      <w:rFonts w:ascii="Times New Roman" w:hAnsi="Times New Roman" w:cs="Times New Roman"/>
      <w:color w:val="000000"/>
      <w:sz w:val="24"/>
      <w:szCs w:val="24"/>
    </w:rPr>
  </w:style>
  <w:style w:type="paragraph" w:styleId="Prrafodelista">
    <w:name w:val="List Paragraph"/>
    <w:basedOn w:val="Normal"/>
    <w:uiPriority w:val="34"/>
    <w:qFormat/>
    <w:rsid w:val="000B7672"/>
    <w:pPr>
      <w:ind w:left="720"/>
      <w:contextualSpacing/>
    </w:pPr>
  </w:style>
  <w:style w:type="character" w:customStyle="1" w:styleId="object">
    <w:name w:val="object"/>
    <w:basedOn w:val="Fuentedeprrafopredeter"/>
    <w:rsid w:val="00BA0AAB"/>
  </w:style>
  <w:style w:type="character" w:styleId="Hipervnculo">
    <w:name w:val="Hyperlink"/>
    <w:basedOn w:val="Fuentedeprrafopredeter"/>
    <w:uiPriority w:val="99"/>
    <w:unhideWhenUsed/>
    <w:rsid w:val="00BA0AAB"/>
    <w:rPr>
      <w:color w:val="0000FF"/>
      <w:u w:val="single"/>
    </w:rPr>
  </w:style>
  <w:style w:type="character" w:styleId="Mencinsinresolver">
    <w:name w:val="Unresolved Mention"/>
    <w:basedOn w:val="Fuentedeprrafopredeter"/>
    <w:uiPriority w:val="99"/>
    <w:semiHidden/>
    <w:unhideWhenUsed/>
    <w:rsid w:val="003655D3"/>
    <w:rPr>
      <w:color w:val="605E5C"/>
      <w:shd w:val="clear" w:color="auto" w:fill="E1DFDD"/>
    </w:rPr>
  </w:style>
  <w:style w:type="character" w:styleId="Hipervnculovisitado">
    <w:name w:val="FollowedHyperlink"/>
    <w:basedOn w:val="Fuentedeprrafopredeter"/>
    <w:uiPriority w:val="99"/>
    <w:semiHidden/>
    <w:unhideWhenUsed/>
    <w:rsid w:val="009917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071796">
      <w:bodyDiv w:val="1"/>
      <w:marLeft w:val="0"/>
      <w:marRight w:val="0"/>
      <w:marTop w:val="0"/>
      <w:marBottom w:val="0"/>
      <w:divBdr>
        <w:top w:val="none" w:sz="0" w:space="0" w:color="auto"/>
        <w:left w:val="none" w:sz="0" w:space="0" w:color="auto"/>
        <w:bottom w:val="none" w:sz="0" w:space="0" w:color="auto"/>
        <w:right w:val="none" w:sz="0" w:space="0" w:color="auto"/>
      </w:divBdr>
      <w:divsChild>
        <w:div w:id="319040380">
          <w:marLeft w:val="0"/>
          <w:marRight w:val="0"/>
          <w:marTop w:val="0"/>
          <w:marBottom w:val="0"/>
          <w:divBdr>
            <w:top w:val="none" w:sz="0" w:space="0" w:color="auto"/>
            <w:left w:val="none" w:sz="0" w:space="0" w:color="auto"/>
            <w:bottom w:val="none" w:sz="0" w:space="0" w:color="auto"/>
            <w:right w:val="none" w:sz="0" w:space="0" w:color="auto"/>
          </w:divBdr>
          <w:divsChild>
            <w:div w:id="2003462882">
              <w:marLeft w:val="0"/>
              <w:marRight w:val="0"/>
              <w:marTop w:val="0"/>
              <w:marBottom w:val="0"/>
              <w:divBdr>
                <w:top w:val="none" w:sz="0" w:space="0" w:color="auto"/>
                <w:left w:val="none" w:sz="0" w:space="0" w:color="auto"/>
                <w:bottom w:val="none" w:sz="0" w:space="0" w:color="auto"/>
                <w:right w:val="none" w:sz="0" w:space="0" w:color="auto"/>
              </w:divBdr>
              <w:divsChild>
                <w:div w:id="1467091385">
                  <w:marLeft w:val="0"/>
                  <w:marRight w:val="0"/>
                  <w:marTop w:val="0"/>
                  <w:marBottom w:val="0"/>
                  <w:divBdr>
                    <w:top w:val="none" w:sz="0" w:space="0" w:color="auto"/>
                    <w:left w:val="none" w:sz="0" w:space="0" w:color="auto"/>
                    <w:bottom w:val="none" w:sz="0" w:space="0" w:color="auto"/>
                    <w:right w:val="none" w:sz="0" w:space="0" w:color="auto"/>
                  </w:divBdr>
                  <w:divsChild>
                    <w:div w:id="1308361293">
                      <w:marLeft w:val="0"/>
                      <w:marRight w:val="0"/>
                      <w:marTop w:val="0"/>
                      <w:marBottom w:val="0"/>
                      <w:divBdr>
                        <w:top w:val="none" w:sz="0" w:space="0" w:color="auto"/>
                        <w:left w:val="none" w:sz="0" w:space="0" w:color="auto"/>
                        <w:bottom w:val="none" w:sz="0" w:space="0" w:color="auto"/>
                        <w:right w:val="none" w:sz="0" w:space="0" w:color="auto"/>
                      </w:divBdr>
                      <w:divsChild>
                        <w:div w:id="264001657">
                          <w:marLeft w:val="0"/>
                          <w:marRight w:val="0"/>
                          <w:marTop w:val="0"/>
                          <w:marBottom w:val="0"/>
                          <w:divBdr>
                            <w:top w:val="none" w:sz="0" w:space="0" w:color="auto"/>
                            <w:left w:val="none" w:sz="0" w:space="0" w:color="auto"/>
                            <w:bottom w:val="none" w:sz="0" w:space="0" w:color="auto"/>
                            <w:right w:val="none" w:sz="0" w:space="0" w:color="auto"/>
                          </w:divBdr>
                          <w:divsChild>
                            <w:div w:id="585068329">
                              <w:marLeft w:val="0"/>
                              <w:marRight w:val="0"/>
                              <w:marTop w:val="0"/>
                              <w:marBottom w:val="0"/>
                              <w:divBdr>
                                <w:top w:val="none" w:sz="0" w:space="0" w:color="auto"/>
                                <w:left w:val="none" w:sz="0" w:space="0" w:color="auto"/>
                                <w:bottom w:val="none" w:sz="0" w:space="0" w:color="auto"/>
                                <w:right w:val="none" w:sz="0" w:space="0" w:color="auto"/>
                              </w:divBdr>
                              <w:divsChild>
                                <w:div w:id="1266572646">
                                  <w:marLeft w:val="0"/>
                                  <w:marRight w:val="0"/>
                                  <w:marTop w:val="0"/>
                                  <w:marBottom w:val="0"/>
                                  <w:divBdr>
                                    <w:top w:val="none" w:sz="0" w:space="0" w:color="auto"/>
                                    <w:left w:val="none" w:sz="0" w:space="0" w:color="auto"/>
                                    <w:bottom w:val="none" w:sz="0" w:space="0" w:color="auto"/>
                                    <w:right w:val="none" w:sz="0" w:space="0" w:color="auto"/>
                                  </w:divBdr>
                                  <w:divsChild>
                                    <w:div w:id="1516265491">
                                      <w:marLeft w:val="0"/>
                                      <w:marRight w:val="0"/>
                                      <w:marTop w:val="0"/>
                                      <w:marBottom w:val="0"/>
                                      <w:divBdr>
                                        <w:top w:val="none" w:sz="0" w:space="0" w:color="auto"/>
                                        <w:left w:val="none" w:sz="0" w:space="0" w:color="auto"/>
                                        <w:bottom w:val="none" w:sz="0" w:space="0" w:color="auto"/>
                                        <w:right w:val="none" w:sz="0" w:space="0" w:color="auto"/>
                                      </w:divBdr>
                                      <w:divsChild>
                                        <w:div w:id="171253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sandon-busch.weebly.com/research.html" TargetMode="External"/><Relationship Id="rId5" Type="http://schemas.openxmlformats.org/officeDocument/2006/relationships/hyperlink" Target="https://www.bankofengland.co.uk/statistics/data-collection/osca/forms-definitions-validation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1</Pages>
  <Words>358</Words>
  <Characters>2043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Matías Ossandon Busch</dc:creator>
  <cp:keywords/>
  <dc:description/>
  <cp:lastModifiedBy>Matías Ossandon Busch</cp:lastModifiedBy>
  <cp:revision>31</cp:revision>
  <dcterms:created xsi:type="dcterms:W3CDTF">2022-03-23T02:04:00Z</dcterms:created>
  <dcterms:modified xsi:type="dcterms:W3CDTF">2022-03-24T19:00:00Z</dcterms:modified>
</cp:coreProperties>
</file>