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517559" w14:textId="7C9EE252" w:rsidR="00193708" w:rsidRPr="00193708" w:rsidRDefault="00193708" w:rsidP="00193708">
      <w:pPr>
        <w:jc w:val="center"/>
        <w:rPr>
          <w:b/>
          <w:bCs/>
          <w:lang w:val="en-US"/>
        </w:rPr>
      </w:pPr>
      <w:r w:rsidRPr="00193708">
        <w:rPr>
          <w:b/>
          <w:bCs/>
          <w:lang w:val="en-US"/>
        </w:rPr>
        <w:t>Assisting replication of the dataset used to generate the results in</w:t>
      </w:r>
    </w:p>
    <w:p w14:paraId="1559A9AF" w14:textId="765D5634" w:rsidR="00193708" w:rsidRPr="00193708" w:rsidRDefault="00193708" w:rsidP="00193708">
      <w:pPr>
        <w:jc w:val="center"/>
        <w:rPr>
          <w:b/>
          <w:bCs/>
          <w:lang w:val="en-US"/>
        </w:rPr>
      </w:pPr>
      <w:r w:rsidRPr="00193708">
        <w:rPr>
          <w:b/>
          <w:bCs/>
          <w:lang w:val="en-US"/>
        </w:rPr>
        <w:t>“</w:t>
      </w:r>
      <w:r w:rsidRPr="00193708">
        <w:rPr>
          <w:b/>
          <w:bCs/>
          <w:lang w:val="en-US"/>
        </w:rPr>
        <w:t>Pollution permits and financing costs</w:t>
      </w:r>
      <w:r w:rsidRPr="00193708">
        <w:rPr>
          <w:b/>
          <w:bCs/>
          <w:lang w:val="en-US"/>
        </w:rPr>
        <w:t>”</w:t>
      </w:r>
    </w:p>
    <w:p w14:paraId="4DC794A8" w14:textId="75C0F0D0" w:rsidR="00193708" w:rsidRPr="00193708" w:rsidRDefault="00193708" w:rsidP="00193708">
      <w:pPr>
        <w:jc w:val="center"/>
        <w:rPr>
          <w:b/>
          <w:bCs/>
          <w:lang w:val="en-US"/>
        </w:rPr>
      </w:pPr>
      <w:r w:rsidRPr="00193708">
        <w:rPr>
          <w:b/>
          <w:bCs/>
          <w:lang w:val="en-US"/>
        </w:rPr>
        <w:t>by Antoniou, Delis, Ongena, and Tsoumas</w:t>
      </w:r>
    </w:p>
    <w:p w14:paraId="38C52CFA" w14:textId="2BCF60F6" w:rsidR="00193708" w:rsidRPr="00193708" w:rsidRDefault="00193708" w:rsidP="00193708">
      <w:pPr>
        <w:jc w:val="center"/>
        <w:rPr>
          <w:b/>
          <w:bCs/>
          <w:lang w:val="en-US"/>
        </w:rPr>
      </w:pPr>
      <w:r w:rsidRPr="00193708">
        <w:rPr>
          <w:b/>
          <w:bCs/>
          <w:lang w:val="en-US"/>
        </w:rPr>
        <w:t>for the Journal of Money, Credit and Banking</w:t>
      </w:r>
    </w:p>
    <w:p w14:paraId="648351EF" w14:textId="77777777" w:rsidR="00193708" w:rsidRDefault="00193708">
      <w:pPr>
        <w:rPr>
          <w:lang w:val="en-US"/>
        </w:rPr>
      </w:pPr>
    </w:p>
    <w:p w14:paraId="050E22DE" w14:textId="77777777" w:rsidR="00193708" w:rsidRDefault="00193708">
      <w:pPr>
        <w:rPr>
          <w:lang w:val="en-US"/>
        </w:rPr>
      </w:pPr>
    </w:p>
    <w:p w14:paraId="151AE314" w14:textId="153F4EF8" w:rsidR="00F63C88" w:rsidRDefault="00CF70F0">
      <w:pPr>
        <w:rPr>
          <w:lang w:val="en-US"/>
        </w:rPr>
      </w:pPr>
      <w:r>
        <w:rPr>
          <w:lang w:val="en-US"/>
        </w:rPr>
        <w:t>This file aims to aid researchers in replicating our results. To this end, the following steps are required:</w:t>
      </w:r>
    </w:p>
    <w:p w14:paraId="05BF639D" w14:textId="77777777" w:rsidR="00CF70F0" w:rsidRDefault="00CF70F0">
      <w:pPr>
        <w:rPr>
          <w:lang w:val="en-US"/>
        </w:rPr>
      </w:pPr>
    </w:p>
    <w:p w14:paraId="206AADAD" w14:textId="006A37AA" w:rsidR="00193708" w:rsidRDefault="00CF70F0">
      <w:pPr>
        <w:rPr>
          <w:rFonts w:eastAsia="Times New Roman"/>
          <w:kern w:val="0"/>
          <w:lang w:val="en-US"/>
          <w14:ligatures w14:val="none"/>
        </w:rPr>
      </w:pPr>
      <w:r>
        <w:rPr>
          <w:lang w:val="en-US"/>
        </w:rPr>
        <w:t xml:space="preserve">1. Download emissions-related data from the </w:t>
      </w:r>
      <w:r w:rsidRPr="00CF70F0">
        <w:rPr>
          <w:rFonts w:eastAsia="Times New Roman"/>
          <w:kern w:val="0"/>
          <w:lang w:val="en-US"/>
          <w14:ligatures w14:val="none"/>
        </w:rPr>
        <w:t>European Union Emissions Trading System (EU ETS</w:t>
      </w:r>
      <w:r>
        <w:rPr>
          <w:rFonts w:eastAsia="Times New Roman"/>
          <w:kern w:val="0"/>
          <w:lang w:val="en-US"/>
          <w14:ligatures w14:val="none"/>
        </w:rPr>
        <w:t xml:space="preserve">. From this database, we use </w:t>
      </w:r>
      <w:r w:rsidRPr="00CF70F0">
        <w:rPr>
          <w:rFonts w:eastAsia="Times New Roman"/>
          <w:kern w:val="0"/>
          <w:lang w:val="en-US"/>
          <w14:ligatures w14:val="none"/>
        </w:rPr>
        <w:t>the number of allocated allowances, surrendered allowances, verified CO</w:t>
      </w:r>
      <w:r w:rsidRPr="00CF70F0">
        <w:rPr>
          <w:rFonts w:eastAsia="Times New Roman"/>
          <w:kern w:val="0"/>
          <w:vertAlign w:val="subscript"/>
          <w:lang w:val="en-US"/>
          <w14:ligatures w14:val="none"/>
        </w:rPr>
        <w:t>2</w:t>
      </w:r>
      <w:r w:rsidRPr="00CF70F0">
        <w:rPr>
          <w:rFonts w:eastAsia="Times New Roman"/>
          <w:kern w:val="0"/>
          <w:lang w:val="en-US"/>
          <w14:ligatures w14:val="none"/>
        </w:rPr>
        <w:t xml:space="preserve">-equivalent emissions, and </w:t>
      </w:r>
      <w:bookmarkStart w:id="0" w:name="_Hlk156583479"/>
      <w:r w:rsidRPr="00CF70F0">
        <w:rPr>
          <w:rFonts w:eastAsia="Times New Roman"/>
          <w:kern w:val="0"/>
          <w:lang w:val="en-US"/>
          <w14:ligatures w14:val="none"/>
        </w:rPr>
        <w:t>CO</w:t>
      </w:r>
      <w:r w:rsidRPr="00CF70F0">
        <w:rPr>
          <w:rFonts w:eastAsia="Times New Roman"/>
          <w:kern w:val="0"/>
          <w:vertAlign w:val="subscript"/>
          <w:lang w:val="en-US"/>
          <w14:ligatures w14:val="none"/>
        </w:rPr>
        <w:t>2</w:t>
      </w:r>
      <w:bookmarkEnd w:id="0"/>
      <w:r w:rsidRPr="00CF70F0">
        <w:rPr>
          <w:rFonts w:eastAsia="Times New Roman"/>
          <w:kern w:val="0"/>
          <w:lang w:val="en-US"/>
          <w14:ligatures w14:val="none"/>
        </w:rPr>
        <w:t xml:space="preserve"> emission allowance transactions</w:t>
      </w:r>
      <w:r>
        <w:rPr>
          <w:rFonts w:eastAsia="Times New Roman"/>
          <w:kern w:val="0"/>
          <w:lang w:val="en-US"/>
          <w14:ligatures w14:val="none"/>
        </w:rPr>
        <w:t>.</w:t>
      </w:r>
    </w:p>
    <w:p w14:paraId="688E63E2" w14:textId="77777777" w:rsidR="00965294" w:rsidRDefault="00965294">
      <w:pPr>
        <w:rPr>
          <w:rFonts w:eastAsia="Times New Roman"/>
          <w:kern w:val="0"/>
          <w:lang w:val="en-US"/>
          <w14:ligatures w14:val="none"/>
        </w:rPr>
      </w:pPr>
    </w:p>
    <w:p w14:paraId="01A9DF7E" w14:textId="379B7298" w:rsidR="00965294" w:rsidRDefault="00965294">
      <w:pPr>
        <w:rPr>
          <w:rFonts w:eastAsia="Times New Roman"/>
          <w:kern w:val="0"/>
          <w:lang w:val="en-US"/>
          <w14:ligatures w14:val="none"/>
        </w:rPr>
      </w:pPr>
      <w:r>
        <w:rPr>
          <w:rFonts w:eastAsia="Times New Roman"/>
          <w:kern w:val="0"/>
          <w:lang w:val="en-US"/>
          <w14:ligatures w14:val="none"/>
        </w:rPr>
        <w:t xml:space="preserve">2. These data are at the installation level. </w:t>
      </w:r>
      <w:r w:rsidRPr="00965294">
        <w:rPr>
          <w:rFonts w:eastAsia="Times New Roman"/>
          <w:kern w:val="0"/>
          <w:lang w:val="en-US"/>
          <w14:ligatures w14:val="none"/>
        </w:rPr>
        <w:t>The EU ETS provides details for each account holder (i.e., the name, address, city, and country of the holder that owns each installation)</w:t>
      </w:r>
      <w:r>
        <w:rPr>
          <w:rFonts w:eastAsia="Times New Roman"/>
          <w:kern w:val="0"/>
          <w:lang w:val="en-US"/>
          <w14:ligatures w14:val="none"/>
        </w:rPr>
        <w:t xml:space="preserve">. </w:t>
      </w:r>
      <w:r w:rsidRPr="00965294">
        <w:rPr>
          <w:rFonts w:eastAsia="Times New Roman"/>
          <w:kern w:val="0"/>
          <w:lang w:val="en-US"/>
          <w14:ligatures w14:val="none"/>
        </w:rPr>
        <w:t>Using this information, along with information for the account holder’s ultimate parent company from the Dun &amp; Bradstreet online database, we hand-match account holders to listed firms in the Compustat Global and North America databases</w:t>
      </w:r>
      <w:r>
        <w:rPr>
          <w:rFonts w:eastAsia="Times New Roman"/>
          <w:kern w:val="0"/>
          <w:lang w:val="en-US"/>
          <w14:ligatures w14:val="none"/>
        </w:rPr>
        <w:t xml:space="preserve">. </w:t>
      </w:r>
    </w:p>
    <w:p w14:paraId="7FA950CC" w14:textId="77777777" w:rsidR="00193708" w:rsidRDefault="00193708">
      <w:pPr>
        <w:rPr>
          <w:rFonts w:eastAsia="Times New Roman"/>
          <w:kern w:val="0"/>
          <w:lang w:val="en-US"/>
          <w14:ligatures w14:val="none"/>
        </w:rPr>
      </w:pPr>
    </w:p>
    <w:p w14:paraId="4F62088E" w14:textId="7734EA15" w:rsidR="00965294" w:rsidRPr="00965294" w:rsidRDefault="00965294" w:rsidP="00965294">
      <w:pPr>
        <w:rPr>
          <w:rFonts w:eastAsia="Times New Roman"/>
          <w:kern w:val="0"/>
          <w:lang w:val="en-US"/>
          <w14:ligatures w14:val="none"/>
        </w:rPr>
      </w:pPr>
      <w:r>
        <w:rPr>
          <w:rFonts w:eastAsia="Times New Roman"/>
          <w:kern w:val="0"/>
          <w:lang w:val="en-US"/>
          <w14:ligatures w14:val="none"/>
        </w:rPr>
        <w:t xml:space="preserve">3. </w:t>
      </w:r>
      <w:r w:rsidRPr="00965294">
        <w:rPr>
          <w:rFonts w:eastAsia="Times New Roman"/>
          <w:kern w:val="0"/>
          <w:lang w:val="en-US"/>
          <w14:ligatures w14:val="none"/>
        </w:rPr>
        <w:t xml:space="preserve">In the next step, we calculate at the firm-year level </w:t>
      </w:r>
      <w:r w:rsidRPr="00965294">
        <w:rPr>
          <w:rFonts w:eastAsia="Times New Roman"/>
          <w:i/>
          <w:kern w:val="0"/>
          <w:lang w:val="en-US"/>
          <w14:ligatures w14:val="none"/>
        </w:rPr>
        <w:t>Allocated allowances</w:t>
      </w:r>
      <w:r w:rsidRPr="00965294">
        <w:rPr>
          <w:rFonts w:eastAsia="Times New Roman"/>
          <w:kern w:val="0"/>
          <w:lang w:val="en-US"/>
          <w14:ligatures w14:val="none"/>
        </w:rPr>
        <w:t xml:space="preserve"> and </w:t>
      </w:r>
      <w:r w:rsidRPr="00965294">
        <w:rPr>
          <w:rFonts w:eastAsia="Times New Roman"/>
          <w:i/>
          <w:kern w:val="0"/>
          <w:lang w:val="en-US"/>
          <w14:ligatures w14:val="none"/>
        </w:rPr>
        <w:t>Verified CO</w:t>
      </w:r>
      <w:r w:rsidRPr="00965294">
        <w:rPr>
          <w:rFonts w:eastAsia="Times New Roman"/>
          <w:i/>
          <w:kern w:val="0"/>
          <w:vertAlign w:val="subscript"/>
          <w:lang w:val="en-US"/>
          <w14:ligatures w14:val="none"/>
        </w:rPr>
        <w:t>2</w:t>
      </w:r>
      <w:r w:rsidRPr="00965294">
        <w:rPr>
          <w:rFonts w:eastAsia="Times New Roman"/>
          <w:i/>
          <w:kern w:val="0"/>
          <w:lang w:val="en-US"/>
          <w14:ligatures w14:val="none"/>
        </w:rPr>
        <w:t xml:space="preserve"> equivalent emissions</w:t>
      </w:r>
      <w:r w:rsidRPr="00965294">
        <w:rPr>
          <w:rFonts w:eastAsia="Times New Roman"/>
          <w:kern w:val="0"/>
          <w:lang w:val="en-US"/>
          <w14:ligatures w14:val="none"/>
        </w:rPr>
        <w:t xml:space="preserve"> by aggregating the installation-level information. We perform a similar calculation for the allowance transactions by first adding the number of acquired allowances from all transactions of each installation in a given year and then subtracting the total number of transferred allowances of the same installation in that year. We next sum this variable across all installation(s) at the firm-year level and denote it as </w:t>
      </w:r>
      <w:r w:rsidRPr="00965294">
        <w:rPr>
          <w:rFonts w:eastAsia="Times New Roman"/>
          <w:i/>
          <w:kern w:val="0"/>
          <w:lang w:val="en-US"/>
          <w14:ligatures w14:val="none"/>
        </w:rPr>
        <w:t xml:space="preserve">Bought / sold allowances. </w:t>
      </w:r>
      <w:r w:rsidRPr="00965294">
        <w:rPr>
          <w:rFonts w:eastAsia="Times New Roman"/>
          <w:kern w:val="0"/>
          <w:lang w:val="en-US"/>
          <w14:ligatures w14:val="none"/>
        </w:rPr>
        <w:t xml:space="preserve">This variable captures a firm’s net position as a buyer (+) or a seller (-) of allowances. </w:t>
      </w:r>
      <w:r w:rsidR="00603EEC">
        <w:rPr>
          <w:rFonts w:eastAsia="Times New Roman"/>
          <w:kern w:val="0"/>
          <w:lang w:val="en-US"/>
          <w14:ligatures w14:val="none"/>
        </w:rPr>
        <w:t xml:space="preserve">It does not equal to 0 when other emissions variables equal to 0 because we transform to be equal to its value </w:t>
      </w:r>
      <w:r w:rsidR="00603EEC" w:rsidRPr="00603EEC">
        <w:rPr>
          <w:rFonts w:eastAsia="Times New Roman"/>
          <w:kern w:val="0"/>
          <w:lang w:val="en-US"/>
          <w14:ligatures w14:val="none"/>
        </w:rPr>
        <w:t>plus the minimum value plus 1</w:t>
      </w:r>
      <w:r w:rsidR="00603EEC">
        <w:rPr>
          <w:rFonts w:eastAsia="Times New Roman"/>
          <w:kern w:val="0"/>
          <w:lang w:val="en-US"/>
          <w14:ligatures w14:val="none"/>
        </w:rPr>
        <w:t xml:space="preserve">. </w:t>
      </w:r>
      <w:r w:rsidRPr="00965294">
        <w:rPr>
          <w:rFonts w:eastAsia="Times New Roman"/>
          <w:kern w:val="0"/>
          <w:lang w:val="en-US"/>
          <w14:ligatures w14:val="none"/>
        </w:rPr>
        <w:t xml:space="preserve">We also construct </w:t>
      </w:r>
      <w:r w:rsidRPr="00965294">
        <w:rPr>
          <w:rFonts w:eastAsia="Times New Roman"/>
          <w:i/>
          <w:kern w:val="0"/>
          <w:lang w:val="en-US"/>
          <w14:ligatures w14:val="none"/>
        </w:rPr>
        <w:t>Costly allocated allowances</w:t>
      </w:r>
      <w:r w:rsidRPr="00965294">
        <w:rPr>
          <w:rFonts w:eastAsia="Times New Roman"/>
          <w:kern w:val="0"/>
          <w:lang w:val="en-US"/>
          <w14:ligatures w14:val="none"/>
        </w:rPr>
        <w:t>, which equals 1 for an EU ETS program-participating firm in a sector with costly allocated allowances and 0 otherwise (i.e., for firms belonging to the free allocation allowances sectors).</w:t>
      </w:r>
      <w:r w:rsidRPr="00965294">
        <w:rPr>
          <w:rFonts w:eastAsia="Times New Roman"/>
          <w:kern w:val="0"/>
          <w:vertAlign w:val="superscript"/>
          <w:lang w:val="en-US"/>
          <w14:ligatures w14:val="none"/>
        </w:rPr>
        <w:endnoteReference w:id="1"/>
      </w:r>
    </w:p>
    <w:p w14:paraId="5FEE8DE8" w14:textId="7EEF11BD" w:rsidR="00193708" w:rsidRDefault="00193708">
      <w:pPr>
        <w:rPr>
          <w:rFonts w:eastAsia="Times New Roman"/>
          <w:kern w:val="0"/>
          <w:lang w:val="en-US"/>
          <w14:ligatures w14:val="none"/>
        </w:rPr>
      </w:pPr>
    </w:p>
    <w:p w14:paraId="5D99B744" w14:textId="5450C650" w:rsidR="00CF70F0" w:rsidRPr="00965294" w:rsidRDefault="00CF70F0">
      <w:pPr>
        <w:rPr>
          <w:b/>
          <w:bCs/>
          <w:lang w:val="en-US"/>
        </w:rPr>
      </w:pPr>
      <w:r w:rsidRPr="00965294">
        <w:rPr>
          <w:rFonts w:eastAsia="Times New Roman"/>
          <w:b/>
          <w:bCs/>
          <w:kern w:val="0"/>
          <w:lang w:val="en-US"/>
          <w14:ligatures w14:val="none"/>
        </w:rPr>
        <w:t>These data are free to download and thus we provide them, matched with the firm name and year.</w:t>
      </w:r>
      <w:r w:rsidR="00193708" w:rsidRPr="00965294">
        <w:rPr>
          <w:rFonts w:eastAsia="Times New Roman"/>
          <w:b/>
          <w:bCs/>
          <w:kern w:val="0"/>
          <w:lang w:val="en-US"/>
          <w14:ligatures w14:val="none"/>
        </w:rPr>
        <w:t xml:space="preserve"> </w:t>
      </w:r>
      <w:r w:rsidR="006340D0">
        <w:rPr>
          <w:rFonts w:eastAsia="Times New Roman"/>
          <w:b/>
          <w:bCs/>
          <w:kern w:val="0"/>
          <w:lang w:val="en-US"/>
          <w14:ligatures w14:val="none"/>
        </w:rPr>
        <w:t xml:space="preserve">The </w:t>
      </w:r>
      <w:r w:rsidR="00E97EF4">
        <w:rPr>
          <w:rFonts w:eastAsia="Times New Roman"/>
          <w:b/>
          <w:bCs/>
          <w:kern w:val="0"/>
          <w:lang w:val="en-US"/>
          <w14:ligatures w14:val="none"/>
        </w:rPr>
        <w:t xml:space="preserve">variable labels </w:t>
      </w:r>
      <w:r w:rsidR="006340D0">
        <w:rPr>
          <w:rFonts w:eastAsia="Times New Roman"/>
          <w:b/>
          <w:bCs/>
          <w:kern w:val="0"/>
          <w:lang w:val="en-US"/>
          <w14:ligatures w14:val="none"/>
        </w:rPr>
        <w:t xml:space="preserve">in the data file correspond to the variable names in the main text. </w:t>
      </w:r>
    </w:p>
    <w:p w14:paraId="605D9BF4" w14:textId="77777777" w:rsidR="00CF70F0" w:rsidRDefault="00CF70F0">
      <w:pPr>
        <w:rPr>
          <w:lang w:val="en-US"/>
        </w:rPr>
      </w:pPr>
    </w:p>
    <w:p w14:paraId="02C8B135" w14:textId="2E825A88" w:rsidR="00CF70F0" w:rsidRDefault="00965294">
      <w:pPr>
        <w:rPr>
          <w:lang w:val="en-US"/>
        </w:rPr>
      </w:pPr>
      <w:r>
        <w:rPr>
          <w:lang w:val="en-US"/>
        </w:rPr>
        <w:t>4</w:t>
      </w:r>
      <w:r w:rsidR="00193708">
        <w:rPr>
          <w:lang w:val="en-US"/>
        </w:rPr>
        <w:t xml:space="preserve">. </w:t>
      </w:r>
      <w:r w:rsidR="00CF70F0">
        <w:rPr>
          <w:lang w:val="en-US"/>
        </w:rPr>
        <w:t>Download syndicated loans data from DealScan. We downloaded these data from WRDS</w:t>
      </w:r>
      <w:r>
        <w:rPr>
          <w:lang w:val="en-US"/>
        </w:rPr>
        <w:t xml:space="preserve">, which is subscription-based and thus not provided. </w:t>
      </w:r>
    </w:p>
    <w:p w14:paraId="48907FC5" w14:textId="77777777" w:rsidR="00965294" w:rsidRDefault="00965294">
      <w:pPr>
        <w:rPr>
          <w:lang w:val="en-US"/>
        </w:rPr>
      </w:pPr>
    </w:p>
    <w:p w14:paraId="2C335D0F" w14:textId="6DA8AD13" w:rsidR="00965294" w:rsidRPr="00CF70F0" w:rsidRDefault="00965294">
      <w:pPr>
        <w:rPr>
          <w:lang w:val="en-US"/>
        </w:rPr>
      </w:pPr>
      <w:r>
        <w:rPr>
          <w:lang w:val="en-US"/>
        </w:rPr>
        <w:t xml:space="preserve">5. We transform the original emissions variables by taking natural logarithms. The whole procedure is also summarized in the main text and in Table 1. The main text and the appendix include information on several summary statistics. </w:t>
      </w:r>
    </w:p>
    <w:sectPr w:rsidR="00965294" w:rsidRPr="00CF70F0">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F572A2" w14:textId="77777777" w:rsidR="007A195C" w:rsidRDefault="007A195C" w:rsidP="00965294">
      <w:r>
        <w:separator/>
      </w:r>
    </w:p>
  </w:endnote>
  <w:endnote w:type="continuationSeparator" w:id="0">
    <w:p w14:paraId="09EB06F7" w14:textId="77777777" w:rsidR="007A195C" w:rsidRDefault="007A195C" w:rsidP="00965294">
      <w:r>
        <w:continuationSeparator/>
      </w:r>
    </w:p>
  </w:endnote>
  <w:endnote w:id="1">
    <w:p w14:paraId="34887DEA" w14:textId="24EFF576" w:rsidR="00965294" w:rsidRPr="00965294" w:rsidRDefault="00965294" w:rsidP="00965294">
      <w:pPr>
        <w:pStyle w:val="EndnoteText"/>
        <w:jc w:val="both"/>
        <w:rPr>
          <w:rFonts w:ascii="Times New Roman" w:hAnsi="Times New Roman" w:cs="Times New Roman"/>
          <w:lang w:val="en-US"/>
        </w:rPr>
      </w:pPr>
      <w:r w:rsidRPr="00965294">
        <w:rPr>
          <w:rStyle w:val="EndnoteReference"/>
          <w:rFonts w:ascii="Times New Roman" w:hAnsi="Times New Roman" w:cs="Times New Roman"/>
        </w:rPr>
        <w:endnoteRef/>
      </w:r>
      <w:r w:rsidRPr="00965294">
        <w:rPr>
          <w:rFonts w:ascii="Times New Roman" w:hAnsi="Times New Roman" w:cs="Times New Roman"/>
          <w:lang w:val="en-US"/>
        </w:rPr>
        <w:t xml:space="preserve"> Sectors with free (as opposed to costly) allocated allowances in phase III of the EU ETS program are those exposed to a significant risk of carbon leakage. The information is from the commission’s December 29, 2009, decision, available at </w:t>
      </w:r>
      <w:hyperlink r:id="rId1" w:history="1">
        <w:r w:rsidRPr="003F3EF7">
          <w:rPr>
            <w:rStyle w:val="Hyperlink"/>
            <w:rFonts w:ascii="Times New Roman" w:hAnsi="Times New Roman" w:cs="Times New Roman"/>
            <w:lang w:val="en-US"/>
          </w:rPr>
          <w:t>https://eur-lex.europa.eu/LexUriServ/LexUriServ.do?uri=OJ:L:2010:001:0010:0018:</w:t>
        </w:r>
        <w:r w:rsidRPr="003F3EF7">
          <w:rPr>
            <w:rStyle w:val="Hyperlink"/>
            <w:rFonts w:ascii="Times New Roman" w:hAnsi="Times New Roman" w:cs="Times New Roman"/>
            <w:lang w:val="en-US"/>
          </w:rPr>
          <w:t xml:space="preserve"> </w:t>
        </w:r>
        <w:r w:rsidRPr="003F3EF7">
          <w:rPr>
            <w:rStyle w:val="Hyperlink"/>
            <w:rFonts w:ascii="Times New Roman" w:hAnsi="Times New Roman" w:cs="Times New Roman"/>
            <w:lang w:val="en-US"/>
          </w:rPr>
          <w:t>EN:PDF</w:t>
        </w:r>
      </w:hyperlink>
      <w:r w:rsidRPr="00965294">
        <w:rPr>
          <w:rFonts w:ascii="Times New Roman" w:hAnsi="Times New Roman" w:cs="Times New Roman"/>
          <w:lang w:val="en-US"/>
        </w:rPr>
        <w:t xml:space="preserve">. These sectors are defined at the NACE-4 level. We map the NACE-4 codes to SIC codes using sector descriptions and the full list of SIC codes available at </w:t>
      </w:r>
      <w:hyperlink r:id="rId2" w:history="1">
        <w:r w:rsidRPr="00965294">
          <w:rPr>
            <w:rStyle w:val="Hyperlink"/>
            <w:rFonts w:ascii="Times New Roman" w:hAnsi="Times New Roman" w:cs="Times New Roman"/>
            <w:color w:val="auto"/>
            <w:lang w:val="en-US"/>
          </w:rPr>
          <w:t>http://www.ehso.com/siccodes.php</w:t>
        </w:r>
      </w:hyperlink>
      <w:r w:rsidRPr="00965294">
        <w:rPr>
          <w:rFonts w:ascii="Times New Roman" w:hAnsi="Times New Roman" w:cs="Times New Roman"/>
          <w:lang w:val="en-US"/>
        </w:rPr>
        <w:t>. Whenever there is a discrepancy in sector definitions between the two lists, we drop the relevant sector from the list.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ABA665" w14:textId="77777777" w:rsidR="007A195C" w:rsidRDefault="007A195C" w:rsidP="00965294">
      <w:r>
        <w:separator/>
      </w:r>
    </w:p>
  </w:footnote>
  <w:footnote w:type="continuationSeparator" w:id="0">
    <w:p w14:paraId="0980522E" w14:textId="77777777" w:rsidR="007A195C" w:rsidRDefault="007A195C" w:rsidP="009652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AF5"/>
    <w:rsid w:val="000B36FB"/>
    <w:rsid w:val="001538F0"/>
    <w:rsid w:val="00193708"/>
    <w:rsid w:val="002927AF"/>
    <w:rsid w:val="00590AF5"/>
    <w:rsid w:val="00603EEC"/>
    <w:rsid w:val="006340D0"/>
    <w:rsid w:val="006666C2"/>
    <w:rsid w:val="006855FE"/>
    <w:rsid w:val="00787408"/>
    <w:rsid w:val="007A195C"/>
    <w:rsid w:val="008B6BB5"/>
    <w:rsid w:val="00965294"/>
    <w:rsid w:val="009E3A53"/>
    <w:rsid w:val="00AD4CA1"/>
    <w:rsid w:val="00B42CFC"/>
    <w:rsid w:val="00B44099"/>
    <w:rsid w:val="00BB15C8"/>
    <w:rsid w:val="00CF70F0"/>
    <w:rsid w:val="00E97EF4"/>
    <w:rsid w:val="00EB274F"/>
    <w:rsid w:val="00F63C88"/>
    <w:rsid w:val="00FB00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09EB95"/>
  <w14:discardImageEditingData/>
  <w14:defaultImageDpi w14:val="32767"/>
  <w15:chartTrackingRefBased/>
  <w15:docId w15:val="{5339F8EB-2EAA-4D3C-AAB4-F074ED916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kern w:val="2"/>
        <w:sz w:val="24"/>
        <w:szCs w:val="24"/>
        <w:lang w:val="fr-FR"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90A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90A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90AF5"/>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0AF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590AF5"/>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590AF5"/>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90AF5"/>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90AF5"/>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90AF5"/>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AF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90AF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0AF5"/>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0AF5"/>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590AF5"/>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590AF5"/>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590AF5"/>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590AF5"/>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590AF5"/>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590AF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90AF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90AF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90AF5"/>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590AF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90AF5"/>
    <w:rPr>
      <w:i/>
      <w:iCs/>
      <w:color w:val="404040" w:themeColor="text1" w:themeTint="BF"/>
    </w:rPr>
  </w:style>
  <w:style w:type="paragraph" w:styleId="ListParagraph">
    <w:name w:val="List Paragraph"/>
    <w:basedOn w:val="Normal"/>
    <w:uiPriority w:val="34"/>
    <w:qFormat/>
    <w:rsid w:val="00590AF5"/>
    <w:pPr>
      <w:ind w:left="720"/>
      <w:contextualSpacing/>
    </w:pPr>
  </w:style>
  <w:style w:type="character" w:styleId="IntenseEmphasis">
    <w:name w:val="Intense Emphasis"/>
    <w:basedOn w:val="DefaultParagraphFont"/>
    <w:uiPriority w:val="21"/>
    <w:qFormat/>
    <w:rsid w:val="00590AF5"/>
    <w:rPr>
      <w:i/>
      <w:iCs/>
      <w:color w:val="0F4761" w:themeColor="accent1" w:themeShade="BF"/>
    </w:rPr>
  </w:style>
  <w:style w:type="paragraph" w:styleId="IntenseQuote">
    <w:name w:val="Intense Quote"/>
    <w:basedOn w:val="Normal"/>
    <w:next w:val="Normal"/>
    <w:link w:val="IntenseQuoteChar"/>
    <w:uiPriority w:val="30"/>
    <w:qFormat/>
    <w:rsid w:val="00590A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0AF5"/>
    <w:rPr>
      <w:i/>
      <w:iCs/>
      <w:color w:val="0F4761" w:themeColor="accent1" w:themeShade="BF"/>
    </w:rPr>
  </w:style>
  <w:style w:type="character" w:styleId="IntenseReference">
    <w:name w:val="Intense Reference"/>
    <w:basedOn w:val="DefaultParagraphFont"/>
    <w:uiPriority w:val="32"/>
    <w:qFormat/>
    <w:rsid w:val="00590AF5"/>
    <w:rPr>
      <w:b/>
      <w:bCs/>
      <w:smallCaps/>
      <w:color w:val="0F4761" w:themeColor="accent1" w:themeShade="BF"/>
      <w:spacing w:val="5"/>
    </w:rPr>
  </w:style>
  <w:style w:type="character" w:styleId="Hyperlink">
    <w:name w:val="Hyperlink"/>
    <w:basedOn w:val="DefaultParagraphFont"/>
    <w:uiPriority w:val="99"/>
    <w:unhideWhenUsed/>
    <w:rsid w:val="00965294"/>
    <w:rPr>
      <w:color w:val="467886" w:themeColor="hyperlink"/>
      <w:u w:val="single"/>
    </w:rPr>
  </w:style>
  <w:style w:type="paragraph" w:styleId="EndnoteText">
    <w:name w:val="endnote text"/>
    <w:basedOn w:val="Normal"/>
    <w:link w:val="EndnoteTextChar"/>
    <w:uiPriority w:val="99"/>
    <w:semiHidden/>
    <w:unhideWhenUsed/>
    <w:rsid w:val="00965294"/>
    <w:pPr>
      <w:jc w:val="left"/>
    </w:pPr>
    <w:rPr>
      <w:rFonts w:asciiTheme="minorHAnsi" w:hAnsiTheme="minorHAnsi" w:cstheme="minorBidi"/>
      <w:kern w:val="0"/>
      <w:sz w:val="20"/>
      <w:szCs w:val="20"/>
      <w:lang w:val="el-GR"/>
      <w14:ligatures w14:val="none"/>
    </w:rPr>
  </w:style>
  <w:style w:type="character" w:customStyle="1" w:styleId="EndnoteTextChar">
    <w:name w:val="Endnote Text Char"/>
    <w:basedOn w:val="DefaultParagraphFont"/>
    <w:link w:val="EndnoteText"/>
    <w:uiPriority w:val="99"/>
    <w:semiHidden/>
    <w:rsid w:val="00965294"/>
    <w:rPr>
      <w:rFonts w:asciiTheme="minorHAnsi" w:hAnsiTheme="minorHAnsi" w:cstheme="minorBidi"/>
      <w:kern w:val="0"/>
      <w:sz w:val="20"/>
      <w:szCs w:val="20"/>
      <w:lang w:val="el-GR"/>
      <w14:ligatures w14:val="none"/>
    </w:rPr>
  </w:style>
  <w:style w:type="character" w:styleId="EndnoteReference">
    <w:name w:val="endnote reference"/>
    <w:basedOn w:val="DefaultParagraphFont"/>
    <w:uiPriority w:val="99"/>
    <w:semiHidden/>
    <w:unhideWhenUsed/>
    <w:rsid w:val="00965294"/>
    <w:rPr>
      <w:vertAlign w:val="superscript"/>
    </w:rPr>
  </w:style>
  <w:style w:type="character" w:styleId="UnresolvedMention">
    <w:name w:val="Unresolved Mention"/>
    <w:basedOn w:val="DefaultParagraphFont"/>
    <w:uiPriority w:val="99"/>
    <w:semiHidden/>
    <w:unhideWhenUsed/>
    <w:rsid w:val="009652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endnotes.xml.rels><?xml version="1.0" encoding="UTF-8" standalone="yes"?>
<Relationships xmlns="http://schemas.openxmlformats.org/package/2006/relationships"><Relationship Id="rId2" Type="http://schemas.openxmlformats.org/officeDocument/2006/relationships/hyperlink" Target="http://www.ehso.com/siccodes.php" TargetMode="External"/><Relationship Id="rId1" Type="http://schemas.openxmlformats.org/officeDocument/2006/relationships/hyperlink" Target="https://eur-lex.europa.eu/LexUriServ/LexUriServ.do?uri=OJ:L:2010:001:0010:0018:%20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384</Words>
  <Characters>2193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DELIS Manthos</dc:creator>
  <cp:keywords/>
  <dc:description/>
  <cp:lastModifiedBy>DELIS Manthos</cp:lastModifiedBy>
  <cp:revision>5</cp:revision>
  <dcterms:created xsi:type="dcterms:W3CDTF">2024-09-16T05:26:00Z</dcterms:created>
  <dcterms:modified xsi:type="dcterms:W3CDTF">2024-09-16T06:25:00Z</dcterms:modified>
</cp:coreProperties>
</file>